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2.xml.rels"/>
  <Override ContentType="application/vnd.openxmlformats-package.relationships+xml" PartName="/word/_rels/header3.xml.rels"/>
  <Override ContentType="application/vnd.openxmlformats-officedocument.wordprocessingml.document.main+xml" PartName="/word/document.xml"/>
  <Override ContentType="application/vnd.openxmlformats-officedocument.oleObject" PartName="/word/embeddings/oleObject1.bin"/>
  <Override ContentType="application/vnd.openxmlformats-officedocument.oleObject" PartName="/word/embeddings/oleObject2.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x-wmf" PartName="/word/media/image1.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Modified by docx4j 11.5.4 (Apache licensed) using REFERENCE JAXB in BellSoft Java 21.0.5 on Linux -->
    <w:p>
      <w:pPr>
        <w:pStyle w:val="BodyText"/>
        <w:jc w:val="center"/>
        <w:rPr>
          <w:color w:val="000000"/>
        </w:rPr>
      </w:pPr>
      <w:r>
        <w:rPr>
          <w:color w:val="000000"/>
          <w:sz w:val="22"/>
          <w:szCs w:val="22"/>
        </w:rPr>
        <w:t xml:space="preserve">AO JUÍZO DA </w:t>
      </w:r>
      <w:r>
        <w:rPr>
          <w:color w:val="000000"/>
          <w:sz w:val="22"/>
          <w:szCs w:val="22"/>
        </w:rPr>
        <w:t>3ª VARA</w:t>
      </w:r>
      <w:r>
        <w:rPr>
          <w:color w:val="000000"/>
          <w:sz w:val="22"/>
          <w:szCs w:val="22"/>
        </w:rPr>
        <w:t xml:space="preserve"> FEDERAL DA SEÇÃO JUDICIÁRIA DO MARANHÃO</w:t>
      </w:r>
    </w:p>
    <w:p>
      <w:pPr>
        <w:pStyle w:val="Normal"/>
        <w:ind w:right="332"/>
        <w:rPr>
          <w:b/>
          <w:bCs/>
          <w:color w:val="000000"/>
          <w:sz w:val="24"/>
          <w:szCs w:val="22"/>
          <w:u w:val="single"/>
        </w:rPr>
      </w:pPr>
      <w:r>
        <w:rPr>
          <w:b/>
          <w:bCs/>
          <w:color w:val="000000"/>
          <w:sz w:val="24"/>
          <w:szCs w:val="22"/>
          <w:u w:val="single"/>
        </w:rPr>
      </w:r>
    </w:p>
    <w:p>
      <w:pPr>
        <w:pStyle w:val="Normal"/>
        <w:spacing w:line="360" w:lineRule="auto"/>
        <w:ind w:right="332"/>
        <w:rPr>
          <w:color w:val="000000"/>
        </w:rPr>
      </w:pPr>
      <w:r>
        <w:rPr>
          <w:b/>
          <w:bCs/>
          <w:color w:val="000000"/>
          <w:sz w:val="24"/>
          <w:szCs w:val="22"/>
          <w:u w:val="single"/>
        </w:rPr>
        <w:t xml:space="preserve">Processo nº </w:t>
      </w:r>
      <w:r>
        <w:rPr>
          <w:b/>
          <w:bCs/>
          <w:color w:val="000000"/>
          <w:sz w:val="24"/>
          <w:szCs w:val="22"/>
          <w:u w:val="single"/>
        </w:rPr>
        <w:t>0000001-23.456.789.0000</w:t>
      </w:r>
    </w:p>
    <w:p>
      <w:pPr>
        <w:pStyle w:val="Normal"/>
        <w:ind w:right="332"/>
        <w:rPr>
          <w:color w:val="000000"/>
        </w:rPr>
      </w:pPr>
      <w:r>
        <w:rPr>
          <w:b/>
          <w:bCs/>
          <w:color w:val="000000"/>
          <w:sz w:val="22"/>
          <w:szCs w:val="22"/>
        </w:rPr>
        <w:t xml:space="preserve">Cumprimento de Sentença do Processo de Referência nº </w:t>
      </w:r>
      <w:r>
        <w:rPr>
          <w:b/>
          <w:bCs/>
          <w:color w:val="000000"/>
          <w:sz w:val="22"/>
          <w:szCs w:val="22"/>
        </w:rPr>
        <w:t>0000404-97.2007.4.01.3700</w:t>
      </w:r>
    </w:p>
    <w:p>
      <w:pPr>
        <w:pStyle w:val="Normal"/>
        <w:ind w:right="332"/>
        <w:rPr>
          <w:b/>
          <w:bCs/>
          <w:color w:val="000000"/>
          <w:sz w:val="24"/>
          <w:szCs w:val="22"/>
          <w:u w:val="single"/>
        </w:rPr>
      </w:pPr>
      <w:r>
        <w:rPr>
          <w:b/>
          <w:bCs/>
          <w:color w:val="000000"/>
          <w:sz w:val="24"/>
          <w:szCs w:val="22"/>
          <w:u w:val="single"/>
        </w:rPr>
      </w:r>
    </w:p>
    <w:p>
      <w:pPr>
        <w:pStyle w:val="Normal"/>
        <w:ind w:right="332"/>
        <w:rPr>
          <w:b/>
          <w:bCs/>
          <w:color w:val="000000"/>
          <w:sz w:val="24"/>
          <w:szCs w:val="22"/>
          <w:u w:val="single"/>
        </w:rPr>
      </w:pPr>
      <w:r>
        <w:rPr>
          <w:b/>
          <w:bCs/>
          <w:color w:val="000000"/>
          <w:sz w:val="24"/>
          <w:szCs w:val="22"/>
          <w:u w:val="single"/>
        </w:rPr>
      </w:r>
    </w:p>
    <w:p>
      <w:pPr>
        <w:pStyle w:val="Normal"/>
        <w:ind w:right="332"/>
        <w:rPr>
          <w:b/>
          <w:bCs/>
          <w:color w:val="000000"/>
          <w:sz w:val="24"/>
          <w:szCs w:val="22"/>
          <w:u w:val="single"/>
        </w:rPr>
      </w:pPr>
      <w:r>
        <w:rPr>
          <w:b/>
          <w:bCs/>
          <w:color w:val="000000"/>
          <w:sz w:val="24"/>
          <w:szCs w:val="22"/>
          <w:u w:val="single"/>
        </w:rPr>
      </w:r>
    </w:p>
    <w:p>
      <w:pPr>
        <w:pStyle w:val="Normal"/>
        <w:spacing w:line="360" w:lineRule="auto"/>
        <w:ind w:firstLine="2268"/>
        <w:jc w:val="both"/>
        <w:rPr>
          <w:color w:val="000000"/>
        </w:rPr>
      </w:pPr>
      <w:r>
        <w:rPr>
          <w:b/>
          <w:color w:val="000000"/>
          <w:sz w:val="24"/>
          <w:szCs w:val="22"/>
        </w:rPr>
        <w:t>SINDICATO DOS TRABALHADORES NAS INDÚSTRIAS URBANAS DO ESTADO DO MARANHÃO – STIU/MA</w:t>
      </w:r>
      <w:r>
        <w:rPr>
          <w:color w:val="000000"/>
          <w:sz w:val="24"/>
          <w:szCs w:val="22"/>
        </w:rPr>
        <w:t xml:space="preserve">, qualificado nos autos do Processo, movido em face da </w:t>
      </w:r>
      <w:r>
        <w:rPr>
          <w:b/>
          <w:color w:val="000000"/>
          <w:sz w:val="24"/>
          <w:szCs w:val="22"/>
        </w:rPr>
        <w:t>UNIÃO,</w:t>
      </w:r>
      <w:r>
        <w:rPr>
          <w:color w:val="000000"/>
          <w:sz w:val="24"/>
          <w:szCs w:val="22"/>
        </w:rPr>
        <w:t xml:space="preserve"> vem perante V. Exa., em atenção ao último despacho, expor e requerer o seguinte.</w:t>
      </w:r>
    </w:p>
    <w:p>
      <w:pPr>
        <w:pStyle w:val="Normal"/>
        <w:spacing w:line="360" w:lineRule="auto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277-6"/>
        <w:spacing w:line="360" w:lineRule="auto"/>
        <w:rPr>
          <w:color w:val="000000"/>
        </w:rPr>
      </w:pPr>
      <w:r>
        <w:rPr>
          <w:color w:val="000000"/>
          <w:sz w:val="24"/>
        </w:rPr>
        <w:t>DO CRÉDITO DOS AUTORES</w:t>
      </w:r>
    </w:p>
    <w:p>
      <w:pPr>
        <w:pStyle w:val="Normal"/>
        <w:ind w:firstLine="2268"/>
        <w:jc w:val="both"/>
        <w:rPr>
          <w:color w:val="000000"/>
          <w:sz w:val="24"/>
          <w:szCs w:val="22"/>
        </w:rPr>
      </w:pPr>
      <w:r>
        <w:rPr>
          <w:color w:val="000000"/>
          <w:sz w:val="24"/>
          <w:szCs w:val="22"/>
        </w:rPr>
      </w:r>
    </w:p>
    <w:p>
      <w:pPr>
        <w:pStyle w:val="Normal"/>
        <w:spacing w:line="360" w:lineRule="auto"/>
        <w:ind w:firstLine="2268"/>
        <w:jc w:val="both"/>
        <w:rPr>
          <w:color w:val="000000"/>
        </w:rPr>
      </w:pPr>
      <w:r>
        <w:rPr>
          <w:color w:val="000000"/>
          <w:sz w:val="24"/>
          <w:szCs w:val="22"/>
        </w:rPr>
        <w:t>A fim de viabilizar a elaboração das RPV’s, para pagamento do crédito dos autores, com destaque dos honorários advocatícios contratuais, o sindicato da categoria vem fornecer as informações abaixo: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lastRow="0" w:firstColumn="1" w:lastColumn="0" w:noHBand="0" w:noVBand="1" w:val="04a0"/>
      </w:tblPr>
      <w:tblGrid>
        <w:gridCol w:w="1185"/>
        <w:gridCol w:w="977"/>
        <w:gridCol w:w="978"/>
        <w:gridCol w:w="698"/>
        <w:gridCol w:w="278"/>
        <w:gridCol w:w="976"/>
        <w:gridCol w:w="1118"/>
        <w:gridCol w:w="977"/>
        <w:gridCol w:w="1316"/>
      </w:tblGrid>
      <w:tr>
        <w:trPr>
          <w:trHeight w:val="60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 do exequente</w:t>
            </w:r>
          </w:p>
        </w:tc>
        <w:tc>
          <w:tcPr>
            <w:tcW w:w="97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CPF</w:t>
            </w:r>
          </w:p>
        </w:tc>
        <w:tc>
          <w:tcPr>
            <w:tcW w:w="97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 a ser restituído (R$)</w:t>
            </w:r>
          </w:p>
        </w:tc>
        <w:tc>
          <w:tcPr>
            <w:tcW w:w="976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 dos juros (R$)</w:t>
            </w:r>
          </w:p>
        </w:tc>
        <w:tc>
          <w:tcPr>
            <w:tcW w:w="97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Devido (R$)</w:t>
            </w:r>
          </w:p>
        </w:tc>
        <w:tc>
          <w:tcPr>
            <w:tcW w:w="11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Honorários contratuais de 20% (R$)</w:t>
            </w:r>
          </w:p>
        </w:tc>
        <w:tc>
          <w:tcPr>
            <w:tcW w:w="97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N° de parcelas à título de RRA</w:t>
            </w:r>
          </w:p>
        </w:tc>
        <w:tc>
          <w:tcPr>
            <w:tcW w:w="13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Situação funcional</w:t>
              <w:br/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ILDENANDES PEREIRA LIMA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095.034.633-00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1,00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700,00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1.700,00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340,00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#nome2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#cpf2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#restituido2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#juros2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#total2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#honorarios2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#nome3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#cpf3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#restituido3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#juros3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#total3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#honorarios3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#nome4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#cpf4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#restituido4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#juros4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#total4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#honorarios4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#nome5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#cpf5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#restituido5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#juros5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#total5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#honorarios5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#nome6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#cpf6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#restituido6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#juros6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#total6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#honorarios6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#nome7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#cpf7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#restituido7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#juros7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#total7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#honorarios7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#nome8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#cpf8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#restituido8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#juros8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#total8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#honorarios8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#nome9</w:t>
            </w:r>
          </w:p>
        </w:tc>
        <w:tc>
          <w:tcPr>
            <w:tcW w:w="977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#cpf9</w:t>
            </w:r>
          </w:p>
        </w:tc>
        <w:tc>
          <w:tcPr>
            <w:tcW w:w="978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#restituido9</w:t>
            </w:r>
          </w:p>
        </w:tc>
        <w:tc>
          <w:tcPr>
            <w:tcW w:w="976" w:type="dxa"/>
            <w:gridSpan w:val="2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#juros9</w:t>
            </w:r>
          </w:p>
        </w:tc>
        <w:tc>
          <w:tcPr>
            <w:tcW w:w="97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#total9</w:t>
            </w:r>
          </w:p>
        </w:tc>
        <w:tc>
          <w:tcPr>
            <w:tcW w:w="1118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#honorarios9</w:t>
            </w:r>
          </w:p>
        </w:tc>
        <w:tc>
          <w:tcPr>
            <w:tcW w:w="977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MESES</w:t>
            </w:r>
          </w:p>
        </w:tc>
        <w:tc>
          <w:tcPr>
            <w:tcW w:w="131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#nome10</w:t>
            </w:r>
          </w:p>
        </w:tc>
        <w:tc>
          <w:tcPr>
            <w:tcW w:w="97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#cpf10</w:t>
            </w:r>
          </w:p>
        </w:tc>
        <w:tc>
          <w:tcPr>
            <w:tcW w:w="97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#restituido10</w:t>
            </w:r>
          </w:p>
        </w:tc>
        <w:tc>
          <w:tcPr>
            <w:tcW w:w="976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#juros10</w:t>
            </w:r>
          </w:p>
        </w:tc>
        <w:tc>
          <w:tcPr>
            <w:tcW w:w="97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#total10</w:t>
            </w:r>
          </w:p>
        </w:tc>
        <w:tc>
          <w:tcPr>
            <w:tcW w:w="11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#honorarios10</w:t>
            </w:r>
          </w:p>
        </w:tc>
        <w:tc>
          <w:tcPr>
            <w:tcW w:w="97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MÊS</w:t>
            </w:r>
          </w:p>
        </w:tc>
        <w:tc>
          <w:tcPr>
            <w:tcW w:w="13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/>
            <w:shd w:val="clear" w:color="auto" w:fill="auto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W w:w="977" w:type="dxa"/>
            <w:tcBorders/>
            <w:shd w:val="clear" w:color="auto" w:fill="auto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W w:w="978" w:type="dxa"/>
            <w:tcBorders/>
            <w:shd w:val="clear" w:color="auto" w:fill="auto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W w:w="698" w:type="dxa"/>
            <w:tcBorders/>
            <w:shd w:val="clear" w:color="auto" w:fill="auto"/>
            <w:vAlign w:val="bottom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TOTAL</w:t>
            </w:r>
          </w:p>
        </w:tc>
        <w:tc>
          <w:tcPr>
            <w:tcW w:w="2372" w:type="dxa"/>
            <w:gridSpan w:val="3"/>
            <w:tcBorders/>
            <w:shd w:val="clear" w:color="auto" w:fill="auto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R$ </w:t>
            </w:r>
            <w:r>
              <w:rPr>
                <w:rFonts w:ascii="Calibri" w:hAnsi="Calibri" w:cs="Calibri"/>
                <w:b/>
                <w:color w:val="000000"/>
              </w:rPr>
              <w:t>1.700,00</w:t>
            </w:r>
          </w:p>
        </w:tc>
        <w:tc>
          <w:tcPr>
            <w:tcW w:w="977" w:type="dxa"/>
            <w:tcBorders/>
            <w:shd w:val="clear" w:color="auto" w:fill="auto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W w:w="1316" w:type="dxa"/>
            <w:tcBorders/>
            <w:shd w:val="clear" w:color="auto" w:fill="auto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</w:r>
          </w:p>
        </w:tc>
      </w:tr>
    </w:tbl>
    <w:p>
      <w:pPr>
        <w:pStyle w:val="Normal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277-6"/>
        <w:pBdr>
          <w:top w:val="single" w:color="000000" w:sz="4" w:space="0"/>
          <w:bottom w:val="single" w:color="000000" w:sz="4" w:space="1"/>
        </w:pBdr>
        <w:spacing w:line="360" w:lineRule="auto"/>
        <w:rPr>
          <w:color w:val="000000"/>
        </w:rPr>
      </w:pPr>
      <w:bookmarkStart w:name="_GoBack" w:id="0"/>
      <w:r>
        <w:rPr>
          <w:color w:val="000000"/>
          <w:sz w:val="24"/>
        </w:rPr>
        <w:t>DOS HONORÁRIOS DE SUCUMBÊNCIA</w:t>
      </w:r>
    </w:p>
    <w:p>
      <w:pPr>
        <w:pStyle w:val="Normal"/>
        <w:spacing w:line="360" w:lineRule="auto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="360" w:lineRule="auto"/>
        <w:ind w:firstLine="2268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Registre-se que, além das RPV’s dos autores, com destaque dos honorários advocatícios contratuais, deve ser expedida também RPV para pagamento dos </w:t>
      </w:r>
      <w:r>
        <w:rPr>
          <w:b/>
          <w:color w:val="000000"/>
          <w:sz w:val="24"/>
          <w:szCs w:val="24"/>
          <w:u w:val="single"/>
        </w:rPr>
        <w:t>honorários advocatícios de sucumbência</w:t>
      </w:r>
      <w:r>
        <w:rPr>
          <w:color w:val="000000"/>
          <w:sz w:val="24"/>
          <w:szCs w:val="24"/>
        </w:rPr>
        <w:t xml:space="preserve">, que foram fixados em 10% na decisão deste Douto Juízo de ID </w:t>
      </w:r>
      <w:r>
        <w:rPr>
          <w:color w:val="000000"/>
          <w:sz w:val="24"/>
          <w:szCs w:val="24"/>
        </w:rPr>
        <w:t xml:space="preserve">1621008866, e majorados em 1% na decisão do STJ à fl. 29 do ID 2157801155, totalizando </w:t>
      </w:r>
      <w:r>
        <w:rPr>
          <w:b/>
          <w:color w:val="000000"/>
          <w:sz w:val="24"/>
          <w:szCs w:val="24"/>
        </w:rPr>
        <w:t>11%</w:t>
      </w:r>
      <w:r>
        <w:rPr>
          <w:color w:val="000000"/>
          <w:sz w:val="24"/>
          <w:szCs w:val="24"/>
        </w:rPr>
        <w:t>.</w:t>
      </w:r>
    </w:p>
    <w:p>
      <w:pPr>
        <w:pStyle w:val="Normal"/>
        <w:spacing w:line="360" w:lineRule="auto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="360" w:lineRule="auto"/>
        <w:ind w:firstLine="2268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No presente caso, os honorários advocatícios de sucumbência, no percentual acima indicado, apurados sobre o total da execução, chegam ao montante de </w:t>
      </w:r>
      <w:r>
        <w:rPr>
          <w:b/>
          <w:color w:val="000000"/>
          <w:sz w:val="24"/>
          <w:szCs w:val="24"/>
          <w:u w:val="single"/>
        </w:rPr>
        <w:t xml:space="preserve">R$ </w:t>
      </w:r>
      <w:r>
        <w:rPr>
          <w:b/>
          <w:color w:val="000000"/>
          <w:sz w:val="24"/>
          <w:szCs w:val="24"/>
          <w:u w:val="single"/>
        </w:rPr>
        <w:t>170,00</w:t>
      </w:r>
      <w:r>
        <w:rPr>
          <w:color w:val="000000"/>
          <w:sz w:val="24"/>
          <w:szCs w:val="24"/>
        </w:rPr>
        <w:t>.</w:t>
      </w:r>
    </w:p>
    <w:p>
      <w:pPr>
        <w:pStyle w:val="Normal"/>
        <w:spacing w:line="360" w:lineRule="auto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277-6"/>
        <w:spacing w:line="360" w:lineRule="auto"/>
        <w:rPr>
          <w:color w:val="000000"/>
        </w:rPr>
      </w:pPr>
      <w:r>
        <w:rPr>
          <w:color w:val="000000"/>
          <w:sz w:val="24"/>
        </w:rPr>
        <w:t>DOS REQUERIMENTOS</w:t>
      </w:r>
    </w:p>
    <w:p>
      <w:pPr>
        <w:pStyle w:val="Normal"/>
        <w:spacing w:line="360" w:lineRule="auto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="360" w:lineRule="auto"/>
        <w:ind w:firstLine="2268"/>
        <w:jc w:val="both"/>
        <w:rPr>
          <w:color w:val="000000"/>
        </w:rPr>
      </w:pPr>
      <w:r>
        <w:rPr>
          <w:color w:val="000000"/>
          <w:sz w:val="24"/>
          <w:szCs w:val="24"/>
        </w:rPr>
        <w:t>Ante o exposto, requer-se o prosseguimento da execução, com a adoção das seguintes medidas:</w:t>
      </w:r>
    </w:p>
    <w:p>
      <w:pPr>
        <w:pStyle w:val="Normal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="360" w:lineRule="auto"/>
        <w:ind w:left="426" w:hanging="360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Expedição de RPV’s para pagamento dos </w:t>
      </w:r>
      <w:r>
        <w:rPr>
          <w:b/>
          <w:color w:val="000000"/>
          <w:sz w:val="24"/>
          <w:szCs w:val="24"/>
          <w:highlight w:val="yellow"/>
        </w:rPr>
        <w:t>créditos dos autores,</w:t>
      </w:r>
      <w:r>
        <w:rPr>
          <w:b/>
          <w:color w:val="000000"/>
          <w:sz w:val="24"/>
          <w:szCs w:val="24"/>
        </w:rPr>
        <w:t xml:space="preserve"> nos valores indicados na tabela acima,</w:t>
      </w:r>
      <w:r>
        <w:rPr>
          <w:color w:val="000000"/>
          <w:sz w:val="24"/>
          <w:szCs w:val="24"/>
        </w:rPr>
        <w:t xml:space="preserve"> com </w:t>
      </w:r>
      <w:r>
        <w:rPr>
          <w:color w:val="000000"/>
          <w:sz w:val="24"/>
          <w:szCs w:val="24"/>
          <w:u w:val="single"/>
        </w:rPr>
        <w:t>destaque dos honorários advocatícios contratuais de 20%</w:t>
      </w:r>
      <w:r>
        <w:rPr>
          <w:color w:val="000000"/>
          <w:sz w:val="24"/>
          <w:szCs w:val="24"/>
        </w:rPr>
        <w:t>, estes em favor do escritório de advocacia que patrocina a causa (</w:t>
      </w:r>
      <w:r>
        <w:rPr>
          <w:i/>
          <w:color w:val="000000"/>
          <w:sz w:val="24"/>
          <w:szCs w:val="24"/>
        </w:rPr>
        <w:t>Macieira, Nunes e Zagallo &amp; Advogados Associados S/C</w:t>
      </w:r>
      <w:r>
        <w:rPr>
          <w:color w:val="000000"/>
          <w:sz w:val="24"/>
          <w:szCs w:val="24"/>
        </w:rPr>
        <w:t>, CNPJ 02.093.778/0001-18);</w:t>
      </w:r>
    </w:p>
    <w:p>
      <w:pPr>
        <w:pStyle w:val="ListParagraph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="360" w:lineRule="auto"/>
        <w:ind w:left="426" w:hanging="360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Expedição de RPV para pagamento dos </w:t>
      </w:r>
      <w:r>
        <w:rPr>
          <w:b/>
          <w:color w:val="000000"/>
          <w:sz w:val="24"/>
          <w:szCs w:val="24"/>
          <w:highlight w:val="yellow"/>
        </w:rPr>
        <w:t>honorários advocatícios de sucumbência,</w:t>
      </w:r>
      <w:r>
        <w:rPr>
          <w:b/>
          <w:color w:val="000000"/>
          <w:sz w:val="24"/>
          <w:szCs w:val="24"/>
        </w:rPr>
        <w:t xml:space="preserve"> no valor indicado acima, </w:t>
      </w:r>
      <w:r>
        <w:rPr>
          <w:color w:val="000000"/>
          <w:sz w:val="24"/>
          <w:szCs w:val="24"/>
        </w:rPr>
        <w:t>em favor do escritório de advocacia que patrocina a causa (</w:t>
      </w:r>
      <w:r>
        <w:rPr>
          <w:i/>
          <w:color w:val="000000"/>
          <w:sz w:val="24"/>
          <w:szCs w:val="24"/>
        </w:rPr>
        <w:t>Macieira, Nunes e Zagallo &amp; Advogados Associados S/C</w:t>
      </w:r>
      <w:r>
        <w:rPr>
          <w:color w:val="000000"/>
          <w:sz w:val="24"/>
          <w:szCs w:val="24"/>
        </w:rPr>
        <w:t>, CNPJ 02.093.778/0001-18).</w:t>
      </w:r>
    </w:p>
    <w:p>
      <w:pPr>
        <w:pStyle w:val="Normal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="360" w:lineRule="auto"/>
        <w:ind w:firstLine="2268"/>
        <w:jc w:val="both"/>
        <w:rPr>
          <w:color w:val="000000"/>
        </w:rPr>
      </w:pPr>
      <w:r>
        <w:rPr>
          <w:color w:val="000000"/>
          <w:sz w:val="24"/>
        </w:rPr>
        <w:t>Nestes Termos, Pede Deferimento.</w:t>
      </w:r>
    </w:p>
    <w:p>
      <w:pPr>
        <w:pStyle w:val="Normal"/>
        <w:spacing w:line="360" w:lineRule="auto"/>
        <w:ind w:right="332" w:firstLine="2268"/>
        <w:rPr>
          <w:color w:val="000000"/>
        </w:rPr>
      </w:pPr>
      <w:r>
        <w:rPr>
          <w:color w:val="000000"/>
          <w:sz w:val="24"/>
        </w:rPr>
        <w:t xml:space="preserve">São Luís – MA,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TIME \@"d' de 'MMMM' de 'yyyy" </w:instrText>
      </w:r>
      <w:r>
        <w:rPr>
          <w:color w:val="000000"/>
          <w:sz w:val="24"/>
        </w:rPr>
        <w:fldChar w:fldCharType="separate"/>
      </w:r>
      <w:r>
        <w:rPr>
          <w:color w:val="000000"/>
          <w:sz w:val="24"/>
        </w:rPr>
        <w:t>11 de setembro de 2025</w: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>.</w:t>
      </w:r>
    </w:p>
    <w:p>
      <w:pPr>
        <w:pStyle w:val="Normal"/>
        <w:spacing w:line="360" w:lineRule="auto"/>
        <w:ind w:right="33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spacing w:line="360" w:lineRule="auto"/>
        <w:ind w:left="708" w:right="-6"/>
        <w:rPr>
          <w:color w:val="000000"/>
        </w:rPr>
      </w:pPr>
      <w:r>
        <w:rPr>
          <w:b/>
          <w:color w:val="000000"/>
          <w:szCs w:val="24"/>
        </w:rPr>
        <w:t>Antônio Emílio Nunes Rocha      José Guilherme Carvalho Zagallo     Arnaldo Vieira Sousa</w:t>
      </w:r>
    </w:p>
    <w:p>
      <w:pPr>
        <w:pStyle w:val="Normal"/>
        <w:spacing w:line="360" w:lineRule="auto"/>
        <w:ind w:left="708" w:right="-6"/>
        <w:rPr>
          <w:color w:val="000000"/>
        </w:rPr>
      </w:pPr>
      <w:r>
        <w:rPr>
          <w:b/>
          <w:color w:val="000000"/>
          <w:szCs w:val="24"/>
        </w:rPr>
        <w:t xml:space="preserve">            </w:t>
      </w:r>
      <w:r>
        <w:rPr>
          <w:b/>
          <w:color w:val="000000"/>
          <w:szCs w:val="24"/>
        </w:rPr>
        <w:t>OAB/MA 7.186                                OAB/MA 4.059                          OAB/MA 10.475</w:t>
      </w:r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top="1701" w:right="1701" w:bottom="1701" w:left="1701" w:header="720" w:footer="72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G Times (WN)">
    <w:charset w:val="00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6" w:space="1" w:color="000000"/>
      </w:pBdr>
      <w:spacing w:lineRule="atLeast" w:line="240"/>
      <w:jc w:val="center"/>
      <w:rPr/>
    </w:pPr>
    <w:r>
      <w:rPr/>
    </w:r>
  </w:p>
  <w:p>
    <w:pPr>
      <w:pStyle w:val="Footer"/>
      <w:spacing w:lineRule="atLeast" w:line="240"/>
      <w:jc w:val="center"/>
      <w:rPr>
        <w:rFonts w:ascii="CG Times (WN)" w:hAnsi="CG Times (WN)"/>
      </w:rPr>
    </w:pPr>
    <w:r>
      <w:rPr>
        <w:rFonts w:ascii="CG Times (WN)" w:hAnsi="CG Times (WN)"/>
      </w:rPr>
      <w:fldChar w:fldCharType="begin"/>
    </w:r>
    <w:r>
      <w:rPr>
        <w:rFonts w:ascii="CG Times (WN)" w:hAnsi="CG Times (WN)"/>
      </w:rPr>
      <w:instrText xml:space="preserve"> PAGE </w:instrText>
    </w:r>
    <w:r>
      <w:rPr>
        <w:rFonts w:ascii="CG Times (WN)" w:hAnsi="CG Times (WN)"/>
      </w:rPr>
      <w:fldChar w:fldCharType="separate"/>
    </w:r>
    <w:r>
      <w:rPr>
        <w:rFonts w:ascii="CG Times (WN)" w:hAnsi="CG Times (WN)"/>
      </w:rPr>
      <w:t>2</w:t>
    </w:r>
    <w:r>
      <w:rPr>
        <w:rFonts w:ascii="CG Times (WN)" w:hAnsi="CG Times (WN)"/>
      </w:rPr>
      <w:fldChar w:fldCharType="end"/>
    </w:r>
  </w:p>
  <w:p>
    <w:pPr>
      <w:pStyle w:val="Footer"/>
      <w:spacing w:lineRule="atLeast" w:line="240"/>
      <w:jc w:val="center"/>
      <w:rPr>
        <w:sz w:val="20"/>
      </w:rPr>
    </w:pPr>
    <w:r>
      <w:rPr>
        <w:rFonts w:eastAsia="Wingdings" w:cs="Wingdings" w:ascii="Wingdings" w:hAnsi="Wingdings"/>
      </w:rPr>
      <w:sym w:font="Wingdings" w:char="2a"/>
    </w:r>
    <w:r>
      <w:rPr>
        <w:sz w:val="20"/>
      </w:rPr>
      <w:t xml:space="preserve"> Av. do Vale, Quadra 22, Lote 10 – Renascença II – São Luís – MA </w:t>
    </w:r>
    <w:r>
      <w:rPr>
        <w:rFonts w:eastAsia="Wingdings" w:cs="Wingdings" w:ascii="Wingdings" w:hAnsi="Wingdings"/>
        <w:sz w:val="20"/>
      </w:rPr>
      <w:sym w:font="Wingdings" w:char="28"/>
    </w:r>
    <w:r>
      <w:rPr>
        <w:sz w:val="20"/>
      </w:rPr>
      <w:t xml:space="preserve"> Fone/Fax: (98) 3878-6600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6" w:space="1" w:color="000000"/>
      </w:pBdr>
      <w:spacing w:lineRule="atLeast" w:line="240"/>
      <w:jc w:val="center"/>
      <w:rPr/>
    </w:pPr>
    <w:r>
      <w:rPr/>
    </w:r>
  </w:p>
  <w:p>
    <w:pPr>
      <w:pStyle w:val="Footer"/>
      <w:spacing w:lineRule="atLeast" w:line="240"/>
      <w:jc w:val="center"/>
      <w:rPr>
        <w:rFonts w:ascii="CG Times (WN)" w:hAnsi="CG Times (WN)"/>
      </w:rPr>
    </w:pPr>
    <w:r>
      <w:rPr>
        <w:rFonts w:ascii="CG Times (WN)" w:hAnsi="CG Times (WN)"/>
      </w:rPr>
      <w:fldChar w:fldCharType="begin"/>
    </w:r>
    <w:r>
      <w:rPr>
        <w:rFonts w:ascii="CG Times (WN)" w:hAnsi="CG Times (WN)"/>
      </w:rPr>
      <w:instrText xml:space="preserve"> PAGE </w:instrText>
    </w:r>
    <w:r>
      <w:rPr>
        <w:rFonts w:ascii="CG Times (WN)" w:hAnsi="CG Times (WN)"/>
      </w:rPr>
      <w:fldChar w:fldCharType="separate"/>
    </w:r>
    <w:r>
      <w:rPr>
        <w:rFonts w:ascii="CG Times (WN)" w:hAnsi="CG Times (WN)"/>
      </w:rPr>
      <w:t>2</w:t>
    </w:r>
    <w:r>
      <w:rPr>
        <w:rFonts w:ascii="CG Times (WN)" w:hAnsi="CG Times (WN)"/>
      </w:rPr>
      <w:fldChar w:fldCharType="end"/>
    </w:r>
  </w:p>
  <w:p>
    <w:pPr>
      <w:pStyle w:val="Footer"/>
      <w:spacing w:lineRule="atLeast" w:line="240"/>
      <w:jc w:val="center"/>
      <w:rPr>
        <w:sz w:val="20"/>
      </w:rPr>
    </w:pPr>
    <w:r>
      <w:rPr>
        <w:rFonts w:eastAsia="Wingdings" w:cs="Wingdings" w:ascii="Wingdings" w:hAnsi="Wingdings"/>
      </w:rPr>
      <w:sym w:font="Wingdings" w:char="2a"/>
    </w:r>
    <w:r>
      <w:rPr>
        <w:sz w:val="20"/>
      </w:rPr>
      <w:t xml:space="preserve"> Av. do Vale, Quadra 22, Lote 10 – Renascença II – São Luís – MA </w:t>
    </w:r>
    <w:r>
      <w:rPr>
        <w:rFonts w:eastAsia="Wingdings" w:cs="Wingdings" w:ascii="Wingdings" w:hAnsi="Wingdings"/>
        <w:sz w:val="20"/>
      </w:rPr>
      <w:sym w:font="Wingdings" w:char="28"/>
    </w:r>
    <w:r>
      <w:rPr>
        <w:sz w:val="20"/>
      </w:rPr>
      <w:t xml:space="preserve"> Fone/Fax: (98) 3878-6600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</w:rPr>
    </w:pPr>
    <w:r>
      <w:rPr>
        <w:sz w:val="20"/>
      </w:rPr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position:absolute;margin-left:117pt;margin-top:0.55pt;width:197.75pt;height:41.25pt;mso-wrap-distance-right:0pt;mso-position-horizontal-relative:text;mso-position-vertical-relative:text" filled="f" o:ole="">
          <v:imagedata r:id="rId2" o:title=""/>
          <w10:wrap type="topAndBottom"/>
        </v:shape>
        <o:OLEObject Type="Embed" ProgID="CorelDraw.Graphic.8" ShapeID="ole_rId1" DrawAspect="Content" ObjectID="_2124356863" r:id="rId1"/>
      </w:obje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</w:rPr>
    </w:pPr>
    <w:r>
      <w:rPr>
        <w:sz w:val="20"/>
      </w:rPr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position:absolute;margin-left:117pt;margin-top:0.55pt;width:197.75pt;height:41.25pt;mso-wrap-distance-right:0pt;mso-position-horizontal-relative:text;mso-position-vertical-relative:text" filled="f" o:ole="">
          <v:imagedata r:id="rId2" o:title=""/>
          <w10:wrap type="topAndBottom"/>
        </v:shape>
        <o:OLEObject Type="Embed" ProgID="CorelDraw.Graphic.8" ShapeID="ole_rId1" DrawAspect="Content" ObjectID="_597804030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Preformatted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27c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3">
    <w:name w:val="heading 3"/>
    <w:basedOn w:val="Normal"/>
    <w:link w:val="Ttulo3Char"/>
    <w:uiPriority w:val="9"/>
    <w:qFormat/>
    <w:rsid w:val="001e6469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qFormat/>
    <w:rsid w:val="00fe070c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RodapChar" w:customStyle="1">
    <w:name w:val="Rodapé Char"/>
    <w:basedOn w:val="DefaultParagraphFont"/>
    <w:qFormat/>
    <w:rsid w:val="00fe070c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qFormat/>
    <w:rsid w:val="00fe070c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f01" w:customStyle="1">
    <w:name w:val="f01"/>
    <w:basedOn w:val="DefaultParagraphFont"/>
    <w:qFormat/>
    <w:rsid w:val="00fe070c"/>
    <w:rPr>
      <w:rFonts w:ascii="Times New Roman" w:hAnsi="Times New Roman" w:cs="Times New Roman"/>
      <w:color w:val="000000"/>
      <w:sz w:val="24"/>
      <w:szCs w:val="24"/>
    </w:rPr>
  </w:style>
  <w:style w:type="character" w:styleId="f41" w:customStyle="1">
    <w:name w:val="f41"/>
    <w:basedOn w:val="DefaultParagraphFont"/>
    <w:qFormat/>
    <w:rsid w:val="00fe070c"/>
    <w:rPr>
      <w:rFonts w:ascii="Times New Roman" w:hAnsi="Times New Roman" w:cs="Times New Roman"/>
      <w:sz w:val="24"/>
      <w:szCs w:val="24"/>
    </w:rPr>
  </w:style>
  <w:style w:type="character" w:styleId="TextodenotaderodapChar" w:customStyle="1">
    <w:name w:val="Texto de nota de rodapé Char"/>
    <w:basedOn w:val="DefaultParagraphFont"/>
    <w:uiPriority w:val="99"/>
    <w:qFormat/>
    <w:rsid w:val="00d82a70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aracteresdenotaderodapuser">
    <w:name w:val="Caracteres de nota de rodapé (user)"/>
    <w:basedOn w:val="DefaultParagraphFont"/>
    <w:uiPriority w:val="99"/>
    <w:qFormat/>
    <w:rsid w:val="00d82a70"/>
    <w:rPr>
      <w:vertAlign w:val="superscript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r-formataoHTMLChar" w:customStyle="1">
    <w:name w:val="Pré-formatação HTML Char"/>
    <w:basedOn w:val="DefaultParagraphFont"/>
    <w:link w:val="HTMLPreformatted"/>
    <w:qFormat/>
    <w:rsid w:val="00d82a70"/>
    <w:rPr>
      <w:rFonts w:ascii="Courier New" w:hAnsi="Courier New" w:eastAsia="Courier New" w:cs="Times New Roman"/>
      <w:sz w:val="20"/>
      <w:szCs w:val="20"/>
      <w:lang w:eastAsia="pt-BR"/>
    </w:rPr>
  </w:style>
  <w:style w:type="character" w:styleId="highlightbrs1" w:customStyle="1">
    <w:name w:val="highlightbrs1"/>
    <w:basedOn w:val="DefaultParagraphFont"/>
    <w:qFormat/>
    <w:rsid w:val="00d82a70"/>
    <w:rPr>
      <w:b/>
      <w:bCs/>
      <w:color w:val="FF0000"/>
    </w:rPr>
  </w:style>
  <w:style w:type="character" w:styleId="Ttulo2277-6Char" w:customStyle="1">
    <w:name w:val="Título 2277-6 Char"/>
    <w:basedOn w:val="DefaultParagraphFont"/>
    <w:link w:val="Ttulo2277-6"/>
    <w:qFormat/>
    <w:rsid w:val="00d934ff"/>
    <w:rPr>
      <w:rFonts w:ascii="Times New Roman" w:hAnsi="Times New Roman" w:eastAsia="Times New Roman" w:cs="Times New Roman"/>
      <w:b/>
      <w:sz w:val="28"/>
      <w:szCs w:val="28"/>
      <w:shd w:fill="D9D9D9" w:val="clear"/>
      <w:lang w:eastAsia="pt-BR"/>
    </w:rPr>
  </w:style>
  <w:style w:type="character" w:styleId="apple-converted-space" w:customStyle="1">
    <w:name w:val="apple-converted-space"/>
    <w:basedOn w:val="DefaultParagraphFont"/>
    <w:qFormat/>
    <w:rsid w:val="00dc2e76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a4651"/>
    <w:rPr>
      <w:rFonts w:ascii="Tahoma" w:hAnsi="Tahoma" w:eastAsia="Times New Roman" w:cs="Tahoma"/>
      <w:sz w:val="16"/>
      <w:szCs w:val="16"/>
      <w:lang w:eastAsia="pt-BR"/>
    </w:rPr>
  </w:style>
  <w:style w:type="character" w:styleId="Hyperlink">
    <w:name w:val="Hyperlink"/>
    <w:basedOn w:val="DefaultParagraphFont"/>
    <w:uiPriority w:val="99"/>
    <w:unhideWhenUsed/>
    <w:rsid w:val="00605fa5"/>
    <w:rPr>
      <w:color w:val="0000FF"/>
      <w:u w:val="single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736879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Ttulo3Char" w:customStyle="1">
    <w:name w:val="Título 3 Char"/>
    <w:basedOn w:val="DefaultParagraphFont"/>
    <w:uiPriority w:val="9"/>
    <w:qFormat/>
    <w:rsid w:val="001e646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21dbf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fe070c"/>
    <w:pPr>
      <w:spacing w:lineRule="auto" w:line="360"/>
      <w:ind w:right="-6"/>
      <w:jc w:val="both"/>
    </w:pPr>
    <w:rPr>
      <w:b/>
      <w:sz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link w:val="RodapChar"/>
    <w:rsid w:val="00fe070c"/>
    <w:pPr>
      <w:tabs>
        <w:tab w:val="clear" w:pos="708"/>
        <w:tab w:val="center" w:pos="4252" w:leader="none"/>
        <w:tab w:val="right" w:pos="8504" w:leader="none"/>
      </w:tabs>
      <w:spacing w:lineRule="atLeast" w:line="360"/>
      <w:jc w:val="both"/>
    </w:pPr>
    <w:rPr>
      <w:sz w:val="24"/>
    </w:rPr>
  </w:style>
  <w:style w:type="paragraph" w:styleId="Header">
    <w:name w:val="header"/>
    <w:basedOn w:val="Normal"/>
    <w:link w:val="CabealhoChar"/>
    <w:rsid w:val="00fe070c"/>
    <w:pPr>
      <w:tabs>
        <w:tab w:val="clear" w:pos="708"/>
        <w:tab w:val="center" w:pos="4252" w:leader="none"/>
        <w:tab w:val="right" w:pos="8504" w:leader="none"/>
      </w:tabs>
      <w:spacing w:lineRule="atLeast" w:line="360"/>
      <w:jc w:val="both"/>
    </w:pPr>
    <w:rPr>
      <w:sz w:val="24"/>
    </w:rPr>
  </w:style>
  <w:style w:type="paragraph" w:styleId="FootnoteText">
    <w:name w:val="footnote text"/>
    <w:basedOn w:val="Normal"/>
    <w:link w:val="TextodenotaderodapChar"/>
    <w:uiPriority w:val="99"/>
    <w:rsid w:val="00d82a70"/>
    <w:pPr/>
    <w:rPr/>
  </w:style>
  <w:style w:type="paragraph" w:styleId="HTMLPreformatted">
    <w:name w:val="HTML Preformatted"/>
    <w:basedOn w:val="Normal"/>
    <w:link w:val="Pr-formataoHTMLChar"/>
    <w:qFormat/>
    <w:rsid w:val="00d82a7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/>
    </w:rPr>
  </w:style>
  <w:style w:type="paragraph" w:styleId="Normal2" w:customStyle="1">
    <w:name w:val="Normal 2"/>
    <w:basedOn w:val="Normal"/>
    <w:qFormat/>
    <w:rsid w:val="00fd6f65"/>
    <w:pPr>
      <w:tabs>
        <w:tab w:val="clear" w:pos="708"/>
        <w:tab w:val="left" w:pos="8730" w:leader="none"/>
      </w:tabs>
      <w:spacing w:lineRule="auto" w:line="360"/>
      <w:ind w:firstLine="2835" w:right="-7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9a2462"/>
    <w:pPr>
      <w:spacing w:before="0" w:after="0"/>
      <w:ind w:left="720"/>
      <w:contextualSpacing/>
    </w:pPr>
    <w:rPr/>
  </w:style>
  <w:style w:type="paragraph" w:styleId="Ttulo2277-6" w:customStyle="1">
    <w:name w:val="Título 2277-6"/>
    <w:basedOn w:val="Normal"/>
    <w:link w:val="Ttulo2277-6Char"/>
    <w:qFormat/>
    <w:rsid w:val="00d934ff"/>
    <w:pPr>
      <w:pBdr>
        <w:top w:val="single" w:sz="4" w:space="1" w:color="000000"/>
        <w:bottom w:val="single" w:sz="4" w:space="1" w:color="000000"/>
      </w:pBdr>
      <w:shd w:val="clear" w:color="auto" w:fill="D9D9D9" w:themeFill="background1" w:themeFillShade="d9"/>
      <w:spacing w:before="0" w:after="120"/>
      <w:ind w:left="1701" w:right="1701"/>
      <w:jc w:val="center"/>
    </w:pPr>
    <w:rPr>
      <w:b/>
      <w:sz w:val="28"/>
      <w:szCs w:val="28"/>
    </w:rPr>
  </w:style>
  <w:style w:type="paragraph" w:styleId="artigo" w:customStyle="1">
    <w:name w:val="artigo"/>
    <w:basedOn w:val="Normal"/>
    <w:qFormat/>
    <w:rsid w:val="00dc2e76"/>
    <w:pPr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a4651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05fa5"/>
    <w:pPr>
      <w:spacing w:beforeAutospacing="1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736879"/>
    <w:pPr>
      <w:spacing w:before="0" w:after="120"/>
      <w:ind w:left="283"/>
    </w:pPr>
    <w:rPr>
      <w:sz w:val="16"/>
      <w:szCs w:val="16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678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header1.xml" Type="http://schemas.openxmlformats.org/officeDocument/2006/relationships/header" Id="rId2"/>
    <Relationship Target="header2.xml" Type="http://schemas.openxmlformats.org/officeDocument/2006/relationships/header" Id="rId3"/>
    <Relationship Target="header3.xml" Type="http://schemas.openxmlformats.org/officeDocument/2006/relationships/header" Id="rId4"/>
    <Relationship Target="footer1.xml" Type="http://schemas.openxmlformats.org/officeDocument/2006/relationships/footer" Id="rId5"/>
    <Relationship Target="footer2.xml" Type="http://schemas.openxmlformats.org/officeDocument/2006/relationships/footer" Id="rId6"/>
    <Relationship Target="footer3.xml" Type="http://schemas.openxmlformats.org/officeDocument/2006/relationships/footer" Id="rId7"/>
    <Relationship Target="numbering.xml" Type="http://schemas.openxmlformats.org/officeDocument/2006/relationships/numbering" Id="rId8"/>
    <Relationship Target="fontTable.xml" Type="http://schemas.openxmlformats.org/officeDocument/2006/relationships/fontTable" Id="rId9"/>
    <Relationship Target="settings.xml" Type="http://schemas.openxmlformats.org/officeDocument/2006/relationships/settings" Id="rId10"/>
    <Relationship Target="theme/theme1.xml" Type="http://schemas.openxmlformats.org/officeDocument/2006/relationships/theme" Id="rId11"/>
    <Relationship Target="../customXml/item1.xml" Type="http://schemas.openxmlformats.org/officeDocument/2006/relationships/customXml" Id="rId12"/>
</Relationships>

</file>

<file path=word/_rels/header2.xml.rels><?xml version="1.0" encoding="UTF-8" standalone="yes"?>
<Relationships xmlns="http://schemas.openxmlformats.org/package/2006/relationships">
    <Relationship Target="embeddings/oleObject1.bin" Type="http://schemas.openxmlformats.org/officeDocument/2006/relationships/oleObject" Id="rId1"/>
    <Relationship Target="media/image1.wmf" Type="http://schemas.openxmlformats.org/officeDocument/2006/relationships/image" Id="rId2"/>
</Relationships>

</file>

<file path=word/_rels/header3.xml.rels><?xml version="1.0" encoding="UTF-8" standalone="yes"?>
<Relationships xmlns="http://schemas.openxmlformats.org/package/2006/relationships">
    <Relationship Target="embeddings/oleObject2.bin" Type="http://schemas.openxmlformats.org/officeDocument/2006/relationships/oleObject" Id="rId1"/>
    <Relationship Target="media/image1.wmf" Type="http://schemas.openxmlformats.org/officeDocument/2006/relationships/image" Id="rId2"/>
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81B3E74A-277D-478A-8161-D27B4A58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LibreOffice/25.2.5.2$Windows_X86_64 LibreOffice_project/03d19516eb2e1dd5d4ccd751a0d6f35f35e08022</Application>
  <AppVersion>15.0000</AppVersion>
  <Pages>2</Pages>
  <Words>467</Words>
  <Characters>2749</Characters>
  <CharactersWithSpaces>3189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2025-07-30T17:20:00Z</dcterms:created>
  <dc:creator>feliperocha</dc:creator>
  <dc:description/>
  <dc:language>pt-BR</dc:language>
  <cp:lastModifiedBy/>
  <cp:lastPrinted>2024-10-08T02:02:00Z</cp:lastPrinted>
  <dcterms:modified xsi:type="dcterms:W3CDTF">2025-09-11T10:45:12Z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