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en-US"/>
        </w:rPr>
      </w:pPr>
      <w:r>
        <w:rPr>
          <w:lang w:val="en-US"/>
        </w:rPr>
        <w:t>Gintama Kai</w:t>
      </w:r>
    </w:p>
    <w:p>
      <w:pPr>
        <w:pStyle w:val="Normal"/>
        <w:jc w:val="center"/>
        <w:rPr>
          <w:lang w:val="en-US"/>
        </w:rPr>
      </w:pPr>
      <w:r>
        <w:rPr>
          <w:lang w:val="en-US"/>
        </w:rPr>
        <w:t xml:space="preserve">The </w:t>
      </w:r>
    </w:p>
    <w:p>
      <w:pPr>
        <w:pStyle w:val="Normal"/>
        <w:jc w:val="center"/>
        <w:rPr>
          <w:lang w:val="en-US"/>
        </w:rPr>
      </w:pPr>
      <w:r>
        <w:rPr>
          <w:lang w:val="en-US"/>
        </w:rPr>
        <w:t>Visual Novel</w:t>
      </w:r>
    </w:p>
    <w:p>
      <w:pPr>
        <w:pStyle w:val="Normal"/>
        <w:jc w:val="center"/>
        <w:rPr>
          <w:lang w:val="en-US"/>
        </w:rPr>
      </w:pPr>
      <w:r>
        <w:rPr>
          <w:lang w:val="en-US"/>
        </w:rPr>
      </w:r>
    </w:p>
    <w:p>
      <w:pPr>
        <w:pStyle w:val="Normal"/>
        <w:jc w:val="center"/>
        <w:rPr>
          <w:lang w:val="en-US"/>
        </w:rPr>
      </w:pPr>
      <w:r>
        <w:rPr>
          <w:lang w:val="en-US"/>
        </w:rPr>
        <w:t>Story flow</w:t>
      </w:r>
    </w:p>
    <w:p>
      <w:pPr>
        <w:pStyle w:val="Normal"/>
        <w:jc w:val="center"/>
        <w:rPr>
          <w:lang w:val="en-US"/>
        </w:rPr>
      </w:pPr>
      <w:r>
        <w:rPr/>
      </w:r>
    </w:p>
    <w:p>
      <w:pPr>
        <w:pStyle w:val="Normal"/>
        <w:jc w:val="center"/>
        <w:rPr>
          <w:lang w:val="en-US"/>
        </w:rPr>
      </w:pPr>
      <w:r>
        <w:rPr>
          <w:lang w:val="en-US"/>
        </w:rPr>
        <w:t>“</w:t>
      </w:r>
      <w:r>
        <w:rPr>
          <w:lang w:val="en-US"/>
        </w:rPr>
        <w:t>Any novel will share certain story beats that will never stop captivating audiences. The basic version of this structure can be summed up as introduction (ki), development (sho), twist (ten), and resolution (ketsu).” – from ‘Manga in Theory and Practice (by Hirohiko Araki)</w:t>
      </w:r>
    </w:p>
    <w:p>
      <w:pPr>
        <w:pStyle w:val="Normal"/>
        <w:jc w:val="center"/>
        <w:rPr>
          <w:lang w:val="en-US"/>
        </w:rPr>
      </w:pPr>
      <w:r>
        <w:rPr/>
      </w:r>
    </w:p>
    <w:p>
      <w:pPr>
        <w:pStyle w:val="Normal"/>
        <w:widowControl/>
        <w:spacing w:lineRule="auto" w:line="240" w:before="0" w:after="0"/>
        <w:jc w:val="center"/>
        <w:rPr>
          <w:lang w:val="en-US"/>
        </w:rPr>
      </w:pPr>
      <w:r>
        <w:rPr>
          <w:rFonts w:eastAsia="Calibri" w:cs=""/>
          <w:kern w:val="0"/>
          <w:sz w:val="22"/>
          <w:szCs w:val="22"/>
          <w:lang w:val="en-US" w:eastAsia="en-US" w:bidi="ar-SA"/>
        </w:rPr>
        <w:t>Story mode</w:t>
      </w:r>
    </w:p>
    <w:p>
      <w:pPr>
        <w:pStyle w:val="Normal"/>
        <w:widowControl/>
        <w:spacing w:lineRule="auto" w:line="240" w:before="0" w:after="0"/>
        <w:jc w:val="center"/>
        <w:rPr>
          <w:lang w:val="en-US"/>
        </w:rPr>
      </w:pPr>
      <w:r>
        <w:rPr>
          <w:rFonts w:eastAsia="Calibri" w:cs=""/>
          <w:kern w:val="0"/>
          <w:sz w:val="22"/>
          <w:szCs w:val="22"/>
          <w:lang w:val="en-US" w:eastAsia="en-US" w:bidi="ar-SA"/>
        </w:rPr>
        <w:t>Tales of Gintama</w:t>
      </w:r>
    </w:p>
    <w:p>
      <w:pPr>
        <w:pStyle w:val="Normal"/>
        <w:widowControl/>
        <w:spacing w:lineRule="auto" w:line="240" w:before="0" w:after="0"/>
        <w:jc w:val="center"/>
        <w:rPr>
          <w:lang w:val="en-US"/>
        </w:rPr>
      </w:pPr>
      <w:r>
        <w:rPr>
          <w:rFonts w:eastAsia="Calibri" w:cs=""/>
          <w:kern w:val="0"/>
          <w:sz w:val="22"/>
          <w:szCs w:val="22"/>
          <w:lang w:val="nl-NL" w:eastAsia="en-US" w:bidi="ar-SA"/>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2"/>
        <w:gridCol w:w="2272"/>
        <w:gridCol w:w="2462"/>
        <w:gridCol w:w="1979"/>
      </w:tblGrid>
      <w:tr>
        <w:trPr>
          <w:trHeight w:val="530" w:hRule="atLeast"/>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nl-NL"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rHeight w:val="530" w:hRule="atLeast"/>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 xml:space="preserve">Chapter 0 part </w:t>
            </w:r>
            <w:r>
              <w:rPr>
                <w:rFonts w:eastAsia="Calibri" w:cs=""/>
                <w:kern w:val="0"/>
                <w:sz w:val="22"/>
                <w:szCs w:val="22"/>
                <w:lang w:val="en-US" w:eastAsia="en-US" w:bidi="ar-SA"/>
              </w:rPr>
              <w:t>A &amp; B</w:t>
            </w:r>
            <w:r>
              <w:rPr>
                <w:rFonts w:eastAsia="Calibri" w:cs=""/>
                <w:kern w:val="0"/>
                <w:sz w:val="22"/>
                <w:szCs w:val="22"/>
                <w:lang w:val="en-US" w:eastAsia="en-US" w:bidi="ar-SA"/>
              </w:rPr>
              <w:t>: How to start a Visual Novel?!</w:t>
            </w:r>
          </w:p>
          <w:p>
            <w:pPr>
              <w:pStyle w:val="Normal"/>
              <w:widowControl/>
              <w:spacing w:lineRule="auto" w:line="240" w:before="0" w:after="0"/>
              <w:jc w:val="center"/>
              <w:rPr>
                <w:lang w:val="en-US"/>
              </w:rPr>
            </w:pPr>
            <w:r>
              <w:rPr>
                <w:rFonts w:eastAsia="Calibri" w:cs=""/>
                <w:kern w:val="0"/>
                <w:sz w:val="22"/>
                <w:szCs w:val="22"/>
                <w:lang w:val="nl-NL" w:eastAsia="en-US" w:bidi="ar-SA"/>
              </w:rPr>
            </w:r>
          </w:p>
          <w:p>
            <w:pPr>
              <w:pStyle w:val="Normal"/>
              <w:widowControl/>
              <w:spacing w:lineRule="auto" w:line="240" w:before="0" w:after="0"/>
              <w:jc w:val="center"/>
              <w:rPr>
                <w:lang w:val="en-US"/>
              </w:rPr>
            </w:pPr>
            <w:r>
              <w:rPr>
                <w:rFonts w:eastAsia="Calibri" w:cs=""/>
                <w:kern w:val="0"/>
                <w:sz w:val="22"/>
                <w:szCs w:val="22"/>
                <w:lang w:val="en-US" w:eastAsia="en-US" w:bidi="ar-SA"/>
              </w:rPr>
              <w:t>(Yorozuya chapter and Shinsengumi counterpart)</w:t>
            </w:r>
          </w:p>
          <w:p>
            <w:pPr>
              <w:pStyle w:val="Normal"/>
              <w:widowControl/>
              <w:spacing w:lineRule="auto" w:line="240" w:before="0" w:after="0"/>
              <w:jc w:val="center"/>
              <w:rPr>
                <w:lang w:val="en-US"/>
              </w:rPr>
            </w:pPr>
            <w:r>
              <w:rPr>
                <w:rFonts w:eastAsia="Calibri" w:cs=""/>
                <w:kern w:val="0"/>
                <w:sz w:val="22"/>
                <w:szCs w:val="22"/>
                <w:lang w:val="nl-NL" w:eastAsia="en-US" w:bidi="ar-SA"/>
              </w:rPr>
            </w:r>
          </w:p>
          <w:p>
            <w:pPr>
              <w:pStyle w:val="Normal"/>
              <w:widowControl/>
              <w:spacing w:lineRule="auto" w:line="240" w:before="0" w:after="0"/>
              <w:jc w:val="center"/>
              <w:rPr>
                <w:lang w:val="en-US"/>
              </w:rPr>
            </w:pPr>
            <w:r>
              <w:rPr>
                <w:rFonts w:eastAsia="Calibri" w:cs=""/>
                <w:kern w:val="0"/>
                <w:sz w:val="22"/>
                <w:szCs w:val="22"/>
                <w:lang w:val="en-US" w:eastAsia="en-US" w:bidi="ar-SA"/>
              </w:rPr>
              <w:t>Alternative title: What Happens Twice, Happens Thrice</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rHeight w:val="530" w:hRule="atLeast"/>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 xml:space="preserve">Chapter </w:t>
            </w:r>
            <w:r>
              <w:rPr>
                <w:rFonts w:eastAsia="Calibri" w:cs=""/>
                <w:kern w:val="0"/>
                <w:sz w:val="22"/>
                <w:szCs w:val="22"/>
                <w:lang w:val="en-US" w:eastAsia="en-US" w:bidi="ar-SA"/>
              </w:rPr>
              <w:t>1</w:t>
            </w:r>
            <w:r>
              <w:rPr>
                <w:rFonts w:eastAsia="Calibri" w:cs=""/>
                <w:kern w:val="0"/>
                <w:sz w:val="22"/>
                <w:szCs w:val="22"/>
                <w:lang w:val="en-US" w:eastAsia="en-US" w:bidi="ar-SA"/>
              </w:rPr>
              <w:t xml:space="preserve"> part </w:t>
            </w:r>
            <w:r>
              <w:rPr>
                <w:rFonts w:eastAsia="Calibri" w:cs=""/>
                <w:kern w:val="0"/>
                <w:sz w:val="22"/>
                <w:szCs w:val="22"/>
                <w:lang w:val="en-US" w:eastAsia="en-US" w:bidi="ar-SA"/>
              </w:rPr>
              <w:t>A</w:t>
            </w:r>
            <w:r>
              <w:rPr>
                <w:rFonts w:eastAsia="Calibri" w:cs=""/>
                <w:kern w:val="0"/>
                <w:sz w:val="22"/>
                <w:szCs w:val="22"/>
                <w:lang w:val="en-US" w:eastAsia="en-US" w:bidi="ar-SA"/>
              </w:rPr>
              <w:t xml:space="preserve">: </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 xml:space="preserve">Chapter </w:t>
            </w:r>
            <w:r>
              <w:rPr>
                <w:rFonts w:eastAsia="Calibri" w:cs=""/>
                <w:kern w:val="0"/>
                <w:sz w:val="22"/>
                <w:szCs w:val="22"/>
                <w:lang w:val="en-US" w:eastAsia="en-US" w:bidi="ar-SA"/>
              </w:rPr>
              <w:t>1</w:t>
            </w:r>
            <w:r>
              <w:rPr>
                <w:rFonts w:eastAsia="Calibri" w:cs=""/>
                <w:kern w:val="0"/>
                <w:sz w:val="22"/>
                <w:szCs w:val="22"/>
                <w:lang w:val="en-US" w:eastAsia="en-US" w:bidi="ar-SA"/>
              </w:rPr>
              <w:t xml:space="preserve"> part B: It’s *time* to change!!</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t>Main Saga</w:t>
            </w:r>
          </w:p>
        </w:tc>
        <w:tc>
          <w:tcPr>
            <w:tcW w:w="227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t>Story Saga</w:t>
            </w:r>
          </w:p>
        </w:tc>
        <w:tc>
          <w:tcPr>
            <w:tcW w:w="246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t>Parody Saga</w:t>
            </w:r>
          </w:p>
        </w:tc>
        <w:tc>
          <w:tcPr>
            <w:tcW w:w="1979"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t>Character Saga</w:t>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Gengai Arc</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Umibozu arc</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Shogun Arc</w:t>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Yagyuu Arc</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Umibozu arc</w:t>
            </w:r>
          </w:p>
        </w:tc>
      </w:tr>
      <w:tr>
        <w:trPr>
          <w:trHeight w:val="303" w:hRule="atLeast"/>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Santa Arc</w:t>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Sakamoto Arc</w:t>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Goninja Arc</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Barber Arc</w:t>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Tama Arc</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Goninja Arc</w:t>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Kondo Arc</w:t>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Sadaharu</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Yagyuu Arc</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Time-Skip Arc</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Time-Skip Arc</w:t>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Time-Skip Arc</w:t>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Goukon (dinner Kyubei) Arc</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Sovjet/Russian Elizabeth</w:t>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Episode 165 (Ill-smith) from Anime</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c>
          <w:tcPr>
            <w:tcW w:w="230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t>Swimpool with Shogun</w:t>
            </w:r>
          </w:p>
        </w:tc>
        <w:tc>
          <w:tcPr>
            <w:tcW w:w="227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79" w:type="dxa"/>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bl>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bookmarkStart w:id="0" w:name="_GoBack"/>
      <w:bookmarkEnd w:id="0"/>
      <w:r>
        <w:rPr>
          <w:lang w:val="en-US"/>
        </w:rPr>
        <w:t>Campaign/Adventure mode</w:t>
      </w:r>
    </w:p>
    <w:p>
      <w:pPr>
        <w:pStyle w:val="Normal"/>
        <w:jc w:val="center"/>
        <w:rPr>
          <w:lang w:val="en-US"/>
        </w:rPr>
      </w:pPr>
      <w:r>
        <w:rPr>
          <w:lang w:val="en-US"/>
        </w:rPr>
      </w:r>
    </w:p>
    <w:p>
      <w:pPr>
        <w:pStyle w:val="Normal"/>
        <w:jc w:val="center"/>
        <w:rPr>
          <w:lang w:val="en-US"/>
        </w:rPr>
      </w:pPr>
      <w:r>
        <w:rPr>
          <w:lang w:val="en-US"/>
        </w:rPr>
        <w:t>Gintama Kai - Revision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2"/>
        <w:gridCol w:w="2272"/>
        <w:gridCol w:w="2462"/>
        <w:gridCol w:w="1980"/>
      </w:tblGrid>
      <w:tr>
        <w:trPr>
          <w:trHeight w:val="530" w:hRule="atLeast"/>
        </w:trPr>
        <w:tc>
          <w:tcPr>
            <w:tcW w:w="2302" w:type="dxa"/>
            <w:tcBorders>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bottom w:val="nil"/>
            </w:tcBorders>
          </w:tcPr>
          <w:p>
            <w:pPr>
              <w:pStyle w:val="Normal"/>
              <w:widowControl/>
              <w:spacing w:lineRule="auto" w:line="240" w:before="0" w:after="0"/>
              <w:jc w:val="center"/>
              <w:rPr>
                <w:lang w:val="en-US"/>
              </w:rPr>
            </w:pPr>
            <w:r>
              <w:rPr>
                <w:rFonts w:eastAsia="Calibri" w:cs=""/>
                <w:kern w:val="0"/>
                <w:sz w:val="22"/>
                <w:szCs w:val="22"/>
                <w:lang w:val="nl-NL" w:eastAsia="en-US" w:bidi="ar-SA"/>
              </w:rPr>
            </w:r>
          </w:p>
        </w:tc>
        <w:tc>
          <w:tcPr>
            <w:tcW w:w="2462" w:type="dxa"/>
            <w:tcBorders>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80" w:type="dxa"/>
            <w:tcBorders>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rHeight w:val="530" w:hRule="atLeast"/>
        </w:trPr>
        <w:tc>
          <w:tcPr>
            <w:tcW w:w="2302" w:type="dxa"/>
            <w:tcBorders>
              <w:top w:val="nil"/>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op w:val="nil"/>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op w:val="nil"/>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80" w:type="dxa"/>
            <w:tcBorders>
              <w:top w:val="nil"/>
              <w:bottom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r>
        <w:trPr>
          <w:trHeight w:val="530" w:hRule="atLeast"/>
        </w:trPr>
        <w:tc>
          <w:tcPr>
            <w:tcW w:w="230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27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2462"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c>
          <w:tcPr>
            <w:tcW w:w="1980" w:type="dxa"/>
            <w:tcBorders>
              <w:top w:val="nil"/>
            </w:tcBorders>
          </w:tcPr>
          <w:p>
            <w:pPr>
              <w:pStyle w:val="Normal"/>
              <w:widowControl/>
              <w:spacing w:lineRule="auto" w:line="240" w:before="0" w:after="0"/>
              <w:jc w:val="center"/>
              <w:rPr>
                <w:lang w:val="en-US"/>
              </w:rPr>
            </w:pPr>
            <w:r>
              <w:rPr>
                <w:rFonts w:eastAsia="Calibri" w:cs=""/>
                <w:kern w:val="0"/>
                <w:sz w:val="22"/>
                <w:szCs w:val="22"/>
                <w:lang w:val="en-US" w:eastAsia="en-US" w:bidi="ar-SA"/>
              </w:rPr>
            </w:r>
          </w:p>
        </w:tc>
      </w:tr>
    </w:tbl>
    <w:p>
      <w:pPr>
        <w:pStyle w:val="Normal"/>
        <w:spacing w:before="0" w:after="160"/>
        <w:jc w:val="center"/>
        <w:rPr>
          <w:lang w:val="en-US"/>
        </w:rPr>
      </w:pPr>
      <w:r>
        <w:rPr>
          <w:lang w:val="en-US"/>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nl-NL"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8115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215</TotalTime>
  <Application>LibreOffice/24.2.7.2$Linux_X86_64 LibreOffice_project/420$Build-2</Application>
  <AppVersion>15.0000</AppVersion>
  <Pages>2</Pages>
  <Words>151</Words>
  <Characters>803</Characters>
  <CharactersWithSpaces>918</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2016-12-22T08:20:00Z</dcterms:created>
  <dc:creator>Oubelkas Adam</dc:creator>
  <dc:description/>
  <dc:language>en-US</dc:language>
  <cp:lastModifiedBy/>
  <dcterms:modified xsi:type="dcterms:W3CDTF">2026-02-11T12:17:41Z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