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ind w:firstLine="720"/>
        <w:jc w:val="left"/>
        <w:rPr>
          <w:rFonts w:ascii="Times New Roman" w:cs="Times New Roman" w:eastAsia="Times New Roman" w:hAnsi="Times New Roman"/>
          <w:b w:val="1"/>
          <w:color w:val="212121"/>
          <w:sz w:val="62"/>
          <w:szCs w:val="62"/>
          <w:highlight w:val="white"/>
        </w:rPr>
      </w:pPr>
      <w:r w:rsidDel="00000000" w:rsidR="00000000" w:rsidRPr="00000000">
        <w:rPr>
          <w:rFonts w:ascii="Times New Roman" w:cs="Times New Roman" w:eastAsia="Times New Roman" w:hAnsi="Times New Roman"/>
          <w:b w:val="1"/>
          <w:color w:val="212121"/>
          <w:sz w:val="62"/>
          <w:szCs w:val="62"/>
          <w:highlight w:val="white"/>
          <w:rtl w:val="0"/>
        </w:rPr>
        <w:t xml:space="preserve">Project 1 Report - Group 2</w:t>
      </w:r>
    </w:p>
    <w:p w:rsidR="00000000" w:rsidDel="00000000" w:rsidP="00000000" w:rsidRDefault="00000000" w:rsidRPr="00000000" w14:paraId="00000002">
      <w:pPr>
        <w:spacing w:line="360" w:lineRule="auto"/>
        <w:jc w:val="center"/>
        <w:rPr>
          <w:rFonts w:ascii="Times New Roman" w:cs="Times New Roman" w:eastAsia="Times New Roman" w:hAnsi="Times New Roman"/>
          <w:b w:val="1"/>
          <w:color w:val="212121"/>
          <w:sz w:val="62"/>
          <w:szCs w:val="62"/>
          <w:highlight w:val="white"/>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color w:val="212121"/>
          <w:sz w:val="46"/>
          <w:szCs w:val="46"/>
          <w:highlight w:val="white"/>
        </w:rPr>
      </w:pPr>
      <w:r w:rsidDel="00000000" w:rsidR="00000000" w:rsidRPr="00000000">
        <w:rPr>
          <w:rFonts w:ascii="Times New Roman" w:cs="Times New Roman" w:eastAsia="Times New Roman" w:hAnsi="Times New Roman"/>
          <w:b w:val="1"/>
          <w:color w:val="212121"/>
          <w:sz w:val="46"/>
          <w:szCs w:val="46"/>
          <w:highlight w:val="white"/>
          <w:rtl w:val="0"/>
        </w:rPr>
        <w:t xml:space="preserve">The Identification of pathogenic disease-associated short tandem repeats(STRs) in clinical samples</w:t>
      </w:r>
    </w:p>
    <w:p w:rsidR="00000000" w:rsidDel="00000000" w:rsidP="00000000" w:rsidRDefault="00000000" w:rsidRPr="00000000" w14:paraId="00000004">
      <w:pPr>
        <w:rPr>
          <w:rFonts w:ascii="Times New Roman" w:cs="Times New Roman" w:eastAsia="Times New Roman" w:hAnsi="Times New Roman"/>
          <w:b w:val="1"/>
          <w:color w:val="212121"/>
          <w:sz w:val="28"/>
          <w:szCs w:val="28"/>
          <w:highlight w:val="white"/>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b w:val="1"/>
          <w:color w:val="212121"/>
          <w:sz w:val="28"/>
          <w:szCs w:val="28"/>
          <w:highlight w:val="white"/>
        </w:rPr>
      </w:pPr>
      <w:r w:rsidDel="00000000" w:rsidR="00000000" w:rsidRPr="00000000">
        <w:rPr>
          <w:rFonts w:ascii="Times New Roman" w:cs="Times New Roman" w:eastAsia="Times New Roman" w:hAnsi="Times New Roman"/>
          <w:b w:val="1"/>
          <w:color w:val="212121"/>
          <w:sz w:val="28"/>
          <w:szCs w:val="28"/>
          <w:highlight w:val="white"/>
          <w:rtl w:val="0"/>
        </w:rPr>
        <w:t xml:space="preserve">INTRODUCTION</w:t>
      </w:r>
    </w:p>
    <w:p w:rsidR="00000000" w:rsidDel="00000000" w:rsidP="00000000" w:rsidRDefault="00000000" w:rsidRPr="00000000" w14:paraId="00000006">
      <w:pPr>
        <w:rPr>
          <w:rFonts w:ascii="Times New Roman" w:cs="Times New Roman" w:eastAsia="Times New Roman" w:hAnsi="Times New Roman"/>
          <w:b w:val="1"/>
          <w:color w:val="212121"/>
          <w:sz w:val="28"/>
          <w:szCs w:val="28"/>
          <w:highlight w:val="white"/>
        </w:rPr>
      </w:pPr>
      <w:r w:rsidDel="00000000" w:rsidR="00000000" w:rsidRPr="00000000">
        <w:rPr>
          <w:rtl w:val="0"/>
        </w:rPr>
      </w:r>
    </w:p>
    <w:p w:rsidR="00000000" w:rsidDel="00000000" w:rsidP="00000000" w:rsidRDefault="00000000" w:rsidRPr="00000000" w14:paraId="00000007">
      <w:pPr>
        <w:spacing w:line="360" w:lineRule="auto"/>
        <w:rPr>
          <w:rFonts w:ascii="Times New Roman" w:cs="Times New Roman" w:eastAsia="Times New Roman" w:hAnsi="Times New Roman"/>
          <w:color w:val="212121"/>
          <w:sz w:val="28"/>
          <w:szCs w:val="28"/>
          <w:highlight w:val="white"/>
        </w:rPr>
      </w:pPr>
      <w:r w:rsidDel="00000000" w:rsidR="00000000" w:rsidRPr="00000000">
        <w:rPr>
          <w:rFonts w:ascii="Times New Roman" w:cs="Times New Roman" w:eastAsia="Times New Roman" w:hAnsi="Times New Roman"/>
          <w:color w:val="212121"/>
          <w:sz w:val="28"/>
          <w:szCs w:val="28"/>
          <w:highlight w:val="white"/>
          <w:rtl w:val="0"/>
        </w:rPr>
        <w:t xml:space="preserve">Microsatellites, or short tandem repeats (STRs), are polymorphic nucleotide sequences that range from 1 to 6 bp and can be repeated several times in the genome. STRs are present in many eukaryotes and prokaryotes and are distributed fairly evenly throughout the human genome(Fan, H., &amp; Chu, J. Y., 2007).</w:t>
      </w:r>
    </w:p>
    <w:p w:rsidR="00000000" w:rsidDel="00000000" w:rsidP="00000000" w:rsidRDefault="00000000" w:rsidRPr="00000000" w14:paraId="00000008">
      <w:pPr>
        <w:spacing w:line="360" w:lineRule="auto"/>
        <w:rPr>
          <w:rFonts w:ascii="Times New Roman" w:cs="Times New Roman" w:eastAsia="Times New Roman" w:hAnsi="Times New Roman"/>
          <w:color w:val="212121"/>
          <w:sz w:val="28"/>
          <w:szCs w:val="28"/>
          <w:highlight w:val="white"/>
        </w:rPr>
      </w:pPr>
      <w:r w:rsidDel="00000000" w:rsidR="00000000" w:rsidRPr="00000000">
        <w:rPr>
          <w:rFonts w:ascii="Times New Roman" w:cs="Times New Roman" w:eastAsia="Times New Roman" w:hAnsi="Times New Roman"/>
          <w:color w:val="212121"/>
          <w:sz w:val="28"/>
          <w:szCs w:val="28"/>
          <w:highlight w:val="white"/>
          <w:rtl w:val="0"/>
        </w:rPr>
        <w:t xml:space="preserve"> </w:t>
      </w:r>
    </w:p>
    <w:p w:rsidR="00000000" w:rsidDel="00000000" w:rsidP="00000000" w:rsidRDefault="00000000" w:rsidRPr="00000000" w14:paraId="00000009">
      <w:pPr>
        <w:spacing w:line="360" w:lineRule="auto"/>
        <w:rPr>
          <w:rFonts w:ascii="Times New Roman" w:cs="Times New Roman" w:eastAsia="Times New Roman" w:hAnsi="Times New Roman"/>
          <w:color w:val="212121"/>
          <w:sz w:val="28"/>
          <w:szCs w:val="28"/>
          <w:highlight w:val="white"/>
        </w:rPr>
      </w:pPr>
      <w:r w:rsidDel="00000000" w:rsidR="00000000" w:rsidRPr="00000000">
        <w:rPr>
          <w:rFonts w:ascii="Times New Roman" w:cs="Times New Roman" w:eastAsia="Times New Roman" w:hAnsi="Times New Roman"/>
          <w:color w:val="212121"/>
          <w:sz w:val="28"/>
          <w:szCs w:val="28"/>
          <w:highlight w:val="white"/>
          <w:rtl w:val="0"/>
        </w:rPr>
        <w:t xml:space="preserve">Over the past few decades, it has become evident that many human diseases are directly caused by STRs. The majority of diseases referred to as repeat expansion mainly impact the nervous system (Paulson H </w:t>
      </w:r>
      <w:r w:rsidDel="00000000" w:rsidR="00000000" w:rsidRPr="00000000">
        <w:rPr>
          <w:rFonts w:ascii="Times New Roman" w:cs="Times New Roman" w:eastAsia="Times New Roman" w:hAnsi="Times New Roman"/>
          <w:i w:val="1"/>
          <w:color w:val="212121"/>
          <w:sz w:val="28"/>
          <w:szCs w:val="28"/>
          <w:highlight w:val="white"/>
          <w:rtl w:val="0"/>
        </w:rPr>
        <w:t xml:space="preserve">et al. </w:t>
      </w:r>
      <w:r w:rsidDel="00000000" w:rsidR="00000000" w:rsidRPr="00000000">
        <w:rPr>
          <w:rFonts w:ascii="Times New Roman" w:cs="Times New Roman" w:eastAsia="Times New Roman" w:hAnsi="Times New Roman"/>
          <w:color w:val="212121"/>
          <w:sz w:val="28"/>
          <w:szCs w:val="28"/>
          <w:highlight w:val="white"/>
          <w:rtl w:val="0"/>
        </w:rPr>
        <w:t xml:space="preserve">2018</w:t>
      </w:r>
      <w:r w:rsidDel="00000000" w:rsidR="00000000" w:rsidRPr="00000000">
        <w:rPr>
          <w:rFonts w:ascii="Times New Roman" w:cs="Times New Roman" w:eastAsia="Times New Roman" w:hAnsi="Times New Roman"/>
          <w:i w:val="1"/>
          <w:color w:val="212121"/>
          <w:sz w:val="28"/>
          <w:szCs w:val="28"/>
          <w:highlight w:val="white"/>
          <w:rtl w:val="0"/>
        </w:rPr>
        <w:t xml:space="preserve">)</w:t>
      </w:r>
      <w:r w:rsidDel="00000000" w:rsidR="00000000" w:rsidRPr="00000000">
        <w:rPr>
          <w:rFonts w:ascii="Times New Roman" w:cs="Times New Roman" w:eastAsia="Times New Roman" w:hAnsi="Times New Roman"/>
          <w:color w:val="212121"/>
          <w:sz w:val="28"/>
          <w:szCs w:val="28"/>
          <w:highlight w:val="white"/>
          <w:rtl w:val="0"/>
        </w:rPr>
        <w:t xml:space="preserve">.</w:t>
      </w:r>
    </w:p>
    <w:p w:rsidR="00000000" w:rsidDel="00000000" w:rsidP="00000000" w:rsidRDefault="00000000" w:rsidRPr="00000000" w14:paraId="0000000A">
      <w:pPr>
        <w:rPr>
          <w:rFonts w:ascii="Times New Roman" w:cs="Times New Roman" w:eastAsia="Times New Roman" w:hAnsi="Times New Roman"/>
          <w:color w:val="212121"/>
          <w:sz w:val="28"/>
          <w:szCs w:val="28"/>
          <w:highlight w:val="white"/>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b w:val="1"/>
          <w:color w:val="212121"/>
          <w:sz w:val="28"/>
          <w:szCs w:val="28"/>
          <w:highlight w:val="white"/>
        </w:rPr>
      </w:pPr>
      <w:r w:rsidDel="00000000" w:rsidR="00000000" w:rsidRPr="00000000">
        <w:rPr>
          <w:rFonts w:ascii="Times New Roman" w:cs="Times New Roman" w:eastAsia="Times New Roman" w:hAnsi="Times New Roman"/>
          <w:b w:val="1"/>
          <w:color w:val="212121"/>
          <w:sz w:val="28"/>
          <w:szCs w:val="28"/>
          <w:highlight w:val="white"/>
          <w:rtl w:val="0"/>
        </w:rPr>
        <w:t xml:space="preserve">PROJECT DESCRIPTION</w:t>
      </w:r>
    </w:p>
    <w:p w:rsidR="00000000" w:rsidDel="00000000" w:rsidP="00000000" w:rsidRDefault="00000000" w:rsidRPr="00000000" w14:paraId="0000000C">
      <w:pPr>
        <w:rPr>
          <w:rFonts w:ascii="Times New Roman" w:cs="Times New Roman" w:eastAsia="Times New Roman" w:hAnsi="Times New Roman"/>
          <w:b w:val="1"/>
          <w:color w:val="212121"/>
          <w:sz w:val="28"/>
          <w:szCs w:val="28"/>
          <w:highlight w:val="white"/>
        </w:rPr>
      </w:pPr>
      <w:r w:rsidDel="00000000" w:rsidR="00000000" w:rsidRPr="00000000">
        <w:rPr>
          <w:rtl w:val="0"/>
        </w:rPr>
      </w:r>
    </w:p>
    <w:p w:rsidR="00000000" w:rsidDel="00000000" w:rsidP="00000000" w:rsidRDefault="00000000" w:rsidRPr="00000000" w14:paraId="0000000D">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Neurology Department at a teaching hospital in South Africa recently acquired a seed grant from a new biotechnology start-up company.They carried out Whole Genome Sequencing on 10 patient genomes presented with “progressive adult-onset muscle weakness” with a diverse but variable range of symptoms including slurred speech, muscle cramps and twitches, muscle wasting and even cognitive decline in some patients. </w:t>
      </w:r>
    </w:p>
    <w:p w:rsidR="00000000" w:rsidDel="00000000" w:rsidP="00000000" w:rsidRDefault="00000000" w:rsidRPr="00000000" w14:paraId="0000000E">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WGS data did not find any pathogenic variants when screening single nucleotide polymorphisms (SNPs) and short insertions and deletions (in/dels) in the patients samples. The neurologists felt that these patients may have a possible genetic etiology for their symptoms. Given the prominent role of repeat expansions in neurological disorders.</w:t>
      </w:r>
    </w:p>
    <w:p w:rsidR="00000000" w:rsidDel="00000000" w:rsidP="00000000" w:rsidRDefault="00000000" w:rsidRPr="00000000" w14:paraId="0000000F">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Neurology Department has approached our group to ask for assistance to screen the WGS data from their 10 patients. They are concerned that they may be missing disease-associated short tandem repeats (STRs) amongst this group which were not picked up by the standard variant calling pipeline which focuses on SNPs and in/dels.</w:t>
      </w:r>
    </w:p>
    <w:p w:rsidR="00000000" w:rsidDel="00000000" w:rsidP="00000000" w:rsidRDefault="00000000" w:rsidRPr="00000000" w14:paraId="00000010">
      <w:pPr>
        <w:spacing w:line="276"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1">
      <w:pPr>
        <w:spacing w:line="276" w:lineRule="auto"/>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Expected Results</w:t>
      </w:r>
    </w:p>
    <w:p w:rsidR="00000000" w:rsidDel="00000000" w:rsidP="00000000" w:rsidRDefault="00000000" w:rsidRPr="00000000" w14:paraId="00000012">
      <w:pPr>
        <w:spacing w:line="360" w:lineRule="auto"/>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On successful implementation, the Neurology Department expects that we should:</w:t>
      </w:r>
    </w:p>
    <w:p w:rsidR="00000000" w:rsidDel="00000000" w:rsidP="00000000" w:rsidRDefault="00000000" w:rsidRPr="00000000" w14:paraId="00000013">
      <w:pPr>
        <w:spacing w:line="360" w:lineRule="auto"/>
        <w:ind w:left="36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i) Provide a genetic diagnosis for one patient by identifying a disease-associated repeat expansion in the pathogenic range.</w:t>
      </w:r>
    </w:p>
    <w:p w:rsidR="00000000" w:rsidDel="00000000" w:rsidP="00000000" w:rsidRDefault="00000000" w:rsidRPr="00000000" w14:paraId="00000014">
      <w:pPr>
        <w:spacing w:line="360" w:lineRule="auto"/>
        <w:ind w:left="36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ii) Identify 3 patients with intermediate range disease-associated repeat expansions.</w:t>
      </w:r>
    </w:p>
    <w:p w:rsidR="00000000" w:rsidDel="00000000" w:rsidP="00000000" w:rsidRDefault="00000000" w:rsidRPr="00000000" w14:paraId="00000015">
      <w:pPr>
        <w:spacing w:line="360" w:lineRule="auto"/>
        <w:ind w:left="36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iii) Provide a visualization of all 4 of the identified disease-associated REs clearly showing the read support for each allele.</w:t>
      </w:r>
    </w:p>
    <w:p w:rsidR="00000000" w:rsidDel="00000000" w:rsidP="00000000" w:rsidRDefault="00000000" w:rsidRPr="00000000" w14:paraId="00000016">
      <w:pPr>
        <w:spacing w:line="360" w:lineRule="auto"/>
        <w:ind w:left="36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iv) Provide some feedback for the Neurology Department regarding the following queries:</w:t>
      </w:r>
    </w:p>
    <w:p w:rsidR="00000000" w:rsidDel="00000000" w:rsidP="00000000" w:rsidRDefault="00000000" w:rsidRPr="00000000" w14:paraId="00000017">
      <w:pPr>
        <w:rPr>
          <w:rFonts w:ascii="Times New Roman" w:cs="Times New Roman" w:eastAsia="Times New Roman" w:hAnsi="Times New Roman"/>
          <w:color w:val="212121"/>
          <w:sz w:val="28"/>
          <w:szCs w:val="28"/>
          <w:highlight w:val="white"/>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color w:val="212121"/>
          <w:sz w:val="28"/>
          <w:szCs w:val="28"/>
          <w:highlight w:val="white"/>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b w:val="1"/>
          <w:color w:val="212121"/>
          <w:sz w:val="28"/>
          <w:szCs w:val="28"/>
          <w:highlight w:val="white"/>
        </w:rPr>
      </w:pPr>
      <w:r w:rsidDel="00000000" w:rsidR="00000000" w:rsidRPr="00000000">
        <w:rPr>
          <w:rFonts w:ascii="Times New Roman" w:cs="Times New Roman" w:eastAsia="Times New Roman" w:hAnsi="Times New Roman"/>
          <w:b w:val="1"/>
          <w:color w:val="212121"/>
          <w:sz w:val="28"/>
          <w:szCs w:val="28"/>
          <w:highlight w:val="white"/>
          <w:rtl w:val="0"/>
        </w:rPr>
        <w:t xml:space="preserve">METHODOLOGY</w:t>
      </w:r>
    </w:p>
    <w:p w:rsidR="00000000" w:rsidDel="00000000" w:rsidP="00000000" w:rsidRDefault="00000000" w:rsidRPr="00000000" w14:paraId="0000001A">
      <w:pPr>
        <w:rPr>
          <w:rFonts w:ascii="Times New Roman" w:cs="Times New Roman" w:eastAsia="Times New Roman" w:hAnsi="Times New Roman"/>
          <w:color w:val="212121"/>
          <w:sz w:val="28"/>
          <w:szCs w:val="28"/>
          <w:highlight w:val="white"/>
        </w:rPr>
      </w:pPr>
      <w:r w:rsidDel="00000000" w:rsidR="00000000" w:rsidRPr="00000000">
        <w:rPr>
          <w:rtl w:val="0"/>
        </w:rPr>
      </w:r>
    </w:p>
    <w:p w:rsidR="00000000" w:rsidDel="00000000" w:rsidP="00000000" w:rsidRDefault="00000000" w:rsidRPr="00000000" w14:paraId="0000001B">
      <w:pPr>
        <w:spacing w:line="360" w:lineRule="auto"/>
        <w:jc w:val="both"/>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Dataset</w:t>
      </w:r>
    </w:p>
    <w:p w:rsidR="00000000" w:rsidDel="00000000" w:rsidP="00000000" w:rsidRDefault="00000000" w:rsidRPr="00000000" w14:paraId="0000001C">
      <w:pPr>
        <w:spacing w:line="360" w:lineRule="auto"/>
        <w:jc w:val="both"/>
        <w:rPr>
          <w:rFonts w:ascii="Times New Roman" w:cs="Times New Roman" w:eastAsia="Times New Roman" w:hAnsi="Times New Roman"/>
          <w:sz w:val="30"/>
          <w:szCs w:val="30"/>
          <w:highlight w:val="white"/>
        </w:rPr>
      </w:pPr>
      <w:r w:rsidDel="00000000" w:rsidR="00000000" w:rsidRPr="00000000">
        <w:rPr>
          <w:rFonts w:ascii="Times New Roman" w:cs="Times New Roman" w:eastAsia="Times New Roman" w:hAnsi="Times New Roman"/>
          <w:color w:val="111111"/>
          <w:sz w:val="30"/>
          <w:szCs w:val="30"/>
          <w:highlight w:val="white"/>
          <w:rtl w:val="0"/>
        </w:rPr>
        <w:t xml:space="preserve">We procured Illumina PCR-free whole genome sequencing data with a 30X coverage for a cohort of 10 individuals. This high-coverage sequencing aimed to provide a comprehensive view of the genome, minimizing the gaps and ensuring accuracy in variant calling. The reference genome used for alignment was GRch37, a well-established human genome build that facilitates comparative analysis and interpretation of genomic data.</w:t>
      </w:r>
      <w:r w:rsidDel="00000000" w:rsidR="00000000" w:rsidRPr="00000000">
        <w:rPr>
          <w:rtl w:val="0"/>
        </w:rPr>
      </w:r>
    </w:p>
    <w:p w:rsidR="00000000" w:rsidDel="00000000" w:rsidP="00000000" w:rsidRDefault="00000000" w:rsidRPr="00000000" w14:paraId="0000001D">
      <w:pPr>
        <w:spacing w:line="276"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E">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Tandem Repeat (TR) Genotyping Tools</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spacing w:before="180" w:line="360" w:lineRule="auto"/>
        <w:jc w:val="both"/>
        <w:rPr>
          <w:rFonts w:ascii="Times New Roman" w:cs="Times New Roman" w:eastAsia="Times New Roman" w:hAnsi="Times New Roman"/>
          <w:color w:val="111111"/>
          <w:sz w:val="30"/>
          <w:szCs w:val="30"/>
        </w:rPr>
      </w:pPr>
      <w:r w:rsidDel="00000000" w:rsidR="00000000" w:rsidRPr="00000000">
        <w:rPr>
          <w:rFonts w:ascii="Times New Roman" w:cs="Times New Roman" w:eastAsia="Times New Roman" w:hAnsi="Times New Roman"/>
          <w:color w:val="111111"/>
          <w:sz w:val="30"/>
          <w:szCs w:val="30"/>
          <w:rtl w:val="0"/>
        </w:rPr>
        <w:t xml:space="preserve">Tandem Repeat (TR) Genotyping Tools Employed For the genotyping of tandem repeats within the dataset, we utilized a suite of specialized bioinformatics tools:</w:t>
      </w:r>
    </w:p>
    <w:p w:rsidR="00000000" w:rsidDel="00000000" w:rsidP="00000000" w:rsidRDefault="00000000" w:rsidRPr="00000000" w14:paraId="00000020">
      <w:pPr>
        <w:numPr>
          <w:ilvl w:val="0"/>
          <w:numId w:val="2"/>
        </w:numPr>
        <w:shd w:fill="ffffff" w:val="clear"/>
        <w:spacing w:after="0" w:afterAutospacing="0" w:before="180" w:line="360" w:lineRule="auto"/>
        <w:ind w:left="720" w:hanging="360"/>
        <w:rPr>
          <w:sz w:val="30"/>
          <w:szCs w:val="30"/>
        </w:rPr>
      </w:pPr>
      <w:r w:rsidDel="00000000" w:rsidR="00000000" w:rsidRPr="00000000">
        <w:rPr>
          <w:rFonts w:ascii="Times New Roman" w:cs="Times New Roman" w:eastAsia="Times New Roman" w:hAnsi="Times New Roman"/>
          <w:b w:val="1"/>
          <w:color w:val="111111"/>
          <w:sz w:val="30"/>
          <w:szCs w:val="30"/>
          <w:rtl w:val="0"/>
        </w:rPr>
        <w:t xml:space="preserve">ExpansionHunter</w:t>
      </w:r>
      <w:r w:rsidDel="00000000" w:rsidR="00000000" w:rsidRPr="00000000">
        <w:rPr>
          <w:rFonts w:ascii="Times New Roman" w:cs="Times New Roman" w:eastAsia="Times New Roman" w:hAnsi="Times New Roman"/>
          <w:color w:val="111111"/>
          <w:sz w:val="30"/>
          <w:szCs w:val="30"/>
          <w:rtl w:val="0"/>
        </w:rPr>
        <w:t xml:space="preserve">: This tool was pivotal in identifying and characterizing expansions of short tandem repeats (STRs) that are implicated in various genetic disorders.</w:t>
      </w:r>
    </w:p>
    <w:p w:rsidR="00000000" w:rsidDel="00000000" w:rsidP="00000000" w:rsidRDefault="00000000" w:rsidRPr="00000000" w14:paraId="00000021">
      <w:pPr>
        <w:numPr>
          <w:ilvl w:val="0"/>
          <w:numId w:val="2"/>
        </w:numPr>
        <w:shd w:fill="ffffff" w:val="clear"/>
        <w:spacing w:after="0" w:afterAutospacing="0" w:before="0" w:beforeAutospacing="0" w:line="360" w:lineRule="auto"/>
        <w:ind w:left="720" w:hanging="360"/>
        <w:rPr>
          <w:sz w:val="30"/>
          <w:szCs w:val="30"/>
        </w:rPr>
      </w:pPr>
      <w:r w:rsidDel="00000000" w:rsidR="00000000" w:rsidRPr="00000000">
        <w:rPr>
          <w:rFonts w:ascii="Times New Roman" w:cs="Times New Roman" w:eastAsia="Times New Roman" w:hAnsi="Times New Roman"/>
          <w:b w:val="1"/>
          <w:color w:val="111111"/>
          <w:sz w:val="30"/>
          <w:szCs w:val="30"/>
          <w:rtl w:val="0"/>
        </w:rPr>
        <w:t xml:space="preserve">REViewer</w:t>
      </w:r>
      <w:r w:rsidDel="00000000" w:rsidR="00000000" w:rsidRPr="00000000">
        <w:rPr>
          <w:rFonts w:ascii="Times New Roman" w:cs="Times New Roman" w:eastAsia="Times New Roman" w:hAnsi="Times New Roman"/>
          <w:color w:val="111111"/>
          <w:sz w:val="30"/>
          <w:szCs w:val="30"/>
          <w:rtl w:val="0"/>
        </w:rPr>
        <w:t xml:space="preserve">: A complementary tool to ExpansionHunter, REViewer was employed for the graphical visualization of the STR expansions.</w:t>
      </w:r>
    </w:p>
    <w:p w:rsidR="00000000" w:rsidDel="00000000" w:rsidP="00000000" w:rsidRDefault="00000000" w:rsidRPr="00000000" w14:paraId="00000022">
      <w:pPr>
        <w:numPr>
          <w:ilvl w:val="0"/>
          <w:numId w:val="2"/>
        </w:numPr>
        <w:shd w:fill="ffffff" w:val="clear"/>
        <w:spacing w:before="0" w:beforeAutospacing="0" w:line="360" w:lineRule="auto"/>
        <w:ind w:left="720" w:hanging="360"/>
        <w:rPr>
          <w:sz w:val="30"/>
          <w:szCs w:val="30"/>
        </w:rPr>
      </w:pPr>
      <w:r w:rsidDel="00000000" w:rsidR="00000000" w:rsidRPr="00000000">
        <w:rPr>
          <w:rFonts w:ascii="Times New Roman" w:cs="Times New Roman" w:eastAsia="Times New Roman" w:hAnsi="Times New Roman"/>
          <w:b w:val="1"/>
          <w:color w:val="111111"/>
          <w:sz w:val="30"/>
          <w:szCs w:val="30"/>
          <w:rtl w:val="0"/>
        </w:rPr>
        <w:t xml:space="preserve">Samtools</w:t>
      </w:r>
      <w:r w:rsidDel="00000000" w:rsidR="00000000" w:rsidRPr="00000000">
        <w:rPr>
          <w:rFonts w:ascii="Times New Roman" w:cs="Times New Roman" w:eastAsia="Times New Roman" w:hAnsi="Times New Roman"/>
          <w:color w:val="111111"/>
          <w:sz w:val="30"/>
          <w:szCs w:val="30"/>
          <w:rtl w:val="0"/>
        </w:rPr>
        <w:t xml:space="preserve">: An essential utility for manipulating alignments in the Sequence Alignment/Map (SAM) format, which includes sorting and indexing BAM files.</w:t>
      </w:r>
    </w:p>
    <w:p w:rsidR="00000000" w:rsidDel="00000000" w:rsidP="00000000" w:rsidRDefault="00000000" w:rsidRPr="00000000" w14:paraId="00000023">
      <w:pPr>
        <w:pStyle w:val="Heading1"/>
        <w:keepNext w:val="0"/>
        <w:keepLines w:val="0"/>
        <w:shd w:fill="ffffff" w:val="clear"/>
        <w:spacing w:after="0" w:before="200" w:line="360" w:lineRule="auto"/>
        <w:jc w:val="both"/>
        <w:rPr>
          <w:rFonts w:ascii="Times New Roman" w:cs="Times New Roman" w:eastAsia="Times New Roman" w:hAnsi="Times New Roman"/>
          <w:b w:val="1"/>
          <w:sz w:val="28"/>
          <w:szCs w:val="28"/>
        </w:rPr>
      </w:pPr>
      <w:bookmarkStart w:colFirst="0" w:colLast="0" w:name="_nykrjnlkeww1" w:id="0"/>
      <w:bookmarkEnd w:id="0"/>
      <w:r w:rsidDel="00000000" w:rsidR="00000000" w:rsidRPr="00000000">
        <w:rPr>
          <w:rFonts w:ascii="Times New Roman" w:cs="Times New Roman" w:eastAsia="Times New Roman" w:hAnsi="Times New Roman"/>
          <w:b w:val="1"/>
          <w:sz w:val="30"/>
          <w:szCs w:val="30"/>
          <w:rtl w:val="0"/>
        </w:rPr>
        <w:t xml:space="preserve">ExpansionHunter</w:t>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spacing w:before="180" w:line="360" w:lineRule="auto"/>
        <w:jc w:val="both"/>
        <w:rPr>
          <w:rFonts w:ascii="Times New Roman" w:cs="Times New Roman" w:eastAsia="Times New Roman" w:hAnsi="Times New Roman"/>
          <w:color w:val="111111"/>
          <w:sz w:val="30"/>
          <w:szCs w:val="30"/>
        </w:rPr>
      </w:pPr>
      <w:r w:rsidDel="00000000" w:rsidR="00000000" w:rsidRPr="00000000">
        <w:rPr>
          <w:rFonts w:ascii="Times New Roman" w:cs="Times New Roman" w:eastAsia="Times New Roman" w:hAnsi="Times New Roman"/>
          <w:b w:val="1"/>
          <w:color w:val="111111"/>
          <w:sz w:val="30"/>
          <w:szCs w:val="30"/>
          <w:rtl w:val="0"/>
        </w:rPr>
        <w:t xml:space="preserve">Operational Workflow:</w:t>
      </w:r>
      <w:r w:rsidDel="00000000" w:rsidR="00000000" w:rsidRPr="00000000">
        <w:rPr>
          <w:rFonts w:ascii="Times New Roman" w:cs="Times New Roman" w:eastAsia="Times New Roman" w:hAnsi="Times New Roman"/>
          <w:color w:val="111111"/>
          <w:sz w:val="30"/>
          <w:szCs w:val="30"/>
          <w:rtl w:val="0"/>
        </w:rPr>
        <w:t xml:space="preserve"> Each of the 10 genomic samples underwent a rigorous analysis with ExpansionHunter. The workflow was as follows:</w:t>
      </w:r>
    </w:p>
    <w:p w:rsidR="00000000" w:rsidDel="00000000" w:rsidP="00000000" w:rsidRDefault="00000000" w:rsidRPr="00000000" w14:paraId="00000025">
      <w:pPr>
        <w:numPr>
          <w:ilvl w:val="0"/>
          <w:numId w:val="4"/>
        </w:numPr>
        <w:shd w:fill="ffffff" w:val="clear"/>
        <w:spacing w:after="0" w:afterAutospacing="0" w:before="180" w:line="360" w:lineRule="auto"/>
        <w:ind w:left="720" w:hanging="360"/>
        <w:rPr>
          <w:sz w:val="30"/>
          <w:szCs w:val="30"/>
        </w:rPr>
      </w:pPr>
      <w:r w:rsidDel="00000000" w:rsidR="00000000" w:rsidRPr="00000000">
        <w:rPr>
          <w:rFonts w:ascii="Times New Roman" w:cs="Times New Roman" w:eastAsia="Times New Roman" w:hAnsi="Times New Roman"/>
          <w:b w:val="1"/>
          <w:color w:val="111111"/>
          <w:sz w:val="30"/>
          <w:szCs w:val="30"/>
          <w:rtl w:val="0"/>
        </w:rPr>
        <w:t xml:space="preserve">Alignment</w:t>
      </w:r>
      <w:r w:rsidDel="00000000" w:rsidR="00000000" w:rsidRPr="00000000">
        <w:rPr>
          <w:rFonts w:ascii="Times New Roman" w:cs="Times New Roman" w:eastAsia="Times New Roman" w:hAnsi="Times New Roman"/>
          <w:color w:val="111111"/>
          <w:sz w:val="30"/>
          <w:szCs w:val="30"/>
          <w:rtl w:val="0"/>
        </w:rPr>
        <w:t xml:space="preserve">: Samples were meticulously aligned to the GRCh37 reference genome.</w:t>
      </w:r>
    </w:p>
    <w:p w:rsidR="00000000" w:rsidDel="00000000" w:rsidP="00000000" w:rsidRDefault="00000000" w:rsidRPr="00000000" w14:paraId="00000026">
      <w:pPr>
        <w:numPr>
          <w:ilvl w:val="0"/>
          <w:numId w:val="4"/>
        </w:numPr>
        <w:shd w:fill="ffffff" w:val="clear"/>
        <w:spacing w:after="0" w:afterAutospacing="0" w:before="0" w:beforeAutospacing="0" w:line="360" w:lineRule="auto"/>
        <w:ind w:left="720" w:hanging="360"/>
        <w:rPr>
          <w:sz w:val="30"/>
          <w:szCs w:val="30"/>
        </w:rPr>
      </w:pPr>
      <w:r w:rsidDel="00000000" w:rsidR="00000000" w:rsidRPr="00000000">
        <w:rPr>
          <w:rFonts w:ascii="Times New Roman" w:cs="Times New Roman" w:eastAsia="Times New Roman" w:hAnsi="Times New Roman"/>
          <w:b w:val="1"/>
          <w:color w:val="111111"/>
          <w:sz w:val="30"/>
          <w:szCs w:val="30"/>
          <w:rtl w:val="0"/>
        </w:rPr>
        <w:t xml:space="preserve">Output Generation</w:t>
      </w:r>
      <w:r w:rsidDel="00000000" w:rsidR="00000000" w:rsidRPr="00000000">
        <w:rPr>
          <w:rFonts w:ascii="Times New Roman" w:cs="Times New Roman" w:eastAsia="Times New Roman" w:hAnsi="Times New Roman"/>
          <w:color w:val="111111"/>
          <w:sz w:val="30"/>
          <w:szCs w:val="30"/>
          <w:rtl w:val="0"/>
        </w:rPr>
        <w:t xml:space="preserve">: ExpansionHunter produced three distinct outputs for each sample:</w:t>
      </w:r>
    </w:p>
    <w:p w:rsidR="00000000" w:rsidDel="00000000" w:rsidP="00000000" w:rsidRDefault="00000000" w:rsidRPr="00000000" w14:paraId="00000027">
      <w:pPr>
        <w:numPr>
          <w:ilvl w:val="1"/>
          <w:numId w:val="4"/>
        </w:numPr>
        <w:spacing w:after="0" w:afterAutospacing="0" w:before="0" w:beforeAutospacing="0" w:line="360" w:lineRule="auto"/>
        <w:ind w:left="1440" w:hanging="360"/>
        <w:rPr>
          <w:sz w:val="30"/>
          <w:szCs w:val="30"/>
        </w:rPr>
      </w:pPr>
      <w:r w:rsidDel="00000000" w:rsidR="00000000" w:rsidRPr="00000000">
        <w:rPr>
          <w:rFonts w:ascii="Times New Roman" w:cs="Times New Roman" w:eastAsia="Times New Roman" w:hAnsi="Times New Roman"/>
          <w:b w:val="1"/>
          <w:color w:val="111111"/>
          <w:sz w:val="30"/>
          <w:szCs w:val="30"/>
          <w:rtl w:val="0"/>
        </w:rPr>
        <w:t xml:space="preserve">VCF Format</w:t>
      </w:r>
      <w:r w:rsidDel="00000000" w:rsidR="00000000" w:rsidRPr="00000000">
        <w:rPr>
          <w:rFonts w:ascii="Times New Roman" w:cs="Times New Roman" w:eastAsia="Times New Roman" w:hAnsi="Times New Roman"/>
          <w:color w:val="111111"/>
          <w:sz w:val="30"/>
          <w:szCs w:val="30"/>
          <w:rtl w:val="0"/>
        </w:rPr>
        <w:t xml:space="preserve">: Containing the variant calls in a standardized format.</w:t>
      </w:r>
    </w:p>
    <w:p w:rsidR="00000000" w:rsidDel="00000000" w:rsidP="00000000" w:rsidRDefault="00000000" w:rsidRPr="00000000" w14:paraId="00000028">
      <w:pPr>
        <w:numPr>
          <w:ilvl w:val="1"/>
          <w:numId w:val="4"/>
        </w:numPr>
        <w:spacing w:after="0" w:afterAutospacing="0" w:before="0" w:beforeAutospacing="0" w:line="360" w:lineRule="auto"/>
        <w:ind w:left="1440" w:hanging="360"/>
        <w:rPr>
          <w:sz w:val="30"/>
          <w:szCs w:val="30"/>
        </w:rPr>
      </w:pPr>
      <w:r w:rsidDel="00000000" w:rsidR="00000000" w:rsidRPr="00000000">
        <w:rPr>
          <w:rFonts w:ascii="Times New Roman" w:cs="Times New Roman" w:eastAsia="Times New Roman" w:hAnsi="Times New Roman"/>
          <w:b w:val="1"/>
          <w:color w:val="111111"/>
          <w:sz w:val="30"/>
          <w:szCs w:val="30"/>
          <w:rtl w:val="0"/>
        </w:rPr>
        <w:t xml:space="preserve">JSON Format</w:t>
      </w:r>
      <w:r w:rsidDel="00000000" w:rsidR="00000000" w:rsidRPr="00000000">
        <w:rPr>
          <w:rFonts w:ascii="Times New Roman" w:cs="Times New Roman" w:eastAsia="Times New Roman" w:hAnsi="Times New Roman"/>
          <w:color w:val="111111"/>
          <w:sz w:val="30"/>
          <w:szCs w:val="30"/>
          <w:rtl w:val="0"/>
        </w:rPr>
        <w:t xml:space="preserve">: Offering a structured and detailed report of the repeat expansions.</w:t>
      </w:r>
    </w:p>
    <w:p w:rsidR="00000000" w:rsidDel="00000000" w:rsidP="00000000" w:rsidRDefault="00000000" w:rsidRPr="00000000" w14:paraId="00000029">
      <w:pPr>
        <w:numPr>
          <w:ilvl w:val="1"/>
          <w:numId w:val="4"/>
        </w:numPr>
        <w:spacing w:before="0" w:beforeAutospacing="0" w:line="360" w:lineRule="auto"/>
        <w:ind w:left="1440" w:hanging="360"/>
        <w:rPr>
          <w:sz w:val="30"/>
          <w:szCs w:val="30"/>
        </w:rPr>
      </w:pPr>
      <w:r w:rsidDel="00000000" w:rsidR="00000000" w:rsidRPr="00000000">
        <w:rPr>
          <w:rFonts w:ascii="Times New Roman" w:cs="Times New Roman" w:eastAsia="Times New Roman" w:hAnsi="Times New Roman"/>
          <w:b w:val="1"/>
          <w:color w:val="111111"/>
          <w:sz w:val="30"/>
          <w:szCs w:val="30"/>
          <w:rtl w:val="0"/>
        </w:rPr>
        <w:t xml:space="preserve">BAM Format</w:t>
      </w:r>
      <w:r w:rsidDel="00000000" w:rsidR="00000000" w:rsidRPr="00000000">
        <w:rPr>
          <w:rFonts w:ascii="Times New Roman" w:cs="Times New Roman" w:eastAsia="Times New Roman" w:hAnsi="Times New Roman"/>
          <w:color w:val="111111"/>
          <w:sz w:val="30"/>
          <w:szCs w:val="30"/>
          <w:rtl w:val="0"/>
        </w:rPr>
        <w:t xml:space="preserve">: Providing read realignments at the repeat regions, which is crucial for downstream analysis.</w:t>
      </w:r>
    </w:p>
    <w:p w:rsidR="00000000" w:rsidDel="00000000" w:rsidP="00000000" w:rsidRDefault="00000000" w:rsidRPr="00000000" w14:paraId="0000002A">
      <w:pPr>
        <w:spacing w:line="276"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B">
      <w:pPr>
        <w:pStyle w:val="Heading1"/>
        <w:keepNext w:val="0"/>
        <w:keepLines w:val="0"/>
        <w:shd w:fill="ffffff" w:val="clear"/>
        <w:spacing w:after="0" w:before="200" w:line="360" w:lineRule="auto"/>
        <w:jc w:val="both"/>
        <w:rPr>
          <w:rFonts w:ascii="Times New Roman" w:cs="Times New Roman" w:eastAsia="Times New Roman" w:hAnsi="Times New Roman"/>
          <w:b w:val="1"/>
          <w:color w:val="296eaa"/>
          <w:sz w:val="30"/>
          <w:szCs w:val="30"/>
          <w:highlight w:val="white"/>
        </w:rPr>
      </w:pPr>
      <w:bookmarkStart w:colFirst="0" w:colLast="0" w:name="_xt4fhen1ujra" w:id="1"/>
      <w:bookmarkEnd w:id="1"/>
      <w:r w:rsidDel="00000000" w:rsidR="00000000" w:rsidRPr="00000000">
        <w:rPr>
          <w:rFonts w:ascii="Times New Roman" w:cs="Times New Roman" w:eastAsia="Times New Roman" w:hAnsi="Times New Roman"/>
          <w:b w:val="1"/>
          <w:sz w:val="30"/>
          <w:szCs w:val="30"/>
          <w:highlight w:val="white"/>
          <w:rtl w:val="0"/>
        </w:rPr>
        <w:t xml:space="preserve">Visualizing data for expanded repeats using REViewer</w:t>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spacing w:before="180" w:line="360" w:lineRule="auto"/>
        <w:jc w:val="both"/>
        <w:rPr>
          <w:rFonts w:ascii="Times New Roman" w:cs="Times New Roman" w:eastAsia="Times New Roman" w:hAnsi="Times New Roman"/>
          <w:color w:val="111111"/>
          <w:sz w:val="30"/>
          <w:szCs w:val="30"/>
        </w:rPr>
      </w:pPr>
      <w:r w:rsidDel="00000000" w:rsidR="00000000" w:rsidRPr="00000000">
        <w:rPr>
          <w:rFonts w:ascii="Times New Roman" w:cs="Times New Roman" w:eastAsia="Times New Roman" w:hAnsi="Times New Roman"/>
          <w:color w:val="111111"/>
          <w:sz w:val="30"/>
          <w:szCs w:val="30"/>
          <w:rtl w:val="0"/>
        </w:rPr>
        <w:t xml:space="preserve">Following the generation of these outputs, we proceeded to sort and index the BAM files, which is a critical step to organize the data and facilitate efficient access and analysis.</w:t>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spacing w:before="180" w:line="360" w:lineRule="auto"/>
        <w:jc w:val="both"/>
        <w:rPr>
          <w:rFonts w:ascii="Times New Roman" w:cs="Times New Roman" w:eastAsia="Times New Roman" w:hAnsi="Times New Roman"/>
          <w:color w:val="111111"/>
          <w:sz w:val="30"/>
          <w:szCs w:val="30"/>
        </w:rPr>
      </w:pPr>
      <w:r w:rsidDel="00000000" w:rsidR="00000000" w:rsidRPr="00000000">
        <w:rPr>
          <w:rFonts w:ascii="Times New Roman" w:cs="Times New Roman" w:eastAsia="Times New Roman" w:hAnsi="Times New Roman"/>
          <w:color w:val="111111"/>
          <w:sz w:val="30"/>
          <w:szCs w:val="30"/>
          <w:rtl w:val="0"/>
        </w:rPr>
        <w:t xml:space="preserve">To further delve into the data, we utilized </w:t>
      </w:r>
      <w:r w:rsidDel="00000000" w:rsidR="00000000" w:rsidRPr="00000000">
        <w:rPr>
          <w:rFonts w:ascii="Times New Roman" w:cs="Times New Roman" w:eastAsia="Times New Roman" w:hAnsi="Times New Roman"/>
          <w:b w:val="1"/>
          <w:color w:val="111111"/>
          <w:sz w:val="30"/>
          <w:szCs w:val="30"/>
          <w:rtl w:val="0"/>
        </w:rPr>
        <w:t xml:space="preserve">REViewer </w:t>
      </w:r>
      <w:r w:rsidDel="00000000" w:rsidR="00000000" w:rsidRPr="00000000">
        <w:rPr>
          <w:rFonts w:ascii="Times New Roman" w:cs="Times New Roman" w:eastAsia="Times New Roman" w:hAnsi="Times New Roman"/>
          <w:color w:val="111111"/>
          <w:sz w:val="30"/>
          <w:szCs w:val="30"/>
          <w:rtl w:val="0"/>
        </w:rPr>
        <w:t xml:space="preserve">for an in-depth examination of the read alignments at the STRs that were genotyped by </w:t>
      </w:r>
      <w:r w:rsidDel="00000000" w:rsidR="00000000" w:rsidRPr="00000000">
        <w:rPr>
          <w:rFonts w:ascii="Times New Roman" w:cs="Times New Roman" w:eastAsia="Times New Roman" w:hAnsi="Times New Roman"/>
          <w:b w:val="1"/>
          <w:color w:val="111111"/>
          <w:sz w:val="30"/>
          <w:szCs w:val="30"/>
          <w:rtl w:val="0"/>
        </w:rPr>
        <w:t xml:space="preserve">ExpansionHunter.</w:t>
      </w:r>
      <w:r w:rsidDel="00000000" w:rsidR="00000000" w:rsidRPr="00000000">
        <w:rPr>
          <w:rFonts w:ascii="Times New Roman" w:cs="Times New Roman" w:eastAsia="Times New Roman" w:hAnsi="Times New Roman"/>
          <w:color w:val="111111"/>
          <w:sz w:val="30"/>
          <w:szCs w:val="30"/>
          <w:rtl w:val="0"/>
        </w:rPr>
        <w:t xml:space="preserve"> This step was particularly focused on </w:t>
      </w:r>
      <w:r w:rsidDel="00000000" w:rsidR="00000000" w:rsidRPr="00000000">
        <w:rPr>
          <w:rFonts w:ascii="Times New Roman" w:cs="Times New Roman" w:eastAsia="Times New Roman" w:hAnsi="Times New Roman"/>
          <w:i w:val="1"/>
          <w:color w:val="111111"/>
          <w:sz w:val="30"/>
          <w:szCs w:val="30"/>
          <w:rtl w:val="0"/>
        </w:rPr>
        <w:t xml:space="preserve">loci</w:t>
      </w:r>
      <w:r w:rsidDel="00000000" w:rsidR="00000000" w:rsidRPr="00000000">
        <w:rPr>
          <w:rFonts w:ascii="Times New Roman" w:cs="Times New Roman" w:eastAsia="Times New Roman" w:hAnsi="Times New Roman"/>
          <w:color w:val="111111"/>
          <w:sz w:val="30"/>
          <w:szCs w:val="30"/>
          <w:rtl w:val="0"/>
        </w:rPr>
        <w:t xml:space="preserve"> that exhibited pathogenic or intermediate range expansions associated with disease. The output from REViewer was an </w:t>
      </w:r>
      <w:r w:rsidDel="00000000" w:rsidR="00000000" w:rsidRPr="00000000">
        <w:rPr>
          <w:rFonts w:ascii="Times New Roman" w:cs="Times New Roman" w:eastAsia="Times New Roman" w:hAnsi="Times New Roman"/>
          <w:b w:val="1"/>
          <w:i w:val="1"/>
          <w:color w:val="111111"/>
          <w:sz w:val="30"/>
          <w:szCs w:val="30"/>
          <w:rtl w:val="0"/>
        </w:rPr>
        <w:t xml:space="preserve">SVG file</w:t>
      </w:r>
      <w:r w:rsidDel="00000000" w:rsidR="00000000" w:rsidRPr="00000000">
        <w:rPr>
          <w:rFonts w:ascii="Times New Roman" w:cs="Times New Roman" w:eastAsia="Times New Roman" w:hAnsi="Times New Roman"/>
          <w:color w:val="111111"/>
          <w:sz w:val="30"/>
          <w:szCs w:val="30"/>
          <w:rtl w:val="0"/>
        </w:rPr>
        <w:t xml:space="preserve">, which provided a scalable and high-resolution visual representation of the repeat expansions.</w:t>
      </w:r>
    </w:p>
    <w:p w:rsidR="00000000" w:rsidDel="00000000" w:rsidP="00000000" w:rsidRDefault="00000000" w:rsidRPr="00000000" w14:paraId="0000002E">
      <w:pPr>
        <w:shd w:fill="ffffff" w:val="clear"/>
        <w:spacing w:before="220" w:line="360" w:lineRule="auto"/>
        <w:jc w:val="both"/>
        <w:rPr>
          <w:rFonts w:ascii="Times New Roman" w:cs="Times New Roman" w:eastAsia="Times New Roman" w:hAnsi="Times New Roman"/>
          <w:sz w:val="30"/>
          <w:szCs w:val="30"/>
          <w:highlight w:val="white"/>
        </w:rPr>
      </w:pPr>
      <w:r w:rsidDel="00000000" w:rsidR="00000000" w:rsidRPr="00000000">
        <w:rPr>
          <w:rtl w:val="0"/>
        </w:rPr>
      </w:r>
    </w:p>
    <w:p w:rsidR="00000000" w:rsidDel="00000000" w:rsidP="00000000" w:rsidRDefault="00000000" w:rsidRPr="00000000" w14:paraId="0000002F">
      <w:pPr>
        <w:shd w:fill="ffffff" w:val="clear"/>
        <w:spacing w:before="220" w:line="360" w:lineRule="auto"/>
        <w:jc w:val="both"/>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RESULTS</w:t>
      </w:r>
    </w:p>
    <w:p w:rsidR="00000000" w:rsidDel="00000000" w:rsidP="00000000" w:rsidRDefault="00000000" w:rsidRPr="00000000" w14:paraId="00000030">
      <w:pPr>
        <w:numPr>
          <w:ilvl w:val="0"/>
          <w:numId w:val="1"/>
        </w:numPr>
        <w:shd w:fill="ffffff" w:val="clear"/>
        <w:spacing w:after="0" w:afterAutospacing="0" w:before="220" w:line="360" w:lineRule="auto"/>
        <w:ind w:left="720" w:hanging="360"/>
        <w:jc w:val="both"/>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color w:val="111111"/>
          <w:sz w:val="30"/>
          <w:szCs w:val="30"/>
          <w:highlight w:val="white"/>
          <w:rtl w:val="0"/>
        </w:rPr>
        <w:t xml:space="preserve">The comprehensive analysis yielded significant findings. A patient, identified by the sample number </w:t>
      </w:r>
      <w:r w:rsidDel="00000000" w:rsidR="00000000" w:rsidRPr="00000000">
        <w:rPr>
          <w:rFonts w:ascii="Times New Roman" w:cs="Times New Roman" w:eastAsia="Times New Roman" w:hAnsi="Times New Roman"/>
          <w:b w:val="1"/>
          <w:i w:val="1"/>
          <w:color w:val="111111"/>
          <w:sz w:val="30"/>
          <w:szCs w:val="30"/>
          <w:highlight w:val="white"/>
          <w:rtl w:val="0"/>
        </w:rPr>
        <w:t xml:space="preserve">ERR1955473</w:t>
      </w:r>
      <w:r w:rsidDel="00000000" w:rsidR="00000000" w:rsidRPr="00000000">
        <w:rPr>
          <w:rFonts w:ascii="Times New Roman" w:cs="Times New Roman" w:eastAsia="Times New Roman" w:hAnsi="Times New Roman"/>
          <w:color w:val="111111"/>
          <w:sz w:val="30"/>
          <w:szCs w:val="30"/>
          <w:highlight w:val="white"/>
          <w:rtl w:val="0"/>
        </w:rPr>
        <w:t xml:space="preserve">, exhibited repeat expansions within the C9ORF72 gene repeat unit 'GGCCCC' in the</w:t>
      </w:r>
      <w:r w:rsidDel="00000000" w:rsidR="00000000" w:rsidRPr="00000000">
        <w:rPr>
          <w:rFonts w:ascii="Times New Roman" w:cs="Times New Roman" w:eastAsia="Times New Roman" w:hAnsi="Times New Roman"/>
          <w:color w:val="1d1c1d"/>
          <w:sz w:val="30"/>
          <w:szCs w:val="30"/>
          <w:highlight w:val="white"/>
          <w:rtl w:val="0"/>
        </w:rPr>
        <w:t xml:space="preserve"> intron</w:t>
      </w:r>
      <w:r w:rsidDel="00000000" w:rsidR="00000000" w:rsidRPr="00000000">
        <w:rPr>
          <w:rFonts w:ascii="Times New Roman" w:cs="Times New Roman" w:eastAsia="Times New Roman" w:hAnsi="Times New Roman"/>
          <w:color w:val="111111"/>
          <w:sz w:val="30"/>
          <w:szCs w:val="30"/>
          <w:highlight w:val="white"/>
          <w:rtl w:val="0"/>
        </w:rPr>
        <w:t xml:space="preserve">. These expansions fell into the pathogenic range and are known to be associated with amyotrophic lateral sclerosis (ALS), a severe neurodegenerative disorder. This discovery underscores the potential of our methodology in uncovering clinically relevant genetic variations.</w:t>
      </w:r>
    </w:p>
    <w:p w:rsidR="00000000" w:rsidDel="00000000" w:rsidP="00000000" w:rsidRDefault="00000000" w:rsidRPr="00000000" w14:paraId="00000031">
      <w:pPr>
        <w:numPr>
          <w:ilvl w:val="0"/>
          <w:numId w:val="1"/>
        </w:numPr>
        <w:shd w:fill="ffffff" w:val="clear"/>
        <w:spacing w:after="0" w:afterAutospacing="0" w:before="0" w:beforeAutospacing="0" w:line="360" w:lineRule="auto"/>
        <w:ind w:left="720" w:hanging="360"/>
        <w:jc w:val="both"/>
        <w:rPr>
          <w:rFonts w:ascii="Times New Roman" w:cs="Times New Roman" w:eastAsia="Times New Roman" w:hAnsi="Times New Roman"/>
          <w:b w:val="1"/>
          <w:color w:val="111111"/>
          <w:sz w:val="28"/>
          <w:szCs w:val="28"/>
          <w:highlight w:val="white"/>
        </w:rPr>
      </w:pPr>
      <w:r w:rsidDel="00000000" w:rsidR="00000000" w:rsidRPr="00000000">
        <w:rPr>
          <w:rFonts w:ascii="Times New Roman" w:cs="Times New Roman" w:eastAsia="Times New Roman" w:hAnsi="Times New Roman"/>
          <w:color w:val="111111"/>
          <w:sz w:val="30"/>
          <w:szCs w:val="30"/>
          <w:highlight w:val="white"/>
          <w:rtl w:val="0"/>
        </w:rPr>
        <w:t xml:space="preserve">There were three patients with disease associated repeat expansions in the intermediate regions. They were:</w:t>
      </w:r>
    </w:p>
    <w:p w:rsidR="00000000" w:rsidDel="00000000" w:rsidP="00000000" w:rsidRDefault="00000000" w:rsidRPr="00000000" w14:paraId="00000032">
      <w:pPr>
        <w:numPr>
          <w:ilvl w:val="1"/>
          <w:numId w:val="1"/>
        </w:numPr>
        <w:shd w:fill="ffffff" w:val="clear"/>
        <w:spacing w:after="0" w:afterAutospacing="0" w:before="0" w:beforeAutospacing="0" w:line="360" w:lineRule="auto"/>
        <w:ind w:left="1440" w:hanging="360"/>
        <w:jc w:val="both"/>
        <w:rPr>
          <w:rFonts w:ascii="Times New Roman" w:cs="Times New Roman" w:eastAsia="Times New Roman" w:hAnsi="Times New Roman"/>
          <w:b w:val="1"/>
          <w:color w:val="111111"/>
          <w:sz w:val="28"/>
          <w:szCs w:val="28"/>
          <w:highlight w:val="white"/>
        </w:rPr>
      </w:pPr>
      <w:r w:rsidDel="00000000" w:rsidR="00000000" w:rsidRPr="00000000">
        <w:rPr>
          <w:rFonts w:ascii="Times New Roman" w:cs="Times New Roman" w:eastAsia="Times New Roman" w:hAnsi="Times New Roman"/>
          <w:color w:val="111111"/>
          <w:sz w:val="30"/>
          <w:szCs w:val="30"/>
          <w:highlight w:val="white"/>
          <w:rtl w:val="0"/>
        </w:rPr>
        <w:t xml:space="preserve">A Patient identified by the sample number </w:t>
      </w:r>
      <w:r w:rsidDel="00000000" w:rsidR="00000000" w:rsidRPr="00000000">
        <w:rPr>
          <w:rFonts w:ascii="Times New Roman" w:cs="Times New Roman" w:eastAsia="Times New Roman" w:hAnsi="Times New Roman"/>
          <w:b w:val="1"/>
          <w:i w:val="1"/>
          <w:color w:val="111111"/>
          <w:sz w:val="30"/>
          <w:szCs w:val="30"/>
          <w:highlight w:val="white"/>
          <w:rtl w:val="0"/>
        </w:rPr>
        <w:t xml:space="preserve">ERR1955473</w:t>
      </w:r>
      <w:r w:rsidDel="00000000" w:rsidR="00000000" w:rsidRPr="00000000">
        <w:rPr>
          <w:rFonts w:ascii="Times New Roman" w:cs="Times New Roman" w:eastAsia="Times New Roman" w:hAnsi="Times New Roman"/>
          <w:color w:val="111111"/>
          <w:sz w:val="30"/>
          <w:szCs w:val="30"/>
          <w:highlight w:val="white"/>
          <w:rtl w:val="0"/>
        </w:rPr>
        <w:t xml:space="preserve">, exhibited repeat expansions within the DIP2B gene with repeat unit ‘GGC’. These expansions fell into the intermediate range with 41 repeats compared to the normal range which is between 6 to 23 repeats.</w:t>
      </w:r>
    </w:p>
    <w:p w:rsidR="00000000" w:rsidDel="00000000" w:rsidP="00000000" w:rsidRDefault="00000000" w:rsidRPr="00000000" w14:paraId="00000033">
      <w:pPr>
        <w:numPr>
          <w:ilvl w:val="1"/>
          <w:numId w:val="1"/>
        </w:numPr>
        <w:shd w:fill="ffffff" w:val="clear"/>
        <w:spacing w:after="0" w:afterAutospacing="0" w:before="0" w:beforeAutospacing="0" w:line="360" w:lineRule="auto"/>
        <w:ind w:left="1440" w:hanging="360"/>
        <w:jc w:val="both"/>
        <w:rPr>
          <w:rFonts w:ascii="Times New Roman" w:cs="Times New Roman" w:eastAsia="Times New Roman" w:hAnsi="Times New Roman"/>
          <w:b w:val="1"/>
          <w:color w:val="111111"/>
          <w:sz w:val="28"/>
          <w:szCs w:val="28"/>
          <w:highlight w:val="white"/>
        </w:rPr>
      </w:pPr>
      <w:r w:rsidDel="00000000" w:rsidR="00000000" w:rsidRPr="00000000">
        <w:rPr>
          <w:rFonts w:ascii="Times New Roman" w:cs="Times New Roman" w:eastAsia="Times New Roman" w:hAnsi="Times New Roman"/>
          <w:color w:val="111111"/>
          <w:sz w:val="30"/>
          <w:szCs w:val="30"/>
          <w:highlight w:val="white"/>
          <w:rtl w:val="0"/>
        </w:rPr>
        <w:t xml:space="preserve">A Patient identified by the sample number </w:t>
      </w:r>
      <w:r w:rsidDel="00000000" w:rsidR="00000000" w:rsidRPr="00000000">
        <w:rPr>
          <w:rFonts w:ascii="Times New Roman" w:cs="Times New Roman" w:eastAsia="Times New Roman" w:hAnsi="Times New Roman"/>
          <w:b w:val="1"/>
          <w:i w:val="1"/>
          <w:color w:val="111111"/>
          <w:sz w:val="30"/>
          <w:szCs w:val="30"/>
          <w:highlight w:val="white"/>
          <w:rtl w:val="0"/>
        </w:rPr>
        <w:t xml:space="preserve">ERR1955482</w:t>
      </w:r>
      <w:r w:rsidDel="00000000" w:rsidR="00000000" w:rsidRPr="00000000">
        <w:rPr>
          <w:rFonts w:ascii="Times New Roman" w:cs="Times New Roman" w:eastAsia="Times New Roman" w:hAnsi="Times New Roman"/>
          <w:color w:val="111111"/>
          <w:sz w:val="30"/>
          <w:szCs w:val="30"/>
          <w:highlight w:val="white"/>
          <w:rtl w:val="0"/>
        </w:rPr>
        <w:t xml:space="preserve">, exhibited repeat expansions within the ATXN1 gene with repeat unit ‘CAG’ in the coding region. These expansions fell into the intermediate range with 41 repeats compared to the normal range which is between 6 to 23 repeats.</w:t>
      </w:r>
    </w:p>
    <w:p w:rsidR="00000000" w:rsidDel="00000000" w:rsidP="00000000" w:rsidRDefault="00000000" w:rsidRPr="00000000" w14:paraId="00000034">
      <w:pPr>
        <w:numPr>
          <w:ilvl w:val="1"/>
          <w:numId w:val="1"/>
        </w:numPr>
        <w:shd w:fill="ffffff" w:val="clear"/>
        <w:spacing w:before="0" w:beforeAutospacing="0" w:line="360" w:lineRule="auto"/>
        <w:ind w:left="1440" w:hanging="360"/>
        <w:jc w:val="both"/>
        <w:rPr>
          <w:rFonts w:ascii="Times New Roman" w:cs="Times New Roman" w:eastAsia="Times New Roman" w:hAnsi="Times New Roman"/>
          <w:color w:val="111111"/>
          <w:sz w:val="30"/>
          <w:szCs w:val="30"/>
          <w:highlight w:val="white"/>
          <w:u w:val="none"/>
        </w:rPr>
      </w:pPr>
      <w:r w:rsidDel="00000000" w:rsidR="00000000" w:rsidRPr="00000000">
        <w:rPr>
          <w:rtl w:val="0"/>
        </w:rPr>
      </w:r>
    </w:p>
    <w:p w:rsidR="00000000" w:rsidDel="00000000" w:rsidP="00000000" w:rsidRDefault="00000000" w:rsidRPr="00000000" w14:paraId="00000035">
      <w:pPr>
        <w:shd w:fill="ffffff" w:val="clear"/>
        <w:spacing w:before="220" w:line="360" w:lineRule="auto"/>
        <w:ind w:left="720" w:firstLine="0"/>
        <w:jc w:val="both"/>
        <w:rPr>
          <w:rFonts w:ascii="Times New Roman" w:cs="Times New Roman" w:eastAsia="Times New Roman" w:hAnsi="Times New Roman"/>
          <w:color w:val="111111"/>
          <w:sz w:val="30"/>
          <w:szCs w:val="30"/>
          <w:highlight w:val="white"/>
        </w:rPr>
      </w:pPr>
      <w:r w:rsidDel="00000000" w:rsidR="00000000" w:rsidRPr="00000000">
        <w:rPr>
          <w:rtl w:val="0"/>
        </w:rPr>
      </w:r>
    </w:p>
    <w:p w:rsidR="00000000" w:rsidDel="00000000" w:rsidP="00000000" w:rsidRDefault="00000000" w:rsidRPr="00000000" w14:paraId="00000036">
      <w:pPr>
        <w:numPr>
          <w:ilvl w:val="0"/>
          <w:numId w:val="1"/>
        </w:numPr>
        <w:shd w:fill="ffffff" w:val="clear"/>
        <w:spacing w:after="0" w:afterAutospacing="0" w:before="220" w:line="360" w:lineRule="auto"/>
        <w:ind w:left="720" w:hanging="360"/>
        <w:jc w:val="both"/>
        <w:rPr>
          <w:rFonts w:ascii="Times New Roman" w:cs="Times New Roman" w:eastAsia="Times New Roman" w:hAnsi="Times New Roman"/>
          <w:b w:val="1"/>
          <w:color w:val="111111"/>
          <w:sz w:val="28"/>
          <w:szCs w:val="28"/>
          <w:highlight w:val="white"/>
        </w:rPr>
      </w:pPr>
      <w:r w:rsidDel="00000000" w:rsidR="00000000" w:rsidRPr="00000000">
        <w:rPr>
          <w:rFonts w:ascii="Times New Roman" w:cs="Times New Roman" w:eastAsia="Times New Roman" w:hAnsi="Times New Roman"/>
          <w:color w:val="111111"/>
          <w:sz w:val="30"/>
          <w:szCs w:val="30"/>
          <w:highlight w:val="white"/>
          <w:rtl w:val="0"/>
        </w:rPr>
        <w:t xml:space="preserve"> </w:t>
      </w:r>
      <w:r w:rsidDel="00000000" w:rsidR="00000000" w:rsidRPr="00000000">
        <w:rPr>
          <w:rFonts w:ascii="Times New Roman" w:cs="Times New Roman" w:eastAsia="Times New Roman" w:hAnsi="Times New Roman"/>
          <w:b w:val="1"/>
          <w:color w:val="111111"/>
          <w:sz w:val="30"/>
          <w:szCs w:val="30"/>
          <w:highlight w:val="white"/>
          <w:rtl w:val="0"/>
        </w:rPr>
        <w:t xml:space="preserve">Status</w:t>
      </w:r>
      <w:r w:rsidDel="00000000" w:rsidR="00000000" w:rsidRPr="00000000">
        <w:rPr>
          <w:rFonts w:ascii="Times New Roman" w:cs="Times New Roman" w:eastAsia="Times New Roman" w:hAnsi="Times New Roman"/>
          <w:color w:val="111111"/>
          <w:sz w:val="30"/>
          <w:szCs w:val="30"/>
          <w:highlight w:val="white"/>
          <w:rtl w:val="0"/>
        </w:rPr>
        <w:t xml:space="preserve">: PASS</w:t>
      </w:r>
    </w:p>
    <w:p w:rsidR="00000000" w:rsidDel="00000000" w:rsidP="00000000" w:rsidRDefault="00000000" w:rsidRPr="00000000" w14:paraId="00000037">
      <w:pPr>
        <w:numPr>
          <w:ilvl w:val="0"/>
          <w:numId w:val="3"/>
        </w:numPr>
        <w:shd w:fill="ffffff" w:val="clear"/>
        <w:spacing w:after="0" w:afterAutospacing="0" w:before="0" w:beforeAutospacing="0" w:line="360" w:lineRule="auto"/>
        <w:ind w:left="720" w:hanging="360"/>
        <w:rPr>
          <w:sz w:val="30"/>
          <w:szCs w:val="30"/>
          <w:highlight w:val="white"/>
        </w:rPr>
      </w:pPr>
      <w:r w:rsidDel="00000000" w:rsidR="00000000" w:rsidRPr="00000000">
        <w:rPr>
          <w:rFonts w:ascii="Times New Roman" w:cs="Times New Roman" w:eastAsia="Times New Roman" w:hAnsi="Times New Roman"/>
          <w:b w:val="1"/>
          <w:color w:val="111111"/>
          <w:sz w:val="30"/>
          <w:szCs w:val="30"/>
          <w:highlight w:val="white"/>
          <w:rtl w:val="0"/>
        </w:rPr>
        <w:t xml:space="preserve">End Position of the STR in the Genome</w:t>
      </w:r>
      <w:r w:rsidDel="00000000" w:rsidR="00000000" w:rsidRPr="00000000">
        <w:rPr>
          <w:rFonts w:ascii="Times New Roman" w:cs="Times New Roman" w:eastAsia="Times New Roman" w:hAnsi="Times New Roman"/>
          <w:color w:val="111111"/>
          <w:sz w:val="30"/>
          <w:szCs w:val="30"/>
          <w:highlight w:val="white"/>
          <w:rtl w:val="0"/>
        </w:rPr>
        <w:t xml:space="preserve">: 71,652,202</w:t>
      </w:r>
    </w:p>
    <w:p w:rsidR="00000000" w:rsidDel="00000000" w:rsidP="00000000" w:rsidRDefault="00000000" w:rsidRPr="00000000" w14:paraId="00000038">
      <w:pPr>
        <w:numPr>
          <w:ilvl w:val="0"/>
          <w:numId w:val="3"/>
        </w:numPr>
        <w:shd w:fill="ffffff" w:val="clear"/>
        <w:spacing w:after="0" w:afterAutospacing="0" w:before="0" w:beforeAutospacing="0" w:line="360" w:lineRule="auto"/>
        <w:ind w:left="720" w:hanging="360"/>
        <w:rPr>
          <w:sz w:val="30"/>
          <w:szCs w:val="30"/>
          <w:highlight w:val="white"/>
        </w:rPr>
      </w:pPr>
      <w:r w:rsidDel="00000000" w:rsidR="00000000" w:rsidRPr="00000000">
        <w:rPr>
          <w:rFonts w:ascii="Times New Roman" w:cs="Times New Roman" w:eastAsia="Times New Roman" w:hAnsi="Times New Roman"/>
          <w:b w:val="1"/>
          <w:color w:val="111111"/>
          <w:sz w:val="30"/>
          <w:szCs w:val="30"/>
          <w:highlight w:val="white"/>
          <w:rtl w:val="0"/>
        </w:rPr>
        <w:t xml:space="preserve">Reference Repeat Count</w:t>
      </w:r>
      <w:r w:rsidDel="00000000" w:rsidR="00000000" w:rsidRPr="00000000">
        <w:rPr>
          <w:rFonts w:ascii="Times New Roman" w:cs="Times New Roman" w:eastAsia="Times New Roman" w:hAnsi="Times New Roman"/>
          <w:color w:val="111111"/>
          <w:sz w:val="30"/>
          <w:szCs w:val="30"/>
          <w:highlight w:val="white"/>
          <w:rtl w:val="0"/>
        </w:rPr>
        <w:t xml:space="preserve">: 25</w:t>
      </w:r>
    </w:p>
    <w:p w:rsidR="00000000" w:rsidDel="00000000" w:rsidP="00000000" w:rsidRDefault="00000000" w:rsidRPr="00000000" w14:paraId="00000039">
      <w:pPr>
        <w:numPr>
          <w:ilvl w:val="0"/>
          <w:numId w:val="3"/>
        </w:numPr>
        <w:shd w:fill="ffffff" w:val="clear"/>
        <w:spacing w:after="0" w:afterAutospacing="0" w:before="0" w:beforeAutospacing="0" w:line="360" w:lineRule="auto"/>
        <w:ind w:left="720" w:hanging="360"/>
        <w:rPr>
          <w:sz w:val="30"/>
          <w:szCs w:val="30"/>
          <w:highlight w:val="white"/>
        </w:rPr>
      </w:pPr>
      <w:r w:rsidDel="00000000" w:rsidR="00000000" w:rsidRPr="00000000">
        <w:rPr>
          <w:rFonts w:ascii="Times New Roman" w:cs="Times New Roman" w:eastAsia="Times New Roman" w:hAnsi="Times New Roman"/>
          <w:b w:val="1"/>
          <w:color w:val="111111"/>
          <w:sz w:val="30"/>
          <w:szCs w:val="30"/>
          <w:highlight w:val="white"/>
          <w:rtl w:val="0"/>
        </w:rPr>
        <w:t xml:space="preserve">Repeat Length</w:t>
      </w:r>
      <w:r w:rsidDel="00000000" w:rsidR="00000000" w:rsidRPr="00000000">
        <w:rPr>
          <w:rFonts w:ascii="Times New Roman" w:cs="Times New Roman" w:eastAsia="Times New Roman" w:hAnsi="Times New Roman"/>
          <w:color w:val="111111"/>
          <w:sz w:val="30"/>
          <w:szCs w:val="30"/>
          <w:highlight w:val="white"/>
          <w:rtl w:val="0"/>
        </w:rPr>
        <w:t xml:space="preserve">: 25</w:t>
      </w:r>
    </w:p>
    <w:p w:rsidR="00000000" w:rsidDel="00000000" w:rsidP="00000000" w:rsidRDefault="00000000" w:rsidRPr="00000000" w14:paraId="0000003A">
      <w:pPr>
        <w:numPr>
          <w:ilvl w:val="0"/>
          <w:numId w:val="3"/>
        </w:numPr>
        <w:shd w:fill="ffffff" w:val="clear"/>
        <w:spacing w:after="0" w:afterAutospacing="0" w:before="0" w:beforeAutospacing="0" w:line="360" w:lineRule="auto"/>
        <w:ind w:left="720" w:hanging="360"/>
        <w:rPr>
          <w:sz w:val="30"/>
          <w:szCs w:val="30"/>
          <w:highlight w:val="white"/>
        </w:rPr>
      </w:pPr>
      <w:r w:rsidDel="00000000" w:rsidR="00000000" w:rsidRPr="00000000">
        <w:rPr>
          <w:rFonts w:ascii="Times New Roman" w:cs="Times New Roman" w:eastAsia="Times New Roman" w:hAnsi="Times New Roman"/>
          <w:b w:val="1"/>
          <w:color w:val="111111"/>
          <w:sz w:val="30"/>
          <w:szCs w:val="30"/>
          <w:highlight w:val="white"/>
          <w:rtl w:val="0"/>
        </w:rPr>
        <w:t xml:space="preserve">Repeat Unit</w:t>
      </w:r>
      <w:r w:rsidDel="00000000" w:rsidR="00000000" w:rsidRPr="00000000">
        <w:rPr>
          <w:rFonts w:ascii="Times New Roman" w:cs="Times New Roman" w:eastAsia="Times New Roman" w:hAnsi="Times New Roman"/>
          <w:color w:val="111111"/>
          <w:sz w:val="30"/>
          <w:szCs w:val="30"/>
          <w:highlight w:val="white"/>
          <w:rtl w:val="0"/>
        </w:rPr>
        <w:t xml:space="preserve">: Adenine (A)</w:t>
      </w:r>
    </w:p>
    <w:p w:rsidR="00000000" w:rsidDel="00000000" w:rsidP="00000000" w:rsidRDefault="00000000" w:rsidRPr="00000000" w14:paraId="0000003B">
      <w:pPr>
        <w:numPr>
          <w:ilvl w:val="0"/>
          <w:numId w:val="3"/>
        </w:numPr>
        <w:shd w:fill="ffffff" w:val="clear"/>
        <w:spacing w:before="0" w:beforeAutospacing="0" w:line="360" w:lineRule="auto"/>
        <w:ind w:left="720" w:hanging="360"/>
        <w:rPr>
          <w:sz w:val="30"/>
          <w:szCs w:val="30"/>
          <w:highlight w:val="white"/>
        </w:rPr>
      </w:pPr>
      <w:r w:rsidDel="00000000" w:rsidR="00000000" w:rsidRPr="00000000">
        <w:rPr>
          <w:rFonts w:ascii="Times New Roman" w:cs="Times New Roman" w:eastAsia="Times New Roman" w:hAnsi="Times New Roman"/>
          <w:b w:val="1"/>
          <w:color w:val="111111"/>
          <w:sz w:val="30"/>
          <w:szCs w:val="30"/>
          <w:highlight w:val="white"/>
          <w:rtl w:val="0"/>
        </w:rPr>
        <w:t xml:space="preserve">Variant ID</w:t>
      </w:r>
      <w:r w:rsidDel="00000000" w:rsidR="00000000" w:rsidRPr="00000000">
        <w:rPr>
          <w:rFonts w:ascii="Times New Roman" w:cs="Times New Roman" w:eastAsia="Times New Roman" w:hAnsi="Times New Roman"/>
          <w:color w:val="111111"/>
          <w:sz w:val="30"/>
          <w:szCs w:val="30"/>
          <w:highlight w:val="white"/>
          <w:rtl w:val="0"/>
        </w:rPr>
        <w:t xml:space="preserve">: FXN_A</w:t>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fffff" w:val="clear"/>
        <w:spacing w:before="180" w:line="360" w:lineRule="auto"/>
        <w:jc w:val="both"/>
        <w:rPr>
          <w:rFonts w:ascii="Times New Roman" w:cs="Times New Roman" w:eastAsia="Times New Roman" w:hAnsi="Times New Roman"/>
          <w:color w:val="111111"/>
          <w:sz w:val="30"/>
          <w:szCs w:val="30"/>
          <w:highlight w:val="white"/>
        </w:rPr>
      </w:pPr>
      <w:r w:rsidDel="00000000" w:rsidR="00000000" w:rsidRPr="00000000">
        <w:rPr>
          <w:rFonts w:ascii="Times New Roman" w:cs="Times New Roman" w:eastAsia="Times New Roman" w:hAnsi="Times New Roman"/>
          <w:color w:val="111111"/>
          <w:sz w:val="30"/>
          <w:szCs w:val="30"/>
          <w:highlight w:val="white"/>
          <w:rtl w:val="0"/>
        </w:rPr>
        <w:t xml:space="preserve">This discovery underscores the potential of our methodology in uncovering clinically relevant genetic variations that could have significant implications for patient diagnosis and treatment strategies.</w:t>
      </w:r>
    </w:p>
    <w:p w:rsidR="00000000" w:rsidDel="00000000" w:rsidP="00000000" w:rsidRDefault="00000000" w:rsidRPr="00000000" w14:paraId="0000003D">
      <w:pPr>
        <w:rPr>
          <w:rFonts w:ascii="Times New Roman" w:cs="Times New Roman" w:eastAsia="Times New Roman" w:hAnsi="Times New Roman"/>
          <w:color w:val="212121"/>
          <w:sz w:val="28"/>
          <w:szCs w:val="28"/>
          <w:highlight w:val="white"/>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color w:val="212121"/>
          <w:sz w:val="28"/>
          <w:szCs w:val="28"/>
          <w:highlight w:val="white"/>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color w:val="212121"/>
          <w:sz w:val="28"/>
          <w:szCs w:val="28"/>
          <w:highlight w:val="white"/>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color w:val="212121"/>
          <w:sz w:val="28"/>
          <w:szCs w:val="28"/>
          <w:highlight w:val="white"/>
        </w:rPr>
      </w:pPr>
      <w:r w:rsidDel="00000000" w:rsidR="00000000" w:rsidRPr="00000000">
        <w:rPr>
          <w:rtl w:val="0"/>
        </w:rPr>
      </w:r>
    </w:p>
    <w:p w:rsidR="00000000" w:rsidDel="00000000" w:rsidP="00000000" w:rsidRDefault="00000000" w:rsidRPr="00000000" w14:paraId="00000041">
      <w:pPr>
        <w:spacing w:line="360" w:lineRule="auto"/>
        <w:rPr>
          <w:rFonts w:ascii="Times New Roman" w:cs="Times New Roman" w:eastAsia="Times New Roman" w:hAnsi="Times New Roman"/>
          <w:b w:val="1"/>
          <w:color w:val="212121"/>
          <w:sz w:val="30"/>
          <w:szCs w:val="30"/>
          <w:highlight w:val="white"/>
        </w:rPr>
      </w:pPr>
      <w:r w:rsidDel="00000000" w:rsidR="00000000" w:rsidRPr="00000000">
        <w:rPr>
          <w:rFonts w:ascii="Times New Roman" w:cs="Times New Roman" w:eastAsia="Times New Roman" w:hAnsi="Times New Roman"/>
          <w:b w:val="1"/>
          <w:color w:val="212121"/>
          <w:sz w:val="30"/>
          <w:szCs w:val="30"/>
          <w:highlight w:val="white"/>
          <w:rtl w:val="0"/>
        </w:rPr>
        <w:t xml:space="preserve">REFERENCES</w:t>
      </w:r>
    </w:p>
    <w:p w:rsidR="00000000" w:rsidDel="00000000" w:rsidP="00000000" w:rsidRDefault="00000000" w:rsidRPr="00000000" w14:paraId="00000042">
      <w:pPr>
        <w:spacing w:line="360" w:lineRule="auto"/>
        <w:rPr>
          <w:rFonts w:ascii="Times New Roman" w:cs="Times New Roman" w:eastAsia="Times New Roman" w:hAnsi="Times New Roman"/>
          <w:b w:val="1"/>
          <w:color w:val="212121"/>
          <w:sz w:val="30"/>
          <w:szCs w:val="30"/>
          <w:highlight w:val="white"/>
        </w:rPr>
      </w:pPr>
      <w:r w:rsidDel="00000000" w:rsidR="00000000" w:rsidRPr="00000000">
        <w:rPr>
          <w:rtl w:val="0"/>
        </w:rPr>
      </w:r>
    </w:p>
    <w:p w:rsidR="00000000" w:rsidDel="00000000" w:rsidP="00000000" w:rsidRDefault="00000000" w:rsidRPr="00000000" w14:paraId="00000043">
      <w:pPr>
        <w:spacing w:line="360" w:lineRule="auto"/>
        <w:rPr>
          <w:rFonts w:ascii="Times New Roman" w:cs="Times New Roman" w:eastAsia="Times New Roman" w:hAnsi="Times New Roman"/>
          <w:color w:val="212121"/>
          <w:sz w:val="30"/>
          <w:szCs w:val="30"/>
          <w:highlight w:val="white"/>
        </w:rPr>
      </w:pPr>
      <w:r w:rsidDel="00000000" w:rsidR="00000000" w:rsidRPr="00000000">
        <w:rPr>
          <w:rFonts w:ascii="Times New Roman" w:cs="Times New Roman" w:eastAsia="Times New Roman" w:hAnsi="Times New Roman"/>
          <w:color w:val="212121"/>
          <w:sz w:val="30"/>
          <w:szCs w:val="30"/>
          <w:highlight w:val="white"/>
          <w:rtl w:val="0"/>
        </w:rPr>
        <w:t xml:space="preserve">Fan, H., &amp; Chu, J. Y. (2007). A brief review of short tandem repeat mutation. </w:t>
      </w:r>
      <w:r w:rsidDel="00000000" w:rsidR="00000000" w:rsidRPr="00000000">
        <w:rPr>
          <w:rFonts w:ascii="Times New Roman" w:cs="Times New Roman" w:eastAsia="Times New Roman" w:hAnsi="Times New Roman"/>
          <w:i w:val="1"/>
          <w:color w:val="212121"/>
          <w:sz w:val="30"/>
          <w:szCs w:val="30"/>
          <w:highlight w:val="white"/>
          <w:rtl w:val="0"/>
        </w:rPr>
        <w:t xml:space="preserve">Genomics, proteomics &amp; bioinformatics</w:t>
      </w:r>
      <w:r w:rsidDel="00000000" w:rsidR="00000000" w:rsidRPr="00000000">
        <w:rPr>
          <w:rFonts w:ascii="Times New Roman" w:cs="Times New Roman" w:eastAsia="Times New Roman" w:hAnsi="Times New Roman"/>
          <w:color w:val="212121"/>
          <w:sz w:val="30"/>
          <w:szCs w:val="30"/>
          <w:highlight w:val="white"/>
          <w:rtl w:val="0"/>
        </w:rPr>
        <w:t xml:space="preserve">, </w:t>
      </w:r>
      <w:r w:rsidDel="00000000" w:rsidR="00000000" w:rsidRPr="00000000">
        <w:rPr>
          <w:rFonts w:ascii="Times New Roman" w:cs="Times New Roman" w:eastAsia="Times New Roman" w:hAnsi="Times New Roman"/>
          <w:i w:val="1"/>
          <w:color w:val="212121"/>
          <w:sz w:val="30"/>
          <w:szCs w:val="30"/>
          <w:highlight w:val="white"/>
          <w:rtl w:val="0"/>
        </w:rPr>
        <w:t xml:space="preserve">5</w:t>
      </w:r>
      <w:r w:rsidDel="00000000" w:rsidR="00000000" w:rsidRPr="00000000">
        <w:rPr>
          <w:rFonts w:ascii="Times New Roman" w:cs="Times New Roman" w:eastAsia="Times New Roman" w:hAnsi="Times New Roman"/>
          <w:color w:val="212121"/>
          <w:sz w:val="30"/>
          <w:szCs w:val="30"/>
          <w:highlight w:val="white"/>
          <w:rtl w:val="0"/>
        </w:rPr>
        <w:t xml:space="preserve">(1), 7–14. </w:t>
      </w:r>
      <w:hyperlink r:id="rId6">
        <w:r w:rsidDel="00000000" w:rsidR="00000000" w:rsidRPr="00000000">
          <w:rPr>
            <w:rFonts w:ascii="Times New Roman" w:cs="Times New Roman" w:eastAsia="Times New Roman" w:hAnsi="Times New Roman"/>
            <w:color w:val="1155cc"/>
            <w:sz w:val="30"/>
            <w:szCs w:val="30"/>
            <w:highlight w:val="white"/>
            <w:u w:val="single"/>
            <w:rtl w:val="0"/>
          </w:rPr>
          <w:t xml:space="preserve">https://doi.org/10.1016/S1672-0229(07)60009-6</w:t>
        </w:r>
      </w:hyperlink>
      <w:r w:rsidDel="00000000" w:rsidR="00000000" w:rsidRPr="00000000">
        <w:rPr>
          <w:rtl w:val="0"/>
        </w:rPr>
      </w:r>
    </w:p>
    <w:p w:rsidR="00000000" w:rsidDel="00000000" w:rsidP="00000000" w:rsidRDefault="00000000" w:rsidRPr="00000000" w14:paraId="00000044">
      <w:pPr>
        <w:spacing w:line="360" w:lineRule="auto"/>
        <w:rPr>
          <w:rFonts w:ascii="Times New Roman" w:cs="Times New Roman" w:eastAsia="Times New Roman" w:hAnsi="Times New Roman"/>
          <w:color w:val="212121"/>
          <w:sz w:val="30"/>
          <w:szCs w:val="30"/>
          <w:highlight w:val="white"/>
        </w:rPr>
      </w:pPr>
      <w:r w:rsidDel="00000000" w:rsidR="00000000" w:rsidRPr="00000000">
        <w:rPr>
          <w:rtl w:val="0"/>
        </w:rPr>
      </w:r>
    </w:p>
    <w:p w:rsidR="00000000" w:rsidDel="00000000" w:rsidP="00000000" w:rsidRDefault="00000000" w:rsidRPr="00000000" w14:paraId="00000045">
      <w:pPr>
        <w:spacing w:line="360" w:lineRule="auto"/>
        <w:rPr>
          <w:rFonts w:ascii="Times New Roman" w:cs="Times New Roman" w:eastAsia="Times New Roman" w:hAnsi="Times New Roman"/>
          <w:color w:val="212121"/>
          <w:sz w:val="30"/>
          <w:szCs w:val="30"/>
          <w:highlight w:val="white"/>
        </w:rPr>
      </w:pPr>
      <w:r w:rsidDel="00000000" w:rsidR="00000000" w:rsidRPr="00000000">
        <w:rPr>
          <w:rFonts w:ascii="Times New Roman" w:cs="Times New Roman" w:eastAsia="Times New Roman" w:hAnsi="Times New Roman"/>
          <w:color w:val="212121"/>
          <w:sz w:val="30"/>
          <w:szCs w:val="30"/>
          <w:highlight w:val="white"/>
          <w:rtl w:val="0"/>
        </w:rPr>
        <w:t xml:space="preserve">Paulson H. (2018). Repeat expansion diseases. </w:t>
      </w:r>
      <w:r w:rsidDel="00000000" w:rsidR="00000000" w:rsidRPr="00000000">
        <w:rPr>
          <w:rFonts w:ascii="Times New Roman" w:cs="Times New Roman" w:eastAsia="Times New Roman" w:hAnsi="Times New Roman"/>
          <w:i w:val="1"/>
          <w:color w:val="212121"/>
          <w:sz w:val="30"/>
          <w:szCs w:val="30"/>
          <w:highlight w:val="white"/>
          <w:rtl w:val="0"/>
        </w:rPr>
        <w:t xml:space="preserve">Handbook of clinical neurology</w:t>
      </w:r>
      <w:r w:rsidDel="00000000" w:rsidR="00000000" w:rsidRPr="00000000">
        <w:rPr>
          <w:rFonts w:ascii="Times New Roman" w:cs="Times New Roman" w:eastAsia="Times New Roman" w:hAnsi="Times New Roman"/>
          <w:color w:val="212121"/>
          <w:sz w:val="30"/>
          <w:szCs w:val="30"/>
          <w:highlight w:val="white"/>
          <w:rtl w:val="0"/>
        </w:rPr>
        <w:t xml:space="preserve">, </w:t>
      </w:r>
      <w:r w:rsidDel="00000000" w:rsidR="00000000" w:rsidRPr="00000000">
        <w:rPr>
          <w:rFonts w:ascii="Times New Roman" w:cs="Times New Roman" w:eastAsia="Times New Roman" w:hAnsi="Times New Roman"/>
          <w:i w:val="1"/>
          <w:color w:val="212121"/>
          <w:sz w:val="30"/>
          <w:szCs w:val="30"/>
          <w:highlight w:val="white"/>
          <w:rtl w:val="0"/>
        </w:rPr>
        <w:t xml:space="preserve">147</w:t>
      </w:r>
      <w:r w:rsidDel="00000000" w:rsidR="00000000" w:rsidRPr="00000000">
        <w:rPr>
          <w:rFonts w:ascii="Times New Roman" w:cs="Times New Roman" w:eastAsia="Times New Roman" w:hAnsi="Times New Roman"/>
          <w:color w:val="212121"/>
          <w:sz w:val="30"/>
          <w:szCs w:val="30"/>
          <w:highlight w:val="white"/>
          <w:rtl w:val="0"/>
        </w:rPr>
        <w:t xml:space="preserve">, 105–123.  https://doi.org/10.1016/B978-0-444-63233-3.00009-9</w:t>
      </w:r>
    </w:p>
    <w:p w:rsidR="00000000" w:rsidDel="00000000" w:rsidP="00000000" w:rsidRDefault="00000000" w:rsidRPr="00000000" w14:paraId="00000046">
      <w:pPr>
        <w:spacing w:line="360" w:lineRule="auto"/>
        <w:rPr>
          <w:rFonts w:ascii="Times New Roman" w:cs="Times New Roman" w:eastAsia="Times New Roman" w:hAnsi="Times New Roman"/>
          <w:color w:val="212121"/>
          <w:sz w:val="30"/>
          <w:szCs w:val="30"/>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sz w:val="20"/>
        <w:szCs w:val="2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11111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11111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rFonts w:ascii="Roboto" w:cs="Roboto" w:eastAsia="Roboto" w:hAnsi="Roboto"/>
        <w:color w:val="111111"/>
        <w:sz w:val="24"/>
        <w:szCs w:val="24"/>
        <w:u w:val="none"/>
      </w:rPr>
    </w:lvl>
    <w:lvl w:ilvl="1">
      <w:start w:val="1"/>
      <w:numFmt w:val="bullet"/>
      <w:lvlText w:val="○"/>
      <w:lvlJc w:val="left"/>
      <w:pPr>
        <w:ind w:left="1440" w:hanging="360"/>
      </w:pPr>
      <w:rPr>
        <w:rFonts w:ascii="Roboto" w:cs="Roboto" w:eastAsia="Roboto" w:hAnsi="Roboto"/>
        <w:color w:val="111111"/>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i.org/10.1016/S1672-0229(07)60009-6"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