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DIRHAM HIGH SCHOOL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NAME…………………………… ADM. NO.………..….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SIGNATURE……..……………… DATE………………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565/2    PAPER 2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STUDIES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FOUR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Attempt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questions only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ways in which the internal Business environment may positively influence Business activities.</w:t>
        <w:tab/>
        <w:tab/>
        <w:tab/>
        <w:tab/>
        <w:tab/>
        <w:tab/>
        <w:t xml:space="preserve">                 (10 marks)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types of direct taxes.                                                                  (10 marks)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ways in which Entrepreneurs can maintain a healthy Business environment. (10mks)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On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June 2019, Kipchoge Enterprises had cash in hand Sh. 87,000 and cash at bank Sh. 250,000. During the month, the following transactions took place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     Cash sales Sh. 50,000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    Paid salaries Sh. 101,500 by cheque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  Received a cheque for Sh 76,800 from Jelimo after allowing her a cash discount of 4%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   Bought Office machine by cheque Sh. 85,000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Settled Kiplagat’s account of sh. 40,000 in cash, having deducted sh. 1,200 cash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  Received a cheque of Sh. 150,000 in respect to cash sales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   Bought stock on credit Sh. 75,000 from Rongo Wholesalers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Paid for wages in cash Sh 25,000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  Took money from bank Sh. 35,000 for office 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   Withdrew money from bank Sh. 5,000 and used it to pay child’s hospital bill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  Received cash sh. 17,100 from Julius after he deducted a cash discount of 5%.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Deposited all the money into bank except Sh. 25,000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a Three-column cash- book, duly balanced                                             (10 marks)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negative effects of inflation in an economy                               (10 marks)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(b) A team of sales persons have just arrived at Milele Secondary School to promote the text books of a given publisher.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steps that they will follow when conducting product promotion.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(10mks)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challenges that Kenya as an economy may be experiencing during the implementation of her development plans                                                           (10 marks)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Differentiate between oligopoly market structure and monopoly.</w:t>
        <w:tab/>
        <w:t xml:space="preserve">      (10 marks)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Explain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money transfer services that are offered by commercial banks in the </w:t>
        <w:tab/>
        <w:t xml:space="preserve">Kenyan economy.</w:t>
        <w:tab/>
        <w:tab/>
        <w:tab/>
        <w:tab/>
        <w:tab/>
        <w:tab/>
        <w:t xml:space="preserve">                  (10 marks)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 trends and emerging issues in the insurance sector in Kenya today.</w:t>
        <w:tab/>
        <w:tab/>
        <w:tab/>
        <w:tab/>
        <w:tab/>
        <w:tab/>
        <w:tab/>
        <w:tab/>
        <w:tab/>
        <w:t xml:space="preserve">                             (10 marks)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disadvantages of protectionism to a country.</w:t>
        <w:tab/>
        <w:t xml:space="preserve">                    (8 marks)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The following trial balance was extracted from the books of RafikiTraders for the year ended 31/12/2019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Rafiki Traders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Trial Balance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at 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Dec. 2024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Dr (shs)</w:t>
        <w:tab/>
        <w:tab/>
        <w:tab/>
        <w:tab/>
        <w:t xml:space="preserve">Cr (shs)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Capital</w:t>
        <w:tab/>
        <w:tab/>
        <w:tab/>
        <w:tab/>
        <w:tab/>
        <w:tab/>
        <w:tab/>
        <w:tab/>
        <w:tab/>
        <w:tab/>
        <w:t xml:space="preserve">270,000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Drawings </w:t>
        <w:tab/>
        <w:tab/>
        <w:tab/>
        <w:tab/>
        <w:t xml:space="preserve">30,000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stock </w:t>
        <w:tab/>
        <w:tab/>
        <w:tab/>
        <w:t xml:space="preserve">50,000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Purchases </w:t>
        <w:tab/>
        <w:tab/>
        <w:tab/>
        <w:t xml:space="preserve">           255,000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</w:t>
        <w:tab/>
        <w:tab/>
        <w:tab/>
        <w:tab/>
        <w:tab/>
        <w:tab/>
        <w:tab/>
        <w:tab/>
        <w:tab/>
        <w:tab/>
        <w:t xml:space="preserve">400,000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</w:t>
        <w:tab/>
        <w:tab/>
        <w:tab/>
        <w:tab/>
        <w:t xml:space="preserve">   4,000</w:t>
        <w:tab/>
        <w:tab/>
        <w:tab/>
        <w:tab/>
        <w:t xml:space="preserve">     7,000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Carriage inwards </w:t>
        <w:tab/>
        <w:tab/>
        <w:tab/>
        <w:t xml:space="preserve"> 28,000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Carriage outwards </w:t>
        <w:tab/>
        <w:tab/>
        <w:tab/>
        <w:t xml:space="preserve">   8,000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Discount   </w:t>
        <w:tab/>
        <w:tab/>
        <w:tab/>
        <w:t xml:space="preserve">              12,000                                                     5,000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Insurance  </w:t>
        <w:tab/>
        <w:tab/>
        <w:tab/>
        <w:t xml:space="preserve">              25,000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</w:t>
        <w:tab/>
        <w:tab/>
        <w:tab/>
        <w:t xml:space="preserve">                3,000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Rent </w:t>
        <w:tab/>
        <w:tab/>
        <w:tab/>
        <w:tab/>
        <w:tab/>
        <w:tab/>
        <w:tab/>
        <w:tab/>
        <w:tab/>
        <w:tab/>
        <w:t xml:space="preserve">    18,000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Furniture</w:t>
        <w:tab/>
        <w:tab/>
        <w:tab/>
        <w:t xml:space="preserve">                50,000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 </w:t>
        <w:tab/>
        <w:tab/>
        <w:tab/>
        <w:t xml:space="preserve">                           155,000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Premises  </w:t>
        <w:tab/>
        <w:tab/>
        <w:t xml:space="preserve">                           110,000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Debtors    </w:t>
        <w:tab/>
        <w:tab/>
        <w:tab/>
        <w:t xml:space="preserve">                 40,000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Creditors </w:t>
        <w:tab/>
        <w:tab/>
        <w:tab/>
        <w:tab/>
        <w:t xml:space="preserve">        </w:t>
        <w:tab/>
        <w:tab/>
        <w:tab/>
        <w:t xml:space="preserve">        s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70,000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74538" y="3780000"/>
                          <a:ext cx="542925" cy="0"/>
                        </a:xfrm>
                        <a:custGeom>
                          <a:rect b="b" l="l" r="r" t="t"/>
                          <a:pathLst>
                            <a:path extrusionOk="0" h="1" w="542925">
                              <a:moveTo>
                                <a:pt x="0" y="0"/>
                              </a:moveTo>
                              <a:lnTo>
                                <a:pt x="5429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770,000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770,000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Closing stock was valued at sh. 58,000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a Trading and Profit and Loss account for the year ended 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Dec.2019   (10mks)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following ratios.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Mark up </w:t>
        <w:tab/>
        <w:tab/>
        <w:tab/>
        <w:tab/>
        <w:tab/>
        <w:tab/>
        <w:tab/>
        <w:tab/>
        <w:tab/>
        <w:t xml:space="preserve">(1mk)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Rate of stock turnover</w:t>
        <w:tab/>
        <w:tab/>
        <w:tab/>
        <w:tab/>
        <w:tab/>
        <w:tab/>
        <w:tab/>
        <w:t xml:space="preserve"> (1mk)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305" w:hanging="360"/>
      </w:pPr>
      <w:rPr/>
    </w:lvl>
    <w:lvl w:ilvl="1">
      <w:start w:val="1"/>
      <w:numFmt w:val="lowerLetter"/>
      <w:lvlText w:val="%2."/>
      <w:lvlJc w:val="left"/>
      <w:pPr>
        <w:ind w:left="2025" w:hanging="360"/>
      </w:pPr>
      <w:rPr/>
    </w:lvl>
    <w:lvl w:ilvl="2">
      <w:start w:val="1"/>
      <w:numFmt w:val="lowerRoman"/>
      <w:lvlText w:val="%3."/>
      <w:lvlJc w:val="right"/>
      <w:pPr>
        <w:ind w:left="2745" w:hanging="180"/>
      </w:pPr>
      <w:rPr/>
    </w:lvl>
    <w:lvl w:ilvl="3">
      <w:start w:val="1"/>
      <w:numFmt w:val="decimal"/>
      <w:lvlText w:val="%4."/>
      <w:lvlJc w:val="left"/>
      <w:pPr>
        <w:ind w:left="3465" w:hanging="360"/>
      </w:pPr>
      <w:rPr/>
    </w:lvl>
    <w:lvl w:ilvl="4">
      <w:start w:val="1"/>
      <w:numFmt w:val="lowerLetter"/>
      <w:lvlText w:val="%5."/>
      <w:lvlJc w:val="left"/>
      <w:pPr>
        <w:ind w:left="4185" w:hanging="360"/>
      </w:pPr>
      <w:rPr/>
    </w:lvl>
    <w:lvl w:ilvl="5">
      <w:start w:val="1"/>
      <w:numFmt w:val="lowerRoman"/>
      <w:lvlText w:val="%6."/>
      <w:lvlJc w:val="right"/>
      <w:pPr>
        <w:ind w:left="4905" w:hanging="180"/>
      </w:pPr>
      <w:rPr/>
    </w:lvl>
    <w:lvl w:ilvl="6">
      <w:start w:val="1"/>
      <w:numFmt w:val="decimal"/>
      <w:lvlText w:val="%7."/>
      <w:lvlJc w:val="left"/>
      <w:pPr>
        <w:ind w:left="5625" w:hanging="360"/>
      </w:pPr>
      <w:rPr/>
    </w:lvl>
    <w:lvl w:ilvl="7">
      <w:start w:val="1"/>
      <w:numFmt w:val="lowerLetter"/>
      <w:lvlText w:val="%8."/>
      <w:lvlJc w:val="left"/>
      <w:pPr>
        <w:ind w:left="6345" w:hanging="360"/>
      </w:pPr>
      <w:rPr/>
    </w:lvl>
    <w:lvl w:ilvl="8">
      <w:start w:val="1"/>
      <w:numFmt w:val="lowerRoman"/>
      <w:lvlText w:val="%9."/>
      <w:lvlJc w:val="right"/>
      <w:pPr>
        <w:ind w:left="706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52BA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D3AD0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7175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7175A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2647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47B4"/>
  </w:style>
  <w:style w:type="paragraph" w:styleId="Footer">
    <w:name w:val="footer"/>
    <w:basedOn w:val="Normal"/>
    <w:link w:val="FooterChar"/>
    <w:uiPriority w:val="99"/>
    <w:unhideWhenUsed w:val="1"/>
    <w:rsid w:val="002647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47B4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Qywv6MaHjXKDqMWTwUVqdvb/gQ==">CgMxLjA4AHIhMXVjZGNqeW9Zd1ROdUI3LXRFbzB3dlVVRXdZNlNuYzNo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2020-03-05T02:55:00Z</dcterms:created>
  <dc:creator>USER</dc:creator>
</cp:coreProperties>
</file>