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  <w:jc w:val="center"/>
      </w:pPr>
      <w:r>
        <w:t xml:space="preserve">Международный университет Астана</w:t>
      </w:r>
    </w:p>
    <w:p>
      <w:pPr>
        <w:jc w:val="center"/>
      </w:pPr>
      <w:r>
        <w:t xml:space="preserve">Отчет по публикациям всех сотрудников за 2024</w:t>
      </w:r>
    </w:p>
    <w:p>
      <w:pPr>
        <w:spacing w:after="300"/>
        <w:jc w:val="left"/>
      </w:pPr>
      <w:r>
        <w:t xml:space="preserve">Общее количество публикаций: 11</w:t>
      </w:r>
    </w:p>
    <w:p>
      <w:pPr>
        <w:pStyle w:val="Heading2"/>
      </w:pPr>
      <w:r>
        <w:t xml:space="preserve">Статистика по типам публикаций:</w:t>
      </w:r>
    </w:p>
    <w:p>
      <w:pPr>
        <w:jc w:val="left"/>
      </w:pPr>
      <w:r>
        <w:t xml:space="preserve">Другие публикации: 3</w:t>
      </w:r>
    </w:p>
    <w:p>
      <w:pPr>
        <w:jc w:val="left"/>
      </w:pPr>
      <w:r>
        <w:t xml:space="preserve">Статьи в базе данных Scopus/WoS: 5</w:t>
      </w:r>
    </w:p>
    <w:p>
      <w:pPr>
        <w:jc w:val="left"/>
      </w:pPr>
      <w:r>
        <w:t xml:space="preserve">Книги: 1</w:t>
      </w:r>
    </w:p>
    <w:p>
      <w:pPr>
        <w:jc w:val="left"/>
      </w:pPr>
      <w:r>
        <w:t xml:space="preserve">Материалы конференций: 1</w:t>
      </w:r>
    </w:p>
    <w:p>
      <w:pPr>
        <w:jc w:val="left"/>
      </w:pPr>
      <w:r>
        <w:t xml:space="preserve">Другие статьи: 1</w:t>
      </w:r>
    </w:p>
    <w:p>
      <w:pPr>
        <w:pStyle w:val="Heading2"/>
        <w:spacing w:before="300"/>
      </w:pPr>
      <w:r>
        <w:t xml:space="preserve">Статистика по высшим школам:</w:t>
      </w:r>
    </w:p>
    <w:p>
      <w:pPr>
        <w:jc w:val="left"/>
      </w:pPr>
      <w:r>
        <w:t xml:space="preserve">Статистика для undefined:</w:t>
      </w:r>
    </w:p>
    <w:p>
      <w:pPr>
        <w:jc w:val="left"/>
      </w:pPr>
      <w:r>
        <w:t xml:space="preserve">Статистика для Школа инженерии:</w:t>
      </w:r>
    </w:p>
    <w:p>
      <w:pPr>
        <w:jc w:val="left"/>
      </w:pPr>
      <w:r>
        <w:t xml:space="preserve">- Другие публикации: 3</w:t>
      </w:r>
    </w:p>
    <w:p>
      <w:pPr>
        <w:jc w:val="left"/>
      </w:pPr>
      <w:r>
        <w:t xml:space="preserve">- Статьи в базе данных Scopus/WoS: 5</w:t>
      </w:r>
    </w:p>
    <w:p>
      <w:pPr>
        <w:jc w:val="left"/>
      </w:pPr>
      <w:r>
        <w:t xml:space="preserve">- Книги: 1</w:t>
      </w:r>
    </w:p>
    <w:p>
      <w:pPr>
        <w:jc w:val="left"/>
      </w:pPr>
      <w:r>
        <w:t xml:space="preserve">- Материалы конференций: 1</w:t>
      </w:r>
    </w:p>
    <w:p>
      <w:pPr>
        <w:jc w:val="left"/>
      </w:pPr>
      <w:r>
        <w:t xml:space="preserve">Статистика для Школа экономики:</w:t>
      </w:r>
    </w:p>
    <w:p>
      <w:pPr>
        <w:jc w:val="left"/>
      </w:pPr>
      <w:r>
        <w:t xml:space="preserve">Статистика для Школа права:</w:t>
      </w:r>
    </w:p>
    <w:p>
      <w:pPr>
        <w:jc w:val="left"/>
      </w:pPr>
      <w:r>
        <w:t xml:space="preserve">- Другие статьи: 1</w:t>
      </w:r>
    </w:p>
    <w:p>
      <w:pPr>
        <w:pStyle w:val="Heading2"/>
        <w:spacing w:before="300"/>
      </w:pPr>
      <w:r>
        <w:t xml:space="preserve">Список всех публикаций: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</w:tblGrid>
      <w:tr>
        <w:tc>
          <w:tcPr>
            <w:gridSpan w:val="6"/>
          </w:tcPr>
          <w:p>
            <w:pPr>
              <w:jc w:val="center"/>
            </w:pPr>
            <w:r>
              <w:t xml:space="preserve">Нет публикаций для отображения</w:t>
            </w:r>
          </w:p>
        </w:tc>
      </w:tr>
    </w:tbl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2024-11-10T05:37:44.515Z</dcterms:created>
  <dcterms:modified xsi:type="dcterms:W3CDTF">2024-11-10T05:37:44.515Z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