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8"/>
          <w:szCs w:val="38"/>
          <w:rtl w:val="0"/>
        </w:rPr>
        <w:t xml:space="preserve">Stock Market Prediction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9"/>
          <w:szCs w:val="29"/>
        </w:rPr>
      </w:pPr>
      <w:bookmarkStart w:colFirst="0" w:colLast="0" w:name="_icyrt8ecl2f5" w:id="0"/>
      <w:bookmarkEnd w:id="0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Approach and Methodologies: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1. Data Loading and Initial Analysis: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The project starts by loading the stock market dataset using Pandas.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Exploratory Data Analysis (EDA) is conducted to understand the dataset's structure, size, and information.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2. Data Visualization: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Time series visualization of the 'close' price is presented to understand the overall trend.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Data cleaning is performed by removing the 'adjclose' column since it duplicates the 'close' column.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3. Feature Engineering: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The dataset is further processed through feature engineering to create additional relevant features for model training.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Two new features are created: 'Daily_Return' (percentage change in closing price) and 'Rolling_Avg_Close' (20-day rolling average of closing price).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4. Data Distribution and Outlier Analysis: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Distributions and boxplots of features are visualized to understand their spread and identify potential outliers.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5. Model Training: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The dataset is split into training and testing sets.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 Gradient Boosting Regressor model is chosen for prediction, initialized with hyperparameters such as the number of estimators, learning rate, and maximum depth.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6. Model Evaluation: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The trained model is evaluated using Mean Squared Error (MSE) as the performance metric.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7. Prediction Visualization: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The actual and predicted stock prices are visualized over time.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 scatter plot is used to compare sampled actual and predicted values for better understanding.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8. Absolute Difference Analysis: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The absolute differences between actual and predicted prices are visualized using a bar graph and a heatmap.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9"/>
          <w:szCs w:val="29"/>
        </w:rPr>
      </w:pPr>
      <w:bookmarkStart w:colFirst="0" w:colLast="0" w:name="_4ri9pn9xfyo2" w:id="1"/>
      <w:bookmarkEnd w:id="1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Insights Gained: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Feature Importance: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The choice of features, including 'Daily_Return' and 'Rolling_Avg_Close,' suggests an emphasis on capturing daily price changes and trends.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2.Model Performance: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The MSE of 0.1841 is used to quantify the performance of the Gradient Boosting Regressor.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Visualization of actual vs. predicted prices provides insights into the model's ability to capture trends and patterns in the data.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3.Absolute Differences: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Absolute differences between actual and predicted prices are analyzed to understand the magnitude of prediction errors.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4.Heatmap Analysis: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The heatmap provides a visual representation of absolute differences across different time points, offering insights into when the model performs well or poorly.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9"/>
          <w:szCs w:val="29"/>
        </w:rPr>
      </w:pPr>
      <w:bookmarkStart w:colFirst="0" w:colLast="0" w:name="_y0wtkmmvyj9a" w:id="2"/>
      <w:bookmarkEnd w:id="2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Chosen Predictive Models: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Gradient Boosting Regressor: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Gradient Boosting is an ensemble learning technique that combines the predictions of several weak learners (usually decision trees) to create a strong predictive model.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It is well-suited for regression tasks and is known for its high predictive accuracy and robustness.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The MSE of 0.18415409509283281 underscores the effectiveness of the Gradient Boosting Regressor in capturing the underlying patterns in the stock market data.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Its high predictive accuracy, as reflected by the low MSE, reinforces its suitability for the regression task.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