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37360" cy="777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7770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6192"/>
            <w:gridSpan w:val="2"/>
            <w:vAlign w:val="center"/>
          </w:tcPr>
          <w:p>
            <w:r>
              <w:rPr>
                <w:b/>
                <w:i w:val="0"/>
                <w:sz w:val="18"/>
              </w:rPr>
              <w:t>Adventure Bakery, LLC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Revision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b/>
                <w:i w:val="0"/>
                <w:sz w:val="18"/>
              </w:rPr>
              <w:t>Form Title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  <w:i w:val="0"/>
                <w:sz w:val="18"/>
              </w:rPr>
              <w:t>Master Sanitation Schedule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Effective Date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2026-06-01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b/>
                <w:i w:val="0"/>
                <w:sz w:val="18"/>
              </w:rPr>
              <w:t>Form No.</w:t>
            </w:r>
          </w:p>
        </w:tc>
        <w:tc>
          <w:tcPr>
            <w:tcW w:type="dxa" w:w="4320"/>
            <w:vAlign w:val="center"/>
          </w:tcPr>
          <w:p>
            <w:r>
              <w:rPr>
                <w:b w:val="0"/>
                <w:i w:val="0"/>
                <w:sz w:val="18"/>
              </w:rPr>
              <w:t>FRM-901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Approved By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GJM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b/>
                <w:i w:val="0"/>
                <w:sz w:val="18"/>
              </w:rPr>
              <w:t>SQF Reference</w:t>
            </w:r>
          </w:p>
        </w:tc>
        <w:tc>
          <w:tcPr>
            <w:tcW w:type="dxa" w:w="4320"/>
            <w:vAlign w:val="center"/>
          </w:tcPr>
          <w:p>
            <w:r>
              <w:rPr>
                <w:b w:val="0"/>
                <w:i w:val="0"/>
                <w:sz w:val="18"/>
              </w:rPr>
              <w:t>11.2.5.1, 11.2.5.8, 11.2.5.9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Filled By</w:t>
            </w:r>
          </w:p>
        </w:tc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r>
        <w:rPr>
          <w:b/>
          <w:color w:val="C89B3C"/>
          <w:sz w:val="24"/>
        </w:rPr>
        <w:t>Master Sanitation Schedule (reference)</w:t>
      </w:r>
    </w:p>
    <w:p>
      <w:r>
        <w:rPr>
          <w:i/>
          <w:color w:val="555555"/>
          <w:sz w:val="16"/>
        </w:rPr>
        <w:t>Defines the scheduled cleaning of the facility, equipment, and storage areas — what is cleaned, how, when, and who is responsible (SQF 11.2.5.1). Daily production-day cleaning is recorded on the Daily Sanitation &amp; Pre-Operation Record (FRM-903) and each machine's SSOP log; periodic cleaning is recorded below as it is completed (SQF 11.2.5.8, 11.2.5.9).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Area / item to clean</w:t>
            </w:r>
          </w:p>
        </w:tc>
        <w:tc>
          <w:tcPr>
            <w:tcW w:type="dxa" w:w="2628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Cleaning method &amp; chemical</w:t>
            </w:r>
          </w:p>
        </w:tc>
        <w:tc>
          <w:tcPr>
            <w:tcW w:type="dxa" w:w="2628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Responsible</w:t>
            </w:r>
          </w:p>
        </w:tc>
        <w:tc>
          <w:tcPr>
            <w:tcW w:type="dxa" w:w="2628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Frequency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Food contact surfaces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Clean; sanitize with Sani-512 (1:512, no-rinse)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Sanitation / Production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Daily (production days)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Equipment used for production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Cleaned &amp; sanitized per each machine's SOP/SSOP; recorded on its own log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Sanitation / Production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Daily (production days)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Utensils used for production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Wash, rinse, sanitize (Sani-512)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Sanitation / Production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Daily (production days)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Floors in processing room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Sweep, wash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Sanitation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Daily (production days)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Floors in storage areas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Sweep, wash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Sanitation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Daily (production days)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Under pallets / bottom rack spaces in storage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Clear and clean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Sanitation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Monthly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Dock areas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Sweep, clean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Sanitation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Monthly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Overheads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Clean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Sanitation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Every 6 months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Racking in storage areas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Clean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Sanitation</w:t>
            </w:r>
          </w:p>
        </w:tc>
        <w:tc>
          <w:tcPr>
            <w:tcW w:type="dxa" w:w="2628"/>
            <w:vAlign w:val="top"/>
          </w:tcPr>
          <w:p>
            <w:r>
              <w:rPr>
                <w:b w:val="0"/>
                <w:i w:val="0"/>
                <w:sz w:val="16"/>
              </w:rPr>
              <w:t>Every 6 months</w:t>
            </w:r>
          </w:p>
        </w:tc>
      </w:tr>
    </w:tbl>
    <w:p/>
    <w:p>
      <w:r>
        <w:rPr>
          <w:b/>
          <w:color w:val="C89B3C"/>
          <w:sz w:val="24"/>
        </w:rPr>
        <w:t>Periodic Cleaning — Completion Record</w:t>
      </w:r>
    </w:p>
    <w:p>
      <w:r>
        <w:rPr>
          <w:i/>
          <w:color w:val="555555"/>
          <w:sz w:val="16"/>
        </w:rPr>
        <w:t>Record each scheduled periodic (monthly / 6-month) cleaning as it is completed, and have it verified. This forms part of the cleaning records required by SQF 11.2.5.9. One record per completed task; the Records report shows completions over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2656"/>
            <w:vAlign w:val="center"/>
            <w:shd w:val="clear" w:fill="F5F1E6"/>
          </w:tcPr>
          <w:p>
            <w:r>
              <w:rPr>
                <w:b/>
                <w:i w:val="0"/>
                <w:sz w:val="17"/>
              </w:rPr>
              <w:t>Task / area cleaned</w:t>
            </w:r>
          </w:p>
        </w:tc>
        <w:tc>
          <w:tcPr>
            <w:tcW w:type="dxa" w:w="1217"/>
            <w:vAlign w:val="center"/>
            <w:shd w:val="clear" w:fill="F5F1E6"/>
          </w:tcPr>
          <w:p>
            <w:r>
              <w:rPr>
                <w:b/>
                <w:i w:val="0"/>
                <w:sz w:val="17"/>
              </w:rPr>
              <w:t>Frequency</w:t>
            </w:r>
          </w:p>
        </w:tc>
        <w:tc>
          <w:tcPr>
            <w:tcW w:type="dxa" w:w="1217"/>
            <w:vAlign w:val="center"/>
            <w:shd w:val="clear" w:fill="F5F1E6"/>
          </w:tcPr>
          <w:p>
            <w:r>
              <w:rPr>
                <w:b/>
                <w:i w:val="0"/>
                <w:sz w:val="17"/>
              </w:rPr>
              <w:t>Date completed</w:t>
            </w:r>
          </w:p>
        </w:tc>
        <w:tc>
          <w:tcPr>
            <w:tcW w:type="dxa" w:w="2545"/>
            <w:vAlign w:val="center"/>
            <w:shd w:val="clear" w:fill="F5F1E6"/>
          </w:tcPr>
          <w:p>
            <w:r>
              <w:rPr>
                <w:b/>
                <w:i w:val="0"/>
                <w:sz w:val="17"/>
              </w:rPr>
              <w:t>Method / chemical / comments</w:t>
            </w:r>
          </w:p>
        </w:tc>
        <w:tc>
          <w:tcPr>
            <w:tcW w:type="dxa" w:w="1328"/>
            <w:vAlign w:val="center"/>
            <w:shd w:val="clear" w:fill="F5F1E6"/>
          </w:tcPr>
          <w:p>
            <w:r>
              <w:rPr>
                <w:b/>
                <w:i w:val="0"/>
                <w:sz w:val="17"/>
              </w:rPr>
              <w:t>Completed by</w:t>
            </w:r>
          </w:p>
        </w:tc>
        <w:tc>
          <w:tcPr>
            <w:tcW w:type="dxa" w:w="1549"/>
            <w:vAlign w:val="center"/>
            <w:shd w:val="clear" w:fill="F5F1E6"/>
          </w:tcPr>
          <w:p>
            <w:r>
              <w:rPr>
                <w:b/>
                <w:i w:val="0"/>
                <w:sz w:val="17"/>
              </w:rPr>
              <w:t>Verified by / date</w:t>
            </w:r>
          </w:p>
        </w:tc>
      </w:tr>
      <w:tr>
        <w:tc>
          <w:tcPr>
            <w:tcW w:type="dxa" w:w="2656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2545"/>
            <w:vAlign w:val="center"/>
          </w:tcPr>
          <w:p/>
          <w:p/>
        </w:tc>
        <w:tc>
          <w:tcPr>
            <w:tcW w:type="dxa" w:w="1328"/>
            <w:vAlign w:val="center"/>
          </w:tcPr>
          <w:p/>
          <w:p/>
        </w:tc>
        <w:tc>
          <w:tcPr>
            <w:tcW w:type="dxa" w:w="1549"/>
            <w:vAlign w:val="center"/>
          </w:tcPr>
          <w:p/>
          <w:p/>
        </w:tc>
      </w:tr>
      <w:tr>
        <w:tc>
          <w:tcPr>
            <w:tcW w:type="dxa" w:w="2656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2545"/>
            <w:vAlign w:val="center"/>
          </w:tcPr>
          <w:p/>
          <w:p/>
        </w:tc>
        <w:tc>
          <w:tcPr>
            <w:tcW w:type="dxa" w:w="1328"/>
            <w:vAlign w:val="center"/>
          </w:tcPr>
          <w:p/>
          <w:p/>
        </w:tc>
        <w:tc>
          <w:tcPr>
            <w:tcW w:type="dxa" w:w="1549"/>
            <w:vAlign w:val="center"/>
          </w:tcPr>
          <w:p/>
          <w:p/>
        </w:tc>
      </w:tr>
      <w:tr>
        <w:tc>
          <w:tcPr>
            <w:tcW w:type="dxa" w:w="2656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2545"/>
            <w:vAlign w:val="center"/>
          </w:tcPr>
          <w:p/>
          <w:p/>
        </w:tc>
        <w:tc>
          <w:tcPr>
            <w:tcW w:type="dxa" w:w="1328"/>
            <w:vAlign w:val="center"/>
          </w:tcPr>
          <w:p/>
          <w:p/>
        </w:tc>
        <w:tc>
          <w:tcPr>
            <w:tcW w:type="dxa" w:w="1549"/>
            <w:vAlign w:val="center"/>
          </w:tcPr>
          <w:p/>
          <w:p/>
        </w:tc>
      </w:tr>
      <w:tr>
        <w:tc>
          <w:tcPr>
            <w:tcW w:type="dxa" w:w="2656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2545"/>
            <w:vAlign w:val="center"/>
          </w:tcPr>
          <w:p/>
          <w:p/>
        </w:tc>
        <w:tc>
          <w:tcPr>
            <w:tcW w:type="dxa" w:w="1328"/>
            <w:vAlign w:val="center"/>
          </w:tcPr>
          <w:p/>
          <w:p/>
        </w:tc>
        <w:tc>
          <w:tcPr>
            <w:tcW w:type="dxa" w:w="1549"/>
            <w:vAlign w:val="center"/>
          </w:tcPr>
          <w:p/>
          <w:p/>
        </w:tc>
      </w:tr>
      <w:tr>
        <w:tc>
          <w:tcPr>
            <w:tcW w:type="dxa" w:w="2656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2545"/>
            <w:vAlign w:val="center"/>
          </w:tcPr>
          <w:p/>
          <w:p/>
        </w:tc>
        <w:tc>
          <w:tcPr>
            <w:tcW w:type="dxa" w:w="1328"/>
            <w:vAlign w:val="center"/>
          </w:tcPr>
          <w:p/>
          <w:p/>
        </w:tc>
        <w:tc>
          <w:tcPr>
            <w:tcW w:type="dxa" w:w="1549"/>
            <w:vAlign w:val="center"/>
          </w:tcPr>
          <w:p/>
          <w:p/>
        </w:tc>
      </w:tr>
      <w:tr>
        <w:tc>
          <w:tcPr>
            <w:tcW w:type="dxa" w:w="2656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2545"/>
            <w:vAlign w:val="center"/>
          </w:tcPr>
          <w:p/>
          <w:p/>
        </w:tc>
        <w:tc>
          <w:tcPr>
            <w:tcW w:type="dxa" w:w="1328"/>
            <w:vAlign w:val="center"/>
          </w:tcPr>
          <w:p/>
          <w:p/>
        </w:tc>
        <w:tc>
          <w:tcPr>
            <w:tcW w:type="dxa" w:w="1549"/>
            <w:vAlign w:val="center"/>
          </w:tcPr>
          <w:p/>
          <w:p/>
        </w:tc>
      </w:tr>
      <w:tr>
        <w:tc>
          <w:tcPr>
            <w:tcW w:type="dxa" w:w="2656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2545"/>
            <w:vAlign w:val="center"/>
          </w:tcPr>
          <w:p/>
          <w:p/>
        </w:tc>
        <w:tc>
          <w:tcPr>
            <w:tcW w:type="dxa" w:w="1328"/>
            <w:vAlign w:val="center"/>
          </w:tcPr>
          <w:p/>
          <w:p/>
        </w:tc>
        <w:tc>
          <w:tcPr>
            <w:tcW w:type="dxa" w:w="1549"/>
            <w:vAlign w:val="center"/>
          </w:tcPr>
          <w:p/>
          <w:p/>
        </w:tc>
      </w:tr>
      <w:tr>
        <w:tc>
          <w:tcPr>
            <w:tcW w:type="dxa" w:w="2656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2545"/>
            <w:vAlign w:val="center"/>
          </w:tcPr>
          <w:p/>
          <w:p/>
        </w:tc>
        <w:tc>
          <w:tcPr>
            <w:tcW w:type="dxa" w:w="1328"/>
            <w:vAlign w:val="center"/>
          </w:tcPr>
          <w:p/>
          <w:p/>
        </w:tc>
        <w:tc>
          <w:tcPr>
            <w:tcW w:type="dxa" w:w="1549"/>
            <w:vAlign w:val="center"/>
          </w:tcPr>
          <w:p/>
          <w:p/>
        </w:tc>
      </w:tr>
      <w:tr>
        <w:tc>
          <w:tcPr>
            <w:tcW w:type="dxa" w:w="2656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2545"/>
            <w:vAlign w:val="center"/>
          </w:tcPr>
          <w:p/>
          <w:p/>
        </w:tc>
        <w:tc>
          <w:tcPr>
            <w:tcW w:type="dxa" w:w="1328"/>
            <w:vAlign w:val="center"/>
          </w:tcPr>
          <w:p/>
          <w:p/>
        </w:tc>
        <w:tc>
          <w:tcPr>
            <w:tcW w:type="dxa" w:w="1549"/>
            <w:vAlign w:val="center"/>
          </w:tcPr>
          <w:p/>
          <w:p/>
        </w:tc>
      </w:tr>
      <w:tr>
        <w:tc>
          <w:tcPr>
            <w:tcW w:type="dxa" w:w="2656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2545"/>
            <w:vAlign w:val="center"/>
          </w:tcPr>
          <w:p/>
          <w:p/>
        </w:tc>
        <w:tc>
          <w:tcPr>
            <w:tcW w:type="dxa" w:w="1328"/>
            <w:vAlign w:val="center"/>
          </w:tcPr>
          <w:p/>
          <w:p/>
        </w:tc>
        <w:tc>
          <w:tcPr>
            <w:tcW w:type="dxa" w:w="1549"/>
            <w:vAlign w:val="center"/>
          </w:tcPr>
          <w:p/>
          <w:p/>
        </w:tc>
      </w:tr>
      <w:tr>
        <w:tc>
          <w:tcPr>
            <w:tcW w:type="dxa" w:w="2656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2545"/>
            <w:vAlign w:val="center"/>
          </w:tcPr>
          <w:p/>
          <w:p/>
        </w:tc>
        <w:tc>
          <w:tcPr>
            <w:tcW w:type="dxa" w:w="1328"/>
            <w:vAlign w:val="center"/>
          </w:tcPr>
          <w:p/>
          <w:p/>
        </w:tc>
        <w:tc>
          <w:tcPr>
            <w:tcW w:type="dxa" w:w="1549"/>
            <w:vAlign w:val="center"/>
          </w:tcPr>
          <w:p/>
          <w:p/>
        </w:tc>
      </w:tr>
      <w:tr>
        <w:tc>
          <w:tcPr>
            <w:tcW w:type="dxa" w:w="2656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1217"/>
            <w:vAlign w:val="center"/>
          </w:tcPr>
          <w:p/>
          <w:p/>
        </w:tc>
        <w:tc>
          <w:tcPr>
            <w:tcW w:type="dxa" w:w="2545"/>
            <w:vAlign w:val="center"/>
          </w:tcPr>
          <w:p/>
          <w:p/>
        </w:tc>
        <w:tc>
          <w:tcPr>
            <w:tcW w:type="dxa" w:w="1328"/>
            <w:vAlign w:val="center"/>
          </w:tcPr>
          <w:p/>
          <w:p/>
        </w:tc>
        <w:tc>
          <w:tcPr>
            <w:tcW w:type="dxa" w:w="1549"/>
            <w:vAlign w:val="center"/>
          </w:tcPr>
          <w:p/>
          <w:p/>
        </w:tc>
      </w:tr>
    </w:tbl>
    <w:p/>
    <w:p>
      <w:r>
        <w:rPr>
          <w:i/>
          <w:color w:val="555555"/>
          <w:sz w:val="16"/>
        </w:rPr>
        <w:t>Adventure Bakery, LLC · Confidential · FRM-901 · Handwritten entries are photographed and entered into the digital form</w:t>
      </w:r>
    </w:p>
    <w:sectPr w:rsidR="00FC693F" w:rsidRPr="0006063C" w:rsidSect="00034616">
      <w:pgSz w:w="12240" w:h="15840"/>
      <w:pgMar w:top="720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