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Request for Proposal - Hyperscale Data Centre</w:t>
      </w:r>
    </w:p>
    <w:p>
      <w:r>
        <w:t xml:space="preserve">We are bidding a 30 MW Tier IV hyperscale data centre in Chennai, on a brownfield parcel inside an existing IT park.</w:t>
      </w:r>
    </w:p>
    <w:p>
      <w:r>
        <w:t xml:space="preserve">2N electrical topology. The HT substation is in our scope.</w:t>
      </w:r>
    </w:p>
    <w:p>
      <w:r>
        <w:t xml:space="preserve">Gensets are owner-furnished under a client framework agreement.</w:t>
      </w:r>
    </w:p>
  </w:body>
</w:document>
</file>