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6"/>
        </w:rPr>
        <w:t>Robust Risk-Consistent Graph-Contrastive Learning for Popularity-Calibrated Recommendation with MIRF Auditing</w:t>
        <w:br/>
      </w:r>
    </w:p>
    <w:p>
      <w:pPr>
        <w:jc w:val="center"/>
      </w:pPr>
      <w:r>
        <w:rPr>
          <w:b/>
          <w:sz w:val="24"/>
        </w:rPr>
        <w:t>Advait Varhade, Student Member, IEEE</w:t>
        <w:br/>
      </w:r>
      <w:r>
        <w:rPr>
          <w:i/>
          <w:sz w:val="20"/>
        </w:rPr>
        <w:t>Department of Computer Science and Engineering</w:t>
        <w:br/>
        <w:t>Email: advaitvarhade@project.org</w:t>
        <w:br/>
      </w:r>
    </w:p>
    <w:p>
      <w:pPr>
        <w:pStyle w:val="Heading1"/>
      </w:pPr>
      <w:r>
        <w:t>Abstract</w:t>
      </w:r>
    </w:p>
    <w:p>
      <w:pPr>
        <w:spacing w:line="276" w:lineRule="auto" w:after="200"/>
      </w:pPr>
      <w:r>
        <w:t>Modern graph-based recommender systems deployed in web platforms suffer from two co-occurring systemic vulnerabilities: (1) susceptibility to coordinated adversarial shilling attacks and temporal review-bombing bursts that inject deceptive feedback to distort item exposure, and (2) severe catalog popularity bias where Pareto-skewed interaction distributions starve niche long-tail items of visibility. Existing paradigms address adversarial robustness or popularity debiasing in isolation, failing when both phenomena co-occur. In this paper, we propose RRFN-LLM-SUPER, an end-to-end framework uniting stochastic noise-transition estimation, the Multi-view Interaction Reliability Filter (MIRF), risk-aware Graph Contrastive Learning (GCL), and calibrated Pareto debiasing. We provide formal mathematical foundations, establishing that Tikhonov-regularized noise inversion strictly upper-bounds operator norms by ||T†_λ||_2 ≤ 1 / (2√λ), guaranteeing gradient stability without singular divergence, and prove asymptotic surrogate risk consistency O(δ + 1/√N) for the implemented forward-corrected loss alongside confidence inversion bounds O(δ/√λ + √λ). MIRF derives continuous sample reliability weights w_ui ∈ [0, 1] by synthesizing model prediction consistency, asynchronous LLM semantic review verification with thread-safe SQLite WAL caching, and 2D BLAS vectorized burst scoring (measured 4.95 ms latency for 42K interactions, &gt;500× speedup). These weights modulate InfoNCE contrastive losses and purify historical blueprints for personalized tail inclination (α_u) allocation. Extensive empirical evaluations across 5 independent random seeds on three benchmark domains (MovieLens-1M sub-graph, Amazon Reviews, Yelp Academic) spanning multiple neural backbones (NeuMF, SimGCL, SGL) demonstrate that RRFN-LLM-SUPER achieves an attack detection Average Precision of 0.6884 on Amazon and 0.6816 on Yelp (3.9–4.3× gain over random edge baselines), maintains an Authentic Retention AP of 0.9989 (ROC-AUC = 0.7931 ± 0.0038 on MovieLens-1M under 15% bandwagon attack), provides statistically significant reductions in popularity calibration error (RMSE-PC 0.1067 ± 0.0056, p = 0.0166; MRMC 0.1128 ± 0.0034, p = 0.0088), purges attack-induced deceptive tail inflation (reducing spam exposure STER@10 from 88% to 72%), elevates genuine long-tail discovery (g-LTC@10 = 0.4202 ± 0.0333 vs. 0.3371 ± 0.0693, p = 0.0397 on Yelp), and yields statistically significant improvements under 1,000-iteration offline Monte Carlo bootstrap simulations (p &lt; 0.001). Complete source code, configurations, and evaluation logs are publicly accessible at https://github.com/advaitvarhade/RRFN-LLM-SUPER.</w:t>
      </w:r>
    </w:p>
    <w:p>
      <w:pPr>
        <w:spacing w:after="320"/>
      </w:pPr>
      <w:r>
        <w:rPr>
          <w:b/>
        </w:rPr>
        <w:t xml:space="preserve">Keywords: </w:t>
      </w:r>
      <w:r>
        <w:t>Recommender Systems, Graph Neural Networks, Graph Contrastive Learning, Multi-view Interaction Reliability Filter (MIRF), Review-Bombing Detection, Popularity Bias, Long-Tail Calibration, Large Language Models, Trustworthy AI.</w:t>
      </w:r>
    </w:p>
    <w:p>
      <w:r>
        <w:br w:type="page"/>
      </w:r>
    </w:p>
    <w:p>
      <w:pPr>
        <w:pStyle w:val="Heading1"/>
      </w:pPr>
      <w:r>
        <w:t>I. INTRODUCTION AND MOTIVATION</w:t>
      </w:r>
    </w:p>
    <w:p>
      <w:r>
        <w:t>Web-scale recommender systems operate on bipartite user-item interaction graphs G = (U, I, E). However, real-world recommendation graphs are contaminated by two orthogonal sources of degradation: adversarial data corruption and structural popularity bias [1], [2].</w:t>
        <w:br/>
        <w:br/>
        <w:t>First, malicious actors orchestrate coordinated injection attacks, including bandwagon shilling campaigns and temporal review-bombing bursts [3], [4]. In bandwagon attacks, automated bot accounts inject extreme ratings on target items combined with high ratings on popular anchor items to camouflage their behavior. Standard Collaborative Filtering (CF) and Graph Convolutional Networks (GCNs) treat all observed edges equally, causing noisy perturbations to propagate through high-order message passing layers and distorting user/item representations [5].</w:t>
        <w:br/>
        <w:br/>
        <w:t>Second, user interaction behavior exhibits extreme Pareto concentration: approximately 20% of head items capture over 80% of all interactions [6], [7]. Standard optimization objectives minimize global empirical loss, rewarding models for prioritizing popular items while systematically suppressing relevant niche items in the long tail.</w:t>
      </w:r>
    </w:p>
    <w:p>
      <w:pPr>
        <w:spacing w:before="160" w:after="80"/>
        <w:jc w:val="center"/>
      </w:pPr>
      <w:r>
        <w:drawing>
          <wp:inline xmlns:a="http://schemas.openxmlformats.org/drawingml/2006/main" xmlns:pic="http://schemas.openxmlformats.org/drawingml/2006/picture">
            <wp:extent cx="5943600" cy="3166918"/>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943600" cy="3166918"/>
                    </a:xfrm>
                    <a:prstGeom prst="rect"/>
                  </pic:spPr>
                </pic:pic>
              </a:graphicData>
            </a:graphic>
          </wp:inline>
        </w:drawing>
      </w:r>
    </w:p>
    <w:p>
      <w:pPr>
        <w:spacing w:before="40" w:after="200"/>
        <w:jc w:val="center"/>
      </w:pPr>
      <w:r>
        <w:rPr>
          <w:rFonts w:ascii="Times New Roman" w:hAnsi="Times New Roman"/>
          <w:i/>
          <w:color w:val="333333"/>
          <w:sz w:val="19"/>
        </w:rPr>
        <w:t>Fig. 1. End-to-end system architecture of the RRFN-LLM-SUPER framework, illustrating multi-domain graph ingestion, Tikhonov-regularized noise transition modeling, the Multi-view Interaction Reliability Filter (MIRF), risk-aware graph contrastive learning, dual partition training, and SUPER blueprint calibrated quota merging.</w:t>
      </w:r>
    </w:p>
    <w:p>
      <w:pPr>
        <w:pStyle w:val="Heading2"/>
      </w:pPr>
      <w:r>
        <w:t>Grounding Key Concepts: SUP, RRFN, and MIRF</w:t>
      </w:r>
    </w:p>
    <w:p>
      <w:r>
        <w:t>To establish conceptual and terminological precision throughout this paper:</w:t>
        <w:br/>
        <w:br/>
        <w:t>1. What is SUP? In existing literature, SUP (also known as SUPER) refers to Soft Blueprint Merging for Calibrated Long-Tail Recommendation [6]. SUP addresses catalog popularity skew by partitioning items into Head (M_pop) and Tail (M_tail) models and soft-merging candidate lists based on user tail inclination α_u. However, standalone SUP fundamentally assumes an idealized, uncorrupted interaction graph. When subjected to adversarial shilling or review-bombing noise, SUP's interaction blueprints ingest corrupted ratings, resulting in severe degradation of recommendation fidelity.</w:t>
        <w:br/>
        <w:br/>
        <w:t>2. What is RRFN? RRFN refers to the Robust Risk-consistent Fusion Network. RRFN is a noise-transition modeling framework that constructs a K × K stochastic rating transition matrix T_ij = P(Y~ = j | Y* = i) from high-confidence anchor items, regularizes matrix inversion using Tikhonov regularization, and optimizes a risk-consistent bounded forward loss function L_risk.</w:t>
        <w:br/>
        <w:br/>
        <w:t>3. What is MIRF? MIRF stands for the Multi-view Interaction Reliability Filter. MIRF is the unified tri-view ensemble mechanism that synthesizes:</w:t>
        <w:br/>
        <w:t>• R_RRFN: Statistical model prediction consistency derived from regularized transition matrix T.</w:t>
        <w:br/>
        <w:t>• R_LLM: Semantic LLM review-text verification evaluated via asynchronous prompt queries and cached in a thread-safe SQLite WAL database.</w:t>
        <w:br/>
        <w:t>• R_bomb: Vectorized temporal-polarity review-bombing burst detection computed via 2D BLAS matrix broadcasting.</w:t>
        <w:br/>
        <w:t>MIRF produces a continuous sample reliability weight w_ui = R_MIRF(u, i) ∈ [0, 1] for every interaction edge.</w:t>
        <w:br/>
        <w:br/>
        <w:t>4. Our Unified Algorithm (RRFN-LLM-SUPER): We propose RRFN-LLM-SUPER, an end-to-end architecture that unifies the noise-mitigation power of RRFN and MIRF, the self-supervised representation alignment of Graph Contrastive Learning (SimGCL / SGL), and the calibrated debiasing of SUPER. By filtering interaction blueprints through MIRF reliability auditing and weighting the InfoNCE contrastive loss by sample-level trust weights, our approach simultaneously repels coordinated attacks and recovers genuine long-tail catalog exposure.</w:t>
      </w:r>
    </w:p>
    <w:p>
      <w:pPr>
        <w:pStyle w:val="Heading2"/>
      </w:pPr>
      <w:r>
        <w:t>Summary of Contributions</w:t>
      </w:r>
    </w:p>
    <w:p>
      <w:r>
        <w:t>1. Mathematical Noise Transition &amp; Operator Boundedness Proof: We derive an anchor-selected 5 × 5 stochastic noise transition matrix T and prove (Theorem 1) that Tikhonov regularization (T^T T + λ I)^(-1) T^T strictly bounds the spectral operator norm by ||T†_λ||_2 ≤ 1 / (2√λ), guaranteeing Lipschitz gradient stability and preventing numerical explosion. Furthermore, we prove Theorem 2 establishing formal forward surrogate risk consistency O(δ/σ_0 + 1/√N) converging asymptotically to clean Bayes risk, coupled with regularized confidence inversion error O(δ/√λ + √λ).</w:t>
        <w:br/>
        <w:br/>
        <w:t>2. Multi-view Interaction Reliability Filter (MIRF): We formulate the MIRF ensemble layer combining model prediction divergence (R_RRFN), prompt-audited LLM semantic review verification (R_LLM) supported by a thread-safe SQLite WAL cache, and 2D BLAS vectorized temporal-polarity burst scoring (R_bomb), achieving a &gt;500× computational acceleration (4.95 ms for 42K interactions).</w:t>
        <w:br/>
        <w:br/>
        <w:t>3. Risk-Aware Graph Contrastive Learning: We integrate SimGCL (latent uniform noise) and SGL (structural dropout) backbones guided by a sample-reliability weighted InfoNCE contrastive loss, preventing poisoned interactions from corrupting graph embeddings.</w:t>
        <w:br/>
        <w:br/>
        <w:t>4. Purified SUPER Blueprint Merging &amp; Attack-Aware LTC Metrics: We formulate Genuine Long-Tail Coverage (g-LTC@K) and Spam Target Exposure Rate (STER@K), proving that raw LTC inflation under attack represents malicious spam injection rather than authentic user discovery, and design a clean-anchor blueprint engine that eliminates fake feedback.</w:t>
        <w:br/>
        <w:br/>
        <w:t>5. Multi-Domain 5-Seed Benchmark &amp; Statistical Evaluation: We evaluate RRFN-LLM-SUPER across 5 independent seeds on three domains (MovieLens-1M sub-graph, Amazon Reviews with SimGCL, Yelp Academic with SGL), reporting exact mean ± standard deviation, paired t-test significance, component ablation, and a 1,000-sample Monte Carlo bootstrap financial simulation (p &lt; 0.001).</w:t>
      </w:r>
    </w:p>
    <w:p>
      <w:pPr>
        <w:pStyle w:val="Heading1"/>
      </w:pPr>
      <w:r>
        <w:t>II. RELATED WORK AND POSITIONING</w:t>
      </w:r>
    </w:p>
    <w:p>
      <w:pPr>
        <w:pStyle w:val="Heading2"/>
      </w:pPr>
      <w:r>
        <w:t>A. Robust Collaborative Filtering &amp; Noise Denoising</w:t>
      </w:r>
    </w:p>
    <w:p>
      <w:r>
        <w:t>Early robust CF methods focused on heuristic filtering of shilling attacks using clustering or threshold-based anomaly detection [1], [3]. Loss-correction approaches in computer vision [8] demonstrated that stochastic transition matrices T can asymptotically invert label corruption. Recent recommendation models such as T-CE [9] applied transition matrices to implicit feedback. However, these methods assume uniform random noise and collapse under non-stationary, coordinated review-bombing campaigns characterized by temporal bursts and extreme polarity skews.</w:t>
      </w:r>
    </w:p>
    <w:p>
      <w:pPr>
        <w:pStyle w:val="Heading2"/>
      </w:pPr>
      <w:r>
        <w:t>B. Popularity Bias &amp; Long-Tail Calibration</w:t>
      </w:r>
    </w:p>
    <w:p>
      <w:r>
        <w:t>Popularity bias in recommender systems has been studied through causal graph interventions [10], propensity score reweighting, and calibrated ranking [2], [7]. Standalone SUPER [6] introduced soft blueprint merging to balance user-specific tail quotas. Nonetheless, prior debiasing literature uniformly presupposes clean training interactions; when adversarial actors inject popular items to execute bandwagon attacks, standalone debiasing algorithms misinterpret injected interactions as genuine user interest.</w:t>
      </w:r>
    </w:p>
    <w:p>
      <w:pPr>
        <w:pStyle w:val="Heading2"/>
      </w:pPr>
      <w:r>
        <w:t>C. Graph Contrastive Learning &amp; Trust-GRS Positioning</w:t>
      </w:r>
    </w:p>
    <w:p>
      <w:r>
        <w:t>Graph Contrastive Learning (GCL) approaches such as SGL [11] and SimGCL [12] enhance representation uniformity through data augmentation and noise perturbation. Recently, Trust-GRS [4] investigated trustworthy graph neural networks under shilling attacks via contrastive learning, while methods such as AutoDebias tackle popularity on clean graphs. Our framework distinctively differs from and advances beyond these baselines in three foundational respects:</w:t>
        <w:br/>
        <w:t>1. Joint Denoising and Pareto Debiasing: While Trust-GRS focuses strictly on graph representation robustness without addressing catalog popularity skew, and AutoDebias presumes clean interaction graphs, RRFN-LLM-SUPER uniquely couples robust representation learning with purified Pareto partition calibration.</w:t>
        <w:br/>
        <w:t>2. Multi-Modal LLM &amp; Vectorized Burst Auditing: While Trust-GRS relies solely on graph topology contrastive views, MIRF synthesizes statistical rating transition matrices (R_RRFN), semantic text review auditing (R_LLM), and 2D BLAS temporal-polarity burst detection (R_bomb).</w:t>
        <w:br/>
        <w:t>3. Mathematical Gradient Boundedness: We provide formal proofs establishing non-singular Tikhonov gradient bounds and asymptotic excess risk consistency.</w:t>
      </w:r>
    </w:p>
    <w:p>
      <w:pPr>
        <w:pStyle w:val="Heading1"/>
      </w:pPr>
      <w:r>
        <w:t>III. THEORETICAL FOUNDATIONS AND MATHEMATICAL ANALYSIS</w:t>
      </w:r>
    </w:p>
    <w:p>
      <w:pPr>
        <w:pStyle w:val="Heading2"/>
      </w:pPr>
      <w:r>
        <w:t>A. Noise Transition Model and Anchor Assumptions</w:t>
      </w:r>
    </w:p>
    <w:p>
      <w:r>
        <w:t>Observed ratings Y~ ∈ {1, ..., K} are modeled as noisy realizations of unobserved clean ratings Y* ∈ {1, ..., K} governed by a conditional transition matrix T ∈ R^(K×K):</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T_ij = P(Y~ = j | Y* = i),    where  sum_{j=1}^K T_ij = 1</w:t>
            </w:r>
          </w:p>
        </w:tc>
        <w:tc>
          <w:tcPr>
            <w:tcW w:type="dxa" w:w="4680"/>
            <w:shd w:val="clear" w:color="auto" w:fill="F4F6F9"/>
          </w:tcPr>
          <w:p>
            <w:pPr>
              <w:spacing w:before="80" w:after="80"/>
              <w:jc w:val="right"/>
            </w:pPr>
            <w:r>
              <w:rPr>
                <w:rFonts w:ascii="Times New Roman" w:hAnsi="Times New Roman"/>
                <w:b/>
                <w:color w:val="555555"/>
                <w:sz w:val="20"/>
              </w:rPr>
              <w:t>(1)</w:t>
            </w:r>
          </w:p>
        </w:tc>
      </w:tr>
    </w:tbl>
    <w:p>
      <w:pPr>
        <w:spacing w:before="0" w:after="80"/>
      </w:pPr>
    </w:p>
    <w:p>
      <w:r>
        <w:t>Let p(u, i) ∈ Δ^(K-1) denote the model's predicted probability distribution over clean rating classes, where Δ^(K-1) is the probability simplex. The probability distribution over observed noisy ratings is given by:</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p~(u, i) = T^T p(u, i)</w:t>
            </w:r>
          </w:p>
        </w:tc>
        <w:tc>
          <w:tcPr>
            <w:tcW w:type="dxa" w:w="4680"/>
            <w:shd w:val="clear" w:color="auto" w:fill="F4F6F9"/>
          </w:tcPr>
          <w:p>
            <w:pPr>
              <w:spacing w:before="80" w:after="80"/>
              <w:jc w:val="right"/>
            </w:pPr>
            <w:r>
              <w:rPr>
                <w:rFonts w:ascii="Times New Roman" w:hAnsi="Times New Roman"/>
                <w:b/>
                <w:color w:val="555555"/>
                <w:sz w:val="20"/>
              </w:rPr>
              <w:t>(2)</w:t>
            </w:r>
          </w:p>
        </w:tc>
      </w:tr>
    </w:tbl>
    <w:p>
      <w:pPr>
        <w:spacing w:before="0" w:after="80"/>
      </w:pPr>
    </w:p>
    <w:p>
      <w:r>
        <w:t>Assumption 1 (Anchor Separability and Prior Consistency): For each rating class k ∈ {1, ..., K}, there exists a subset of anchor items A_k ⊂ I identified via consensus agreement such that:</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P(Y* = k | i ∈ A_k) ≥ 1 - ε_anchor</w:t>
            </w:r>
          </w:p>
        </w:tc>
        <w:tc>
          <w:tcPr>
            <w:tcW w:type="dxa" w:w="4680"/>
            <w:shd w:val="clear" w:color="auto" w:fill="F4F6F9"/>
          </w:tcPr>
          <w:p>
            <w:pPr>
              <w:spacing w:before="80" w:after="80"/>
              <w:jc w:val="right"/>
            </w:pPr>
            <w:r>
              <w:rPr>
                <w:rFonts w:ascii="Times New Roman" w:hAnsi="Times New Roman"/>
                <w:b/>
                <w:color w:val="555555"/>
                <w:sz w:val="20"/>
              </w:rPr>
              <w:t>(3)</w:t>
            </w:r>
          </w:p>
        </w:tc>
      </w:tr>
    </w:tbl>
    <w:p>
      <w:pPr>
        <w:spacing w:before="0" w:after="80"/>
      </w:pPr>
    </w:p>
    <w:p>
      <w:r>
        <w:t>enabling estimation of the anchor transition prior T^_kj = (1/|A_k|) sum_{i ∈ A_k} P(r~_ui = j), with Frobenius estimation error ||T^ - T*||_F ≤ δ.</w:t>
        <w:br/>
        <w:br/>
        <w:t>Assumption 2 (Bounded Logits and Non-Singular Transition Spectrum): The clean model logits z(u, i) ∈ R^K satisfy ||z||_∞ ≤ C &lt; ∞, and the true transition matrix T* is regular with minimum singular value σ_min(T*) ≥ σ_0 &gt; 0.</w:t>
      </w:r>
    </w:p>
    <w:p>
      <w:pPr>
        <w:pStyle w:val="Heading2"/>
      </w:pPr>
      <w:r>
        <w:t>B. Theoretical Analysis of Tikhonov Noise Inversion</w:t>
      </w:r>
    </w:p>
    <w:p>
      <w:r>
        <w:t>Definition 1 (Tikhonov-Regularized Pseudo-Inverse): For transition matrix T ∈ R^(K×K) and damping factor λ &gt; 0, the Tikhonov-regularized pseudo-inverse is defined as: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T†_λ = (T^T T + λ I)^(-1) T^T</w:t>
            </w:r>
          </w:p>
        </w:tc>
        <w:tc>
          <w:tcPr>
            <w:tcW w:type="dxa" w:w="4680"/>
            <w:shd w:val="clear" w:color="auto" w:fill="F4F6F9"/>
          </w:tcPr>
          <w:p>
            <w:pPr>
              <w:spacing w:before="80" w:after="80"/>
              <w:jc w:val="right"/>
            </w:pPr>
            <w:r>
              <w:rPr>
                <w:rFonts w:ascii="Times New Roman" w:hAnsi="Times New Roman"/>
                <w:b/>
                <w:color w:val="555555"/>
                <w:sz w:val="20"/>
              </w:rPr>
              <w:t>(4)</w:t>
            </w:r>
          </w:p>
        </w:tc>
      </w:tr>
    </w:tbl>
    <w:p>
      <w:pPr>
        <w:spacing w:before="0" w:after="80"/>
      </w:pPr>
    </w:p>
    <w:p>
      <w:r>
        <w:t>Theorem 1 (Spectral Operator Norm Bound and Gradient Stability): Let T ∈ R^(K×K) have singular value decomposition T = U Σ V^T with singular values σ_1 ≥ σ_2 ≥ ... ≥ σ_K ≥ 0. For any regularization damping factor λ &gt; 0, the spectral operator norm of the Tikhonov-regularized pseudo-inverse is strictly bounded by:</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||T†_λ||_2 ≤ 1 / (2√λ)</w:t>
            </w:r>
          </w:p>
        </w:tc>
        <w:tc>
          <w:tcPr>
            <w:tcW w:type="dxa" w:w="4680"/>
            <w:shd w:val="clear" w:color="auto" w:fill="F4F6F9"/>
          </w:tcPr>
          <w:p>
            <w:pPr>
              <w:spacing w:before="80" w:after="80"/>
              <w:jc w:val="right"/>
            </w:pPr>
            <w:r>
              <w:rPr>
                <w:rFonts w:ascii="Times New Roman" w:hAnsi="Times New Roman"/>
                <w:b/>
                <w:color w:val="555555"/>
                <w:sz w:val="20"/>
              </w:rPr>
              <w:t>(5)</w:t>
            </w:r>
          </w:p>
        </w:tc>
      </w:tr>
    </w:tbl>
    <w:p>
      <w:pPr>
        <w:spacing w:before="0" w:after="80"/>
      </w:pPr>
    </w:p>
    <w:p>
      <w:r>
        <w:t>Furthermore, for the forward-corrected surrogate loss L_risk = l_CE(T^T p(X), y~) with L_loss-Lipschitz cross-entropy, the parameter gradient satisfies: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||∇_θ L_risk|| ≤ L_loss ||T||_2 ||∇_θ p|| ≤ L_loss √K ||∇_θ p||</w:t>
            </w:r>
          </w:p>
        </w:tc>
        <w:tc>
          <w:tcPr>
            <w:tcW w:type="dxa" w:w="4680"/>
            <w:shd w:val="clear" w:color="auto" w:fill="F4F6F9"/>
          </w:tcPr>
          <w:p>
            <w:pPr>
              <w:spacing w:before="80" w:after="80"/>
              <w:jc w:val="right"/>
            </w:pPr>
            <w:r>
              <w:rPr>
                <w:rFonts w:ascii="Times New Roman" w:hAnsi="Times New Roman"/>
                <w:b/>
                <w:color w:val="555555"/>
                <w:sz w:val="20"/>
              </w:rPr>
              <w:t>(6)</w:t>
            </w:r>
          </w:p>
        </w:tc>
      </w:tr>
    </w:tbl>
    <w:p>
      <w:pPr>
        <w:spacing w:before="0" w:after="80"/>
      </w:pPr>
    </w:p>
    <w:p>
      <w:r>
        <w:t>since ||T||_2 ≤ √(||T||_1 ||T||_∞) ≤ √K for any K × K row-stochastic transition matrix by the Riesz-Thorin interpolation theorem. Moreover, inverting predicted ratings for confidence estimation and sample reliability R_RRFN via T†_λ is strictly protected against gradient explosion and noise amplification by ||T†_λ||_2 ≤ 1/(2√λ), independently of the condition number κ(T).</w:t>
      </w:r>
    </w:p>
    <w:p>
      <w:r>
        <w:t>Proof of Theorem 1: Substituting T = U Σ V^T into Definition 1:</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T†_λ = (V Σ^T U^T U Σ V^T + λ I)^(-1) V Σ^T U^T = V (Σ^2 + λ I)^(-1) Σ U^T</w:t>
            </w:r>
          </w:p>
        </w:tc>
        <w:tc>
          <w:tcPr>
            <w:tcW w:type="dxa" w:w="4680"/>
            <w:shd w:val="clear" w:color="auto" w:fill="F4F6F9"/>
          </w:tcPr>
          <w:p>
            <w:pPr>
              <w:spacing w:before="80" w:after="80"/>
              <w:jc w:val="right"/>
            </w:pPr>
            <w:r>
              <w:rPr>
                <w:rFonts w:ascii="Times New Roman" w:hAnsi="Times New Roman"/>
                <w:b/>
                <w:color w:val="555555"/>
                <w:sz w:val="20"/>
              </w:rPr>
              <w:t>(7)</w:t>
            </w:r>
          </w:p>
        </w:tc>
      </w:tr>
    </w:tbl>
    <w:p>
      <w:pPr>
        <w:spacing w:before="0" w:after="80"/>
      </w:pPr>
    </w:p>
    <w:p>
      <w:r>
        <w:t>The singular values of T†_λ are given by the continuous scalar function f(σ) = σ / (σ^2 + λ) for σ ≥ 0. Differentiating with respect to σ:</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f'(σ) = [(σ^2 + λ) - σ(2σ)] / (σ^2 + λ)^2 = (λ - σ^2) / (σ^2 + λ)^2</w:t>
            </w:r>
          </w:p>
        </w:tc>
        <w:tc>
          <w:tcPr>
            <w:tcW w:type="dxa" w:w="4680"/>
            <w:shd w:val="clear" w:color="auto" w:fill="F4F6F9"/>
          </w:tcPr>
          <w:p>
            <w:pPr>
              <w:spacing w:before="80" w:after="80"/>
              <w:jc w:val="right"/>
            </w:pPr>
            <w:r>
              <w:rPr>
                <w:rFonts w:ascii="Times New Roman" w:hAnsi="Times New Roman"/>
                <w:b/>
                <w:color w:val="555555"/>
                <w:sz w:val="20"/>
              </w:rPr>
              <w:t>(8)</w:t>
            </w:r>
          </w:p>
        </w:tc>
      </w:tr>
    </w:tbl>
    <w:p>
      <w:pPr>
        <w:spacing w:before="0" w:after="80"/>
      </w:pPr>
    </w:p>
    <w:p>
      <w:r>
        <w:t>Setting f'(σ) = 0 yields the unique stationary critical point at σ* = √λ. Evaluating f(σ*):</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f(√λ) = √λ / [(√λ)^2 + λ] = √λ / (2λ) = 1 / (2√λ)</w:t>
            </w:r>
          </w:p>
        </w:tc>
        <w:tc>
          <w:tcPr>
            <w:tcW w:type="dxa" w:w="4680"/>
            <w:shd w:val="clear" w:color="auto" w:fill="F4F6F9"/>
          </w:tcPr>
          <w:p>
            <w:pPr>
              <w:spacing w:before="80" w:after="80"/>
              <w:jc w:val="right"/>
            </w:pPr>
            <w:r>
              <w:rPr>
                <w:rFonts w:ascii="Times New Roman" w:hAnsi="Times New Roman"/>
                <w:b/>
                <w:color w:val="555555"/>
                <w:sz w:val="20"/>
              </w:rPr>
              <w:t>(9)</w:t>
            </w:r>
          </w:p>
        </w:tc>
      </w:tr>
    </w:tbl>
    <w:p>
      <w:pPr>
        <w:spacing w:before="0" w:after="80"/>
      </w:pPr>
    </w:p>
    <w:p>
      <w:r>
        <w:t>Because f(0) = 0 and lim_{σ→∞} f(σ) = 0, σ* = √λ is the unique global maximum on [0, ∞). Therefore, for any matrix T with singular values {σ_i}_{i=1}^K, the spectral norm satisfies ||T†_λ||_2 = max_i f(σ_i) ≤ sup_{σ≥0} f(σ) = 1 / (2√λ). For forward loss L_risk, chain rule gives ∇_θ L_risk = (∇_{p~} l_CE) T^T ∇_θ p. Row-stochasticity guarantees ||T||_∞ = 1 and ||T||_1 ≤ K, hence ||T||_2 ≤ √K, completing the proof.</w:t>
      </w:r>
    </w:p>
    <w:p>
      <w:pPr>
        <w:pStyle w:val="Heading2"/>
      </w:pPr>
      <w:r>
        <w:t>C. Forward Surrogate Risk Consistency and Excess Clean Risk Bounds</w:t>
      </w:r>
    </w:p>
    <w:p>
      <w:r>
        <w:t>Theorem 2 (Forward Surrogate Risk Consistency and Excess Clean Risk Bounds): Let R*_CE(f) = E_{(X, Y*)} [l_CE(f(X), Y*)] denote the Bayes risk over clean distribution P(X, Y*), and let T^ be the estimated anchor transition matrix satisfying Frobenius estimation error ||T^ - T*||_F ≤ δ. Let the forward-corrected surrogate loss be l_forward(f(X), Y~; T^) = -log(T^^T f(X))_Y~ with empirical risk R^_forward(f; T^). Under Assumptions 1 and 2 with bounded logits and hypothesis Rademacher complexity R_N(F) ≤ C_F / √N:</w:t>
        <w:br/>
        <w:br/>
        <w:t>1. Minimizer Invariance: While expected surrogate forward risk and clean Bayes risk differ by the additive irreducible label transition entropy gap Δ_H = E_X [H(T*^T p*(X)) - H(p*(X))] ≥ 0, their unique global minimizers coincide at f*(X) = p*(X) = P(Y* | X).</w:t>
        <w:br/>
        <w:br/>
        <w:t>2. Excess Clean Risk Consistency: For empirical surrogate minimizer f^ = argmin R^_forward(f; T^), the clean excess risk E*(f^) = R*(f^) - min R*(f) satisfies: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E*(f^) ≤ (L_CE / σ_0) δ + O(1 / √N)</w:t>
            </w:r>
          </w:p>
        </w:tc>
        <w:tc>
          <w:tcPr>
            <w:tcW w:type="dxa" w:w="4680"/>
            <w:shd w:val="clear" w:color="auto" w:fill="F4F6F9"/>
          </w:tcPr>
          <w:p>
            <w:pPr>
              <w:spacing w:before="80" w:after="80"/>
              <w:jc w:val="right"/>
            </w:pPr>
            <w:r>
              <w:rPr>
                <w:rFonts w:ascii="Times New Roman" w:hAnsi="Times New Roman"/>
                <w:b/>
                <w:color w:val="555555"/>
                <w:sz w:val="20"/>
              </w:rPr>
              <w:t>(10)</w:t>
            </w:r>
          </w:p>
        </w:tc>
      </w:tr>
    </w:tbl>
    <w:p>
      <w:pPr>
        <w:spacing w:before="0" w:after="80"/>
      </w:pPr>
    </w:p>
    <w:p>
      <w:r>
        <w:t>where L_CE ≤ e^(2C) is the Lipschitz constant of the log-softmax mapping on bounded logits [-C, C].</w:t>
        <w:br/>
        <w:br/>
        <w:t>3. Confidence Inversion Bound: The Tikhonov-regularized confidence inversion error for sample reliability filtering satisfies: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||T^^†_λ - (T*)^(-1)||_2 ≤ δ / √λ + λ / [σ_0 (σ_0^2 + λ)]</w:t>
            </w:r>
          </w:p>
        </w:tc>
        <w:tc>
          <w:tcPr>
            <w:tcW w:type="dxa" w:w="4680"/>
            <w:shd w:val="clear" w:color="auto" w:fill="F4F6F9"/>
          </w:tcPr>
          <w:p>
            <w:pPr>
              <w:spacing w:before="80" w:after="80"/>
              <w:jc w:val="right"/>
            </w:pPr>
            <w:r>
              <w:rPr>
                <w:rFonts w:ascii="Times New Roman" w:hAnsi="Times New Roman"/>
                <w:b/>
                <w:color w:val="555555"/>
                <w:sz w:val="20"/>
              </w:rPr>
              <w:t>(11)</w:t>
            </w:r>
          </w:p>
        </w:tc>
      </w:tr>
    </w:tbl>
    <w:p>
      <w:pPr>
        <w:spacing w:before="0" w:after="80"/>
      </w:pPr>
    </w:p>
    <w:p>
      <w:r>
        <w:t>Proof of Theorem 2: For Part 1, by the law of total expectation conditioned on X:</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E_{Y~|X}[l_forward(f(X), Y~; T*)] = H(T*^T p*(X)) + D_KL(T*^T p*(X) || T*^T f(X))</w:t>
            </w:r>
          </w:p>
        </w:tc>
        <w:tc>
          <w:tcPr>
            <w:tcW w:type="dxa" w:w="4680"/>
            <w:shd w:val="clear" w:color="auto" w:fill="F4F6F9"/>
          </w:tcPr>
          <w:p>
            <w:pPr>
              <w:spacing w:before="80" w:after="80"/>
              <w:jc w:val="right"/>
            </w:pPr>
            <w:r>
              <w:rPr>
                <w:rFonts w:ascii="Times New Roman" w:hAnsi="Times New Roman"/>
                <w:b/>
                <w:color w:val="555555"/>
                <w:sz w:val="20"/>
              </w:rPr>
              <w:t>(12)</w:t>
            </w:r>
          </w:p>
        </w:tc>
      </w:tr>
    </w:tbl>
    <w:p>
      <w:pPr>
        <w:spacing w:before="0" w:after="80"/>
      </w:pPr>
    </w:p>
    <w:p>
      <w:r>
        <w:t>where p*(X) = P(Y* | X). For clean Bayes risk:</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R*(f) = E_X [H(p*(X)) + D_KL(p*(X) || f(X))]</w:t>
            </w:r>
          </w:p>
        </w:tc>
        <w:tc>
          <w:tcPr>
            <w:tcW w:type="dxa" w:w="4680"/>
            <w:shd w:val="clear" w:color="auto" w:fill="F4F6F9"/>
          </w:tcPr>
          <w:p>
            <w:pPr>
              <w:spacing w:before="80" w:after="80"/>
              <w:jc w:val="right"/>
            </w:pPr>
            <w:r>
              <w:rPr>
                <w:rFonts w:ascii="Times New Roman" w:hAnsi="Times New Roman"/>
                <w:b/>
                <w:color w:val="555555"/>
                <w:sz w:val="20"/>
              </w:rPr>
              <w:t>(13)</w:t>
            </w:r>
          </w:p>
        </w:tc>
      </w:tr>
    </w:tbl>
    <w:p>
      <w:pPr>
        <w:spacing w:before="0" w:after="80"/>
      </w:pPr>
    </w:p>
    <w:p>
      <w:r>
        <w:t>Both attain minimal risk when KL divergence vanishes: D_KL(T*^T p* || T*^T f) = 0 &lt;=&gt; T*^T f(X) = T*^T p*(X). Since σ_min(T*) ≥ σ_0 &gt; 0, T*^T is strictly invertible, yielding f*(X) = p*(X) uniquely. The baseline risks differ solely by the hypothesis-independent constant Δ_H.</w:t>
        <w:br/>
        <w:br/>
        <w:t>For Part 2, for any candidate f, clean excess risk is E*(f) = E_X [D_KL(p*(X) || f(X))]. By Pinsker's inequality and non-singularity ||T*^T v||_2 ≥ σ_0 ||v||_2:</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||p*(X) - f(X)||_1 ≤ (1 / σ_0) ||T*^T (p*(X) - f(X))||_1</w:t>
            </w:r>
          </w:p>
        </w:tc>
        <w:tc>
          <w:tcPr>
            <w:tcW w:type="dxa" w:w="4680"/>
            <w:shd w:val="clear" w:color="auto" w:fill="F4F6F9"/>
          </w:tcPr>
          <w:p>
            <w:pPr>
              <w:spacing w:before="80" w:after="80"/>
              <w:jc w:val="right"/>
            </w:pPr>
            <w:r>
              <w:rPr>
                <w:rFonts w:ascii="Times New Roman" w:hAnsi="Times New Roman"/>
                <w:b/>
                <w:color w:val="555555"/>
                <w:sz w:val="20"/>
              </w:rPr>
              <w:t>(14)</w:t>
            </w:r>
          </w:p>
        </w:tc>
      </w:tr>
    </w:tbl>
    <w:p>
      <w:pPr>
        <w:spacing w:before="0" w:after="80"/>
      </w:pPr>
    </w:p>
    <w:p>
      <w:r>
        <w:t>By Rademacher generalization bounds on F with bounded loss, with probability at least 1 - η:</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sup_{f ∈ F} |R^_forward(f; T^) - R_forward(f; T*)| ≤ L_CE δ + O(1 / √N)</w:t>
            </w:r>
          </w:p>
        </w:tc>
        <w:tc>
          <w:tcPr>
            <w:tcW w:type="dxa" w:w="4680"/>
            <w:shd w:val="clear" w:color="auto" w:fill="F4F6F9"/>
          </w:tcPr>
          <w:p>
            <w:pPr>
              <w:spacing w:before="80" w:after="80"/>
              <w:jc w:val="right"/>
            </w:pPr>
            <w:r>
              <w:rPr>
                <w:rFonts w:ascii="Times New Roman" w:hAnsi="Times New Roman"/>
                <w:b/>
                <w:color w:val="555555"/>
                <w:sz w:val="20"/>
              </w:rPr>
              <w:t>(15)</w:t>
            </w:r>
          </w:p>
        </w:tc>
      </w:tr>
    </w:tbl>
    <w:p>
      <w:pPr>
        <w:spacing w:before="0" w:after="80"/>
      </w:pPr>
    </w:p>
    <w:p>
      <w:r>
        <w:t>Evaluating at empirical minimizer f^ yields E*(f^) ≤ (L_CE / σ_0) δ + O(1/√N), proving excess risk consistency.</w:t>
        <w:br/>
        <w:br/>
        <w:t>For Part 3, decomposing regularized pseudo-inverse perturbation:</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||T^^†_λ - (T*)^(-1)||_2 ≤ ||T^^†_λ - T*^†_λ||_2 + ||T*^†_λ - (T*)^(-1)||_2 ≤ δ / √λ + λ / [σ_0 (σ_0^2 + λ)]</w:t>
            </w:r>
          </w:p>
        </w:tc>
        <w:tc>
          <w:tcPr>
            <w:tcW w:type="dxa" w:w="4680"/>
            <w:shd w:val="clear" w:color="auto" w:fill="F4F6F9"/>
          </w:tcPr>
          <w:p>
            <w:pPr>
              <w:spacing w:before="80" w:after="80"/>
              <w:jc w:val="right"/>
            </w:pPr>
            <w:r>
              <w:rPr>
                <w:rFonts w:ascii="Times New Roman" w:hAnsi="Times New Roman"/>
                <w:b/>
                <w:color w:val="555555"/>
                <w:sz w:val="20"/>
              </w:rPr>
              <w:t>(16)</w:t>
            </w:r>
          </w:p>
        </w:tc>
      </w:tr>
    </w:tbl>
    <w:p>
      <w:pPr>
        <w:spacing w:before="0" w:after="80"/>
      </w:pPr>
    </w:p>
    <w:p>
      <w:r>
        <w:t>completing the proof.</w:t>
      </w:r>
    </w:p>
    <w:p>
      <w:pPr>
        <w:pStyle w:val="Heading2"/>
      </w:pPr>
      <w:r>
        <w:t>D. Formal Mathematical Definitions of Evaluation Metrics</w:t>
      </w:r>
    </w:p>
    <w:p>
      <w:r>
        <w:t>To ensure rigorous reproducibility and unambiguous benchmarking:</w:t>
      </w:r>
    </w:p>
    <w:p>
      <w:r>
        <w:t>• Recall@K &amp; nDCG@K: Standard top-K ranking accuracy metrics evaluated against held-out ground truth test interactions.</w:t>
      </w:r>
    </w:p>
    <w:p>
      <w:r>
        <w:t>• Raw Long-Tail Coverage (LTC@K): The fraction of unique tail catalog items recommended across all users: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LTC@K = |bigcup_{u ∈ U} TopK(u) ∩ I_tail| / |I_tail|</w:t>
            </w:r>
          </w:p>
        </w:tc>
        <w:tc>
          <w:tcPr>
            <w:tcW w:type="dxa" w:w="4680"/>
            <w:shd w:val="clear" w:color="auto" w:fill="F4F6F9"/>
          </w:tcPr>
          <w:p>
            <w:pPr>
              <w:spacing w:before="80" w:after="80"/>
              <w:jc w:val="right"/>
            </w:pPr>
            <w:r>
              <w:rPr>
                <w:rFonts w:ascii="Times New Roman" w:hAnsi="Times New Roman"/>
                <w:b/>
                <w:color w:val="555555"/>
                <w:sz w:val="20"/>
              </w:rPr>
              <w:t>(17)</w:t>
            </w:r>
          </w:p>
        </w:tc>
      </w:tr>
    </w:tbl>
    <w:p>
      <w:pPr>
        <w:spacing w:before="0" w:after="80"/>
      </w:pPr>
    </w:p>
    <w:p>
      <w:r>
        <w:t>• Genuine Long-Tail Coverage (g-LTC@K): Catalog coverage of authentic long-tail items excluding injected attack targets: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g-LTC@K = |bigcup_{u ∈ U} TopK(u) ∩ (I_tail \ I_target)| / |I_tail \ I_target|</w:t>
            </w:r>
          </w:p>
        </w:tc>
        <w:tc>
          <w:tcPr>
            <w:tcW w:type="dxa" w:w="4680"/>
            <w:shd w:val="clear" w:color="auto" w:fill="F4F6F9"/>
          </w:tcPr>
          <w:p>
            <w:pPr>
              <w:spacing w:before="80" w:after="80"/>
              <w:jc w:val="right"/>
            </w:pPr>
            <w:r>
              <w:rPr>
                <w:rFonts w:ascii="Times New Roman" w:hAnsi="Times New Roman"/>
                <w:b/>
                <w:color w:val="555555"/>
                <w:sz w:val="20"/>
              </w:rPr>
              <w:t>(18)</w:t>
            </w:r>
          </w:p>
        </w:tc>
      </w:tr>
    </w:tbl>
    <w:p>
      <w:pPr>
        <w:spacing w:before="0" w:after="80"/>
      </w:pPr>
    </w:p>
    <w:p>
      <w:r>
        <w:t>• Spam Target Exposure Rate (STER@K): Fraction of designated attack target items forced into user recommendation lists: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STER@K = |bigcup_{u ∈ U} TopK(u) ∩ I_target| / |I_target|</w:t>
            </w:r>
          </w:p>
        </w:tc>
        <w:tc>
          <w:tcPr>
            <w:tcW w:type="dxa" w:w="4680"/>
            <w:shd w:val="clear" w:color="auto" w:fill="F4F6F9"/>
          </w:tcPr>
          <w:p>
            <w:pPr>
              <w:spacing w:before="80" w:after="80"/>
              <w:jc w:val="right"/>
            </w:pPr>
            <w:r>
              <w:rPr>
                <w:rFonts w:ascii="Times New Roman" w:hAnsi="Times New Roman"/>
                <w:b/>
                <w:color w:val="555555"/>
                <w:sz w:val="20"/>
              </w:rPr>
              <w:t>(19)</w:t>
            </w:r>
          </w:p>
        </w:tc>
      </w:tr>
    </w:tbl>
    <w:p>
      <w:pPr>
        <w:spacing w:before="0" w:after="80"/>
      </w:pPr>
    </w:p>
    <w:p>
      <w:r>
        <w:t>• Root Mean Square Error of Popularity Calibration (RMSE-PC):</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RMSE-PC = sqrt{ (1 / |U|) sum_{u ∈ U} [ (|TopK(u) ∩ I_tail| / K) - α_u* ]^2 }</w:t>
            </w:r>
          </w:p>
        </w:tc>
        <w:tc>
          <w:tcPr>
            <w:tcW w:type="dxa" w:w="4680"/>
            <w:shd w:val="clear" w:color="auto" w:fill="F4F6F9"/>
          </w:tcPr>
          <w:p>
            <w:pPr>
              <w:spacing w:before="80" w:after="80"/>
              <w:jc w:val="right"/>
            </w:pPr>
            <w:r>
              <w:rPr>
                <w:rFonts w:ascii="Times New Roman" w:hAnsi="Times New Roman"/>
                <w:b/>
                <w:color w:val="555555"/>
                <w:sz w:val="20"/>
              </w:rPr>
              <w:t>(20)</w:t>
            </w:r>
          </w:p>
        </w:tc>
      </w:tr>
    </w:tbl>
    <w:p>
      <w:pPr>
        <w:spacing w:before="0" w:after="80"/>
      </w:pPr>
    </w:p>
    <w:p>
      <w:r>
        <w:t>where α_u* is user u's true historical tail interaction ratio.</w:t>
      </w:r>
    </w:p>
    <w:p>
      <w:r>
        <w:t>• Mean Rank Miscalibration (MRMC):</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MRMC = (1 / |U|) sum_{u ∈ U} D_KL( p_rec(u) || p_hist(u) )</w:t>
            </w:r>
          </w:p>
        </w:tc>
        <w:tc>
          <w:tcPr>
            <w:tcW w:type="dxa" w:w="4680"/>
            <w:shd w:val="clear" w:color="auto" w:fill="F4F6F9"/>
          </w:tcPr>
          <w:p>
            <w:pPr>
              <w:spacing w:before="80" w:after="80"/>
              <w:jc w:val="right"/>
            </w:pPr>
            <w:r>
              <w:rPr>
                <w:rFonts w:ascii="Times New Roman" w:hAnsi="Times New Roman"/>
                <w:b/>
                <w:color w:val="555555"/>
                <w:sz w:val="20"/>
              </w:rPr>
              <w:t>(21)</w:t>
            </w:r>
          </w:p>
        </w:tc>
      </w:tr>
    </w:tbl>
    <w:p>
      <w:pPr>
        <w:spacing w:before="0" w:after="80"/>
      </w:pPr>
    </w:p>
    <w:p>
      <w:r>
        <w:t>measuring KL divergence between recommended and historical popularity quintile distributions.</w:t>
      </w:r>
    </w:p>
    <w:p>
      <w:r>
        <w:t>• General Key Performance Indicator (GKPI): The harmonic mean of ranking utility, calibration fidelity, catalog coverage, and novelty:</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GKPI = 4 / [ nDCG^(-1) + (1 - RMSE)^(-1) + LTC^(-1) + (K_max / Nov) ]</w:t>
            </w:r>
          </w:p>
        </w:tc>
        <w:tc>
          <w:tcPr>
            <w:tcW w:type="dxa" w:w="4680"/>
            <w:shd w:val="clear" w:color="auto" w:fill="F4F6F9"/>
          </w:tcPr>
          <w:p>
            <w:pPr>
              <w:spacing w:before="80" w:after="80"/>
              <w:jc w:val="right"/>
            </w:pPr>
            <w:r>
              <w:rPr>
                <w:rFonts w:ascii="Times New Roman" w:hAnsi="Times New Roman"/>
                <w:b/>
                <w:color w:val="555555"/>
                <w:sz w:val="20"/>
              </w:rPr>
              <w:t>(22)</w:t>
            </w:r>
          </w:p>
        </w:tc>
      </w:tr>
    </w:tbl>
    <w:p>
      <w:pPr>
        <w:spacing w:before="0" w:after="80"/>
      </w:pPr>
    </w:p>
    <w:p>
      <w:pPr>
        <w:spacing w:before="160" w:after="80"/>
        <w:jc w:val="center"/>
      </w:pPr>
      <w:r>
        <w:drawing>
          <wp:inline xmlns:a="http://schemas.openxmlformats.org/drawingml/2006/main" xmlns:pic="http://schemas.openxmlformats.org/drawingml/2006/picture">
            <wp:extent cx="5669280" cy="2883796"/>
            <wp:docPr id="2" name="Picture 2"/>
            <wp:cNvGraphicFramePr>
              <a:graphicFrameLocks noChangeAspect="1"/>
            </wp:cNvGraphicFramePr>
            <a:graphic>
              <a:graphicData uri="http://schemas.openxmlformats.org/drawingml/2006/picture">
                <pic:pic>
                  <pic:nvPicPr>
                    <pic:cNvPr id="0" name="fig2_mirf_pipeline.png"/>
                    <pic:cNvPicPr/>
                  </pic:nvPicPr>
                  <pic:blipFill>
                    <a:blip r:embed="rId10"/>
                    <a:stretch>
                      <a:fillRect/>
                    </a:stretch>
                  </pic:blipFill>
                  <pic:spPr>
                    <a:xfrm>
                      <a:off x="0" y="0"/>
                      <a:ext cx="5669280" cy="2883796"/>
                    </a:xfrm>
                    <a:prstGeom prst="rect"/>
                  </pic:spPr>
                </pic:pic>
              </a:graphicData>
            </a:graphic>
          </wp:inline>
        </w:drawing>
      </w:r>
    </w:p>
    <w:p>
      <w:pPr>
        <w:spacing w:before="40" w:after="200"/>
        <w:jc w:val="center"/>
      </w:pPr>
      <w:r>
        <w:rPr>
          <w:rFonts w:ascii="Times New Roman" w:hAnsi="Times New Roman"/>
          <w:i/>
          <w:color w:val="333333"/>
          <w:sz w:val="19"/>
        </w:rPr>
        <w:t>Fig. 2. Architecture of the Multi-view Interaction Reliability Filter (MIRF), showing the synthesis of statistical prediction divergence (R_RRFN), prompt-audited LLM review text analysis (R_LLM), and vectorized burst detection (R_bomb) to compute sample-level trust weights w_i.</w:t>
      </w:r>
    </w:p>
    <w:p>
      <w:pPr>
        <w:pStyle w:val="Heading1"/>
      </w:pPr>
      <w:r>
        <w:t>IV. THE RRFN-LLM-SUPER METHODOLOGY</w:t>
      </w:r>
    </w:p>
    <w:p>
      <w:r>
        <w:t>The RRFN-LLM-SUPER architecture proceeds through five interconnected stages, detailed below:</w:t>
      </w:r>
    </w:p>
    <w:p>
      <w:pPr>
        <w:pStyle w:val="Heading2"/>
      </w:pPr>
      <w:r>
        <w:t>Stage 1: Anchor Selection &amp; Tikhonov Noise Inversion</w:t>
      </w:r>
    </w:p>
    <w:p>
      <w:r>
        <w:t>We identify anchor subset A_clean ⊂ I satisfying Assumption 1. For rating classes k ∈ {1, ..., K}, row vectors T_k,: are estimated via consensus kernel density estimation. The risk-consistent loss regularized against anchor prior T^ is: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L_risk = [1 / sum_i w_i] sum_{i=1}^B w_i · l_CE(T^T p_i, y~_i) + β_reg ||T - T^||_F^2</w:t>
            </w:r>
          </w:p>
        </w:tc>
        <w:tc>
          <w:tcPr>
            <w:tcW w:type="dxa" w:w="4680"/>
            <w:shd w:val="clear" w:color="auto" w:fill="F4F6F9"/>
          </w:tcPr>
          <w:p>
            <w:pPr>
              <w:spacing w:before="80" w:after="80"/>
              <w:jc w:val="right"/>
            </w:pPr>
            <w:r>
              <w:rPr>
                <w:rFonts w:ascii="Times New Roman" w:hAnsi="Times New Roman"/>
                <w:b/>
                <w:color w:val="555555"/>
                <w:sz w:val="20"/>
              </w:rPr>
              <w:t>(23)</w:t>
            </w:r>
          </w:p>
        </w:tc>
      </w:tr>
    </w:tbl>
    <w:p>
      <w:pPr>
        <w:spacing w:before="0" w:after="80"/>
      </w:pPr>
    </w:p>
    <w:p>
      <w:pPr>
        <w:pStyle w:val="Heading2"/>
      </w:pPr>
      <w:r>
        <w:t>Stage 2: Multi-view Interaction Reliability Filter (MIRF)</w:t>
      </w:r>
    </w:p>
    <w:p>
      <w:r>
        <w:t>MIRF synthesizes three complementary signal views:</w:t>
      </w:r>
    </w:p>
    <w:p>
      <w:r>
        <w:t>1. Statistical Model Consistency (R_RRFN):</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R_RRFN(u, i) = exp( - |r~_ui - E_{p(u,i)}[Y*]|^2 / (2 σ_RRFN^2) )</w:t>
            </w:r>
          </w:p>
        </w:tc>
        <w:tc>
          <w:tcPr>
            <w:tcW w:type="dxa" w:w="4680"/>
            <w:shd w:val="clear" w:color="auto" w:fill="F4F6F9"/>
          </w:tcPr>
          <w:p>
            <w:pPr>
              <w:spacing w:before="80" w:after="80"/>
              <w:jc w:val="right"/>
            </w:pPr>
            <w:r>
              <w:rPr>
                <w:rFonts w:ascii="Times New Roman" w:hAnsi="Times New Roman"/>
                <w:b/>
                <w:color w:val="555555"/>
                <w:sz w:val="20"/>
              </w:rPr>
              <w:t>(24)</w:t>
            </w:r>
          </w:p>
        </w:tc>
      </w:tr>
    </w:tbl>
    <w:p>
      <w:pPr>
        <w:spacing w:before="0" w:after="80"/>
      </w:pPr>
    </w:p>
    <w:p>
      <w:r>
        <w:t>2. LLM Semantic Review Text Auditing (R_LLM): When review text S_ui is available, prompt auditing verifies sentiment alignment and bot phrasing:</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R_LLM(u, i) = LLM_Audit(S_ui, r~_ui) ∈ [0, 1]</w:t>
            </w:r>
          </w:p>
        </w:tc>
        <w:tc>
          <w:tcPr>
            <w:tcW w:type="dxa" w:w="4680"/>
            <w:shd w:val="clear" w:color="auto" w:fill="F4F6F9"/>
          </w:tcPr>
          <w:p>
            <w:pPr>
              <w:spacing w:before="80" w:after="80"/>
              <w:jc w:val="right"/>
            </w:pPr>
            <w:r>
              <w:rPr>
                <w:rFonts w:ascii="Times New Roman" w:hAnsi="Times New Roman"/>
                <w:b/>
                <w:color w:val="555555"/>
                <w:sz w:val="20"/>
              </w:rPr>
              <w:t>(25)</w:t>
            </w:r>
          </w:p>
        </w:tc>
      </w:tr>
    </w:tbl>
    <w:p>
      <w:pPr>
        <w:spacing w:before="0" w:after="80"/>
      </w:pPr>
    </w:p>
    <w:p>
      <w:r>
        <w:t>Results are indexed in a local SQLite database configured with Write-Ahead Logging (PRAGMA journal_mode=WAL) for O(1) lookup.</w:t>
      </w:r>
    </w:p>
    <w:p>
      <w:r>
        <w:t>3. Vectorized Review-Bombing Burst Detection (R_bomb):</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R_bomb(u, i) = 1 - σ( ω_1 Z_temp(i, t) + ω_2 S_pol(i, t) - θ_bomb )</w:t>
            </w:r>
          </w:p>
        </w:tc>
        <w:tc>
          <w:tcPr>
            <w:tcW w:type="dxa" w:w="4680"/>
            <w:shd w:val="clear" w:color="auto" w:fill="F4F6F9"/>
          </w:tcPr>
          <w:p>
            <w:pPr>
              <w:spacing w:before="80" w:after="80"/>
              <w:jc w:val="right"/>
            </w:pPr>
            <w:r>
              <w:rPr>
                <w:rFonts w:ascii="Times New Roman" w:hAnsi="Times New Roman"/>
                <w:b/>
                <w:color w:val="555555"/>
                <w:sz w:val="20"/>
              </w:rPr>
              <w:t>(26)</w:t>
            </w:r>
          </w:p>
        </w:tc>
      </w:tr>
    </w:tbl>
    <w:p>
      <w:pPr>
        <w:spacing w:before="0" w:after="80"/>
      </w:pPr>
    </w:p>
    <w:p>
      <w:r>
        <w:t>where Z_temp is rolling temporal acceleration and S_pol = |N_1 - N_5| / (N_1 + N_5 + ε) is polarity skew, computed simultaneously via 2D NumPy array matrix multiplication (W @ X, measured 4.95 ms latency for 42K interactions, &gt;500× speedup over nested Python loops).</w:t>
        <w:br/>
        <w:br/>
        <w:t>MIRF Signal Synthesis and Detection Metric Formulation: The unified interaction reliability weight w_ui = R_MIRF(u, i) ∈ [0, 1] is computed as: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w_ui = α R_RRFN(u, i) + β R_LLM(u, i) + γ R_bomb(u, i)</w:t>
            </w:r>
          </w:p>
        </w:tc>
        <w:tc>
          <w:tcPr>
            <w:tcW w:type="dxa" w:w="4680"/>
            <w:shd w:val="clear" w:color="auto" w:fill="F4F6F9"/>
          </w:tcPr>
          <w:p>
            <w:pPr>
              <w:spacing w:before="80" w:after="80"/>
              <w:jc w:val="right"/>
            </w:pPr>
            <w:r>
              <w:rPr>
                <w:rFonts w:ascii="Times New Roman" w:hAnsi="Times New Roman"/>
                <w:b/>
                <w:color w:val="555555"/>
                <w:sz w:val="20"/>
              </w:rPr>
              <w:t>(27)</w:t>
            </w:r>
          </w:p>
        </w:tc>
      </w:tr>
    </w:tbl>
    <w:p>
      <w:pPr>
        <w:spacing w:before="0" w:after="80"/>
      </w:pPr>
    </w:p>
    <w:p>
      <w:r>
        <w:t>where α + β + γ = 1. When evaluating interaction reliability on graph edges:</w:t>
        <w:br/>
        <w:t>• Attack Detection Task: The positive class (y_attack=1) corresponds to injected attack ratings, scored by anomaly confidence s_ui = 1 - w_ui. On Amazon (π_edge = 17.40%), MIRF achieves AP_attack = 0.6884 ± 0.0185 (3.9× above the 0.1748 random baseline). On Yelp (π_edge = 15.72%), MIRF achieves AP_attack = 0.6816 ± 0.0239 (4.3× above the 0.1572 random baseline). On MovieLens-1M (899 attack edges in 238,320 total interactions, π_edge = 0.38%), AP_attack = 0.0122 ± 0.0021 (3.2× above random baseline 0.0038).</w:t>
        <w:br/>
        <w:t>• Authentic Retention Task: Evaluating the preservation of authentic interactions (y_auth=1, score w_ui) yields AP_auth = 0.9989 ± 0.0000 on MovieLens-1M (with Authentic Retention F1 = 0.9513 ± 0.0010, Precision = 0.9225, Recall = 0.9820), 0.9295 ± 0.0065 on Amazon, and 0.9491 ± 0.0019 on Yelp.</w:t>
        <w:br/>
        <w:t>• Discrimination ROC-AUC: Symmetric ranking discrimination achieves 0.7931 ± 0.0038 on MovieLens-1M, 0.7867 ± 0.0208 on Amazon, and 0.7961 ± 0.0232 on Yelp.</w:t>
      </w:r>
    </w:p>
    <w:p>
      <w:pPr>
        <w:spacing w:before="160" w:after="80"/>
        <w:jc w:val="center"/>
      </w:pPr>
      <w:r>
        <w:drawing>
          <wp:inline xmlns:a="http://schemas.openxmlformats.org/drawingml/2006/main" xmlns:pic="http://schemas.openxmlformats.org/drawingml/2006/picture">
            <wp:extent cx="5029200" cy="2248348"/>
            <wp:docPr id="3" name="Picture 3"/>
            <wp:cNvGraphicFramePr>
              <a:graphicFrameLocks noChangeAspect="1"/>
            </wp:cNvGraphicFramePr>
            <a:graphic>
              <a:graphicData uri="http://schemas.openxmlformats.org/drawingml/2006/picture">
                <pic:pic>
                  <pic:nvPicPr>
                    <pic:cNvPr id="0" name="fig3_roc_pr_curves.png"/>
                    <pic:cNvPicPr/>
                  </pic:nvPicPr>
                  <pic:blipFill>
                    <a:blip r:embed="rId11"/>
                    <a:stretch>
                      <a:fillRect/>
                    </a:stretch>
                  </pic:blipFill>
                  <pic:spPr>
                    <a:xfrm>
                      <a:off x="0" y="0"/>
                      <a:ext cx="5029200" cy="2248348"/>
                    </a:xfrm>
                    <a:prstGeom prst="rect"/>
                  </pic:spPr>
                </pic:pic>
              </a:graphicData>
            </a:graphic>
          </wp:inline>
        </w:drawing>
      </w:r>
    </w:p>
    <w:p>
      <w:pPr>
        <w:spacing w:before="40" w:after="200"/>
        <w:jc w:val="center"/>
      </w:pPr>
      <w:r>
        <w:rPr>
          <w:rFonts w:ascii="Times New Roman" w:hAnsi="Times New Roman"/>
          <w:i/>
          <w:color w:val="333333"/>
          <w:sz w:val="19"/>
        </w:rPr>
        <w:t>Fig. 3. Empirical (a) ROC curve (AUC = 0.7931 on MovieLens-1M) and (b) Precision-Recall curves (Authentic Retention AP = 0.9989 on MovieLens; Attack Detection AP = 0.6884 on Amazon and 0.6816 on Yelp vs. random baselines) for MIRF under 15% bot account injection.</w:t>
      </w:r>
    </w:p>
    <w:p>
      <w:pPr>
        <w:spacing w:before="160" w:after="80"/>
        <w:jc w:val="center"/>
      </w:pPr>
      <w:r>
        <w:drawing>
          <wp:inline xmlns:a="http://schemas.openxmlformats.org/drawingml/2006/main" xmlns:pic="http://schemas.openxmlformats.org/drawingml/2006/picture">
            <wp:extent cx="4572000" cy="2802194"/>
            <wp:docPr id="4" name="Picture 4"/>
            <wp:cNvGraphicFramePr>
              <a:graphicFrameLocks noChangeAspect="1"/>
            </wp:cNvGraphicFramePr>
            <a:graphic>
              <a:graphicData uri="http://schemas.openxmlformats.org/drawingml/2006/picture">
                <pic:pic>
                  <pic:nvPicPr>
                    <pic:cNvPr id="0" name="fig4_omega_sensitivity.png"/>
                    <pic:cNvPicPr/>
                  </pic:nvPicPr>
                  <pic:blipFill>
                    <a:blip r:embed="rId12"/>
                    <a:stretch>
                      <a:fillRect/>
                    </a:stretch>
                  </pic:blipFill>
                  <pic:spPr>
                    <a:xfrm>
                      <a:off x="0" y="0"/>
                      <a:ext cx="4572000" cy="2802194"/>
                    </a:xfrm>
                    <a:prstGeom prst="rect"/>
                  </pic:spPr>
                </pic:pic>
              </a:graphicData>
            </a:graphic>
          </wp:inline>
        </w:drawing>
      </w:r>
    </w:p>
    <w:p>
      <w:pPr>
        <w:spacing w:before="40" w:after="200"/>
        <w:jc w:val="center"/>
      </w:pPr>
      <w:r>
        <w:rPr>
          <w:rFonts w:ascii="Times New Roman" w:hAnsi="Times New Roman"/>
          <w:i/>
          <w:color w:val="333333"/>
          <w:sz w:val="19"/>
        </w:rPr>
        <w:t>Fig. 4. Sensitivity analysis of the MIRF detection F1-score and ROC-AUC along the weight simplex ω_1 + ω_2 = 1.0.</w:t>
      </w:r>
    </w:p>
    <w:p>
      <w:pPr>
        <w:pStyle w:val="Heading2"/>
      </w:pPr>
      <w:r>
        <w:t>Stage 3: Graph Contrastive Learning &amp; Dual Models</w:t>
      </w:r>
    </w:p>
    <w:p>
      <w:r>
        <w:t>Let e_u, e_i ∈ R^d denote graph representations. SimGCL views inject latent uniform noise z_i' = e_i + ε · sgn(e_i) ⊙ Δ', while SGL views apply structural edge dropout A^' = (M' ⊙ A) D'^(-1).</w:t>
        <w:br/>
        <w:br/>
        <w:t>Risk-Aware InfoNCE Loss: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L_cl = - sum_{i ∈ B} w_i log [ exp(sim(z_i', z_i'') / τ) / sum_{j ∈ B} exp(sim(z_i', z_j'') / τ) ]</w:t>
            </w:r>
          </w:p>
        </w:tc>
        <w:tc>
          <w:tcPr>
            <w:tcW w:type="dxa" w:w="4680"/>
            <w:shd w:val="clear" w:color="auto" w:fill="F4F6F9"/>
          </w:tcPr>
          <w:p>
            <w:pPr>
              <w:spacing w:before="80" w:after="80"/>
              <w:jc w:val="right"/>
            </w:pPr>
            <w:r>
              <w:rPr>
                <w:rFonts w:ascii="Times New Roman" w:hAnsi="Times New Roman"/>
                <w:b/>
                <w:color w:val="555555"/>
                <w:sz w:val="20"/>
              </w:rPr>
              <w:t>(28)</w:t>
            </w:r>
          </w:p>
        </w:tc>
      </w:tr>
    </w:tbl>
    <w:p>
      <w:pPr>
        <w:spacing w:before="0" w:after="80"/>
      </w:pPr>
    </w:p>
    <w:p>
      <w:r>
        <w:t>Poisoned interactions (w_i → 0) contribute zero pull force in contrastive alignment.</w:t>
        <w:br/>
        <w:br/>
        <w:t>Dual Partition Training: The catalog is partitioned at ρ_pareto = 0.20 into I_head and I_tail. Head model M_pop is trained under L_risk^head + λ_cl L_cl^head, and tail model M_tail is trained under L_risk^tail + λ_cl L_cl^tail.</w:t>
      </w:r>
    </w:p>
    <w:p>
      <w:pPr>
        <w:spacing w:before="160" w:after="80"/>
        <w:jc w:val="center"/>
      </w:pPr>
      <w:r>
        <w:drawing>
          <wp:inline xmlns:a="http://schemas.openxmlformats.org/drawingml/2006/main" xmlns:pic="http://schemas.openxmlformats.org/drawingml/2006/picture">
            <wp:extent cx="4572000" cy="2755311"/>
            <wp:docPr id="5" name="Picture 5"/>
            <wp:cNvGraphicFramePr>
              <a:graphicFrameLocks noChangeAspect="1"/>
            </wp:cNvGraphicFramePr>
            <a:graphic>
              <a:graphicData uri="http://schemas.openxmlformats.org/drawingml/2006/picture">
                <pic:pic>
                  <pic:nvPicPr>
                    <pic:cNvPr id="0" name="fig6_loss_curves.png"/>
                    <pic:cNvPicPr/>
                  </pic:nvPicPr>
                  <pic:blipFill>
                    <a:blip r:embed="rId13"/>
                    <a:stretch>
                      <a:fillRect/>
                    </a:stretch>
                  </pic:blipFill>
                  <pic:spPr>
                    <a:xfrm>
                      <a:off x="0" y="0"/>
                      <a:ext cx="4572000" cy="2755311"/>
                    </a:xfrm>
                    <a:prstGeom prst="rect"/>
                  </pic:spPr>
                </pic:pic>
              </a:graphicData>
            </a:graphic>
          </wp:inline>
        </w:drawing>
      </w:r>
    </w:p>
    <w:p>
      <w:pPr>
        <w:spacing w:before="40" w:after="200"/>
        <w:jc w:val="center"/>
      </w:pPr>
      <w:r>
        <w:rPr>
          <w:rFonts w:ascii="Times New Roman" w:hAnsi="Times New Roman"/>
          <w:i/>
          <w:color w:val="333333"/>
          <w:sz w:val="19"/>
        </w:rPr>
        <w:t>Fig. 6. Dual partition model convergence over 15 CUDA training epochs on MovieLens-1M.</w:t>
      </w:r>
    </w:p>
    <w:p>
      <w:pPr>
        <w:spacing w:before="160" w:after="80"/>
        <w:jc w:val="center"/>
      </w:pPr>
      <w:r>
        <w:drawing>
          <wp:inline xmlns:a="http://schemas.openxmlformats.org/drawingml/2006/main" xmlns:pic="http://schemas.openxmlformats.org/drawingml/2006/picture">
            <wp:extent cx="5486400" cy="1974217"/>
            <wp:docPr id="6" name="Picture 6"/>
            <wp:cNvGraphicFramePr>
              <a:graphicFrameLocks noChangeAspect="1"/>
            </wp:cNvGraphicFramePr>
            <a:graphic>
              <a:graphicData uri="http://schemas.openxmlformats.org/drawingml/2006/picture">
                <pic:pic>
                  <pic:nvPicPr>
                    <pic:cNvPr id="0" name="fig7_super_blueprint_flow.png"/>
                    <pic:cNvPicPr/>
                  </pic:nvPicPr>
                  <pic:blipFill>
                    <a:blip r:embed="rId14"/>
                    <a:stretch>
                      <a:fillRect/>
                    </a:stretch>
                  </pic:blipFill>
                  <pic:spPr>
                    <a:xfrm>
                      <a:off x="0" y="0"/>
                      <a:ext cx="5486400" cy="1974217"/>
                    </a:xfrm>
                    <a:prstGeom prst="rect"/>
                  </pic:spPr>
                </pic:pic>
              </a:graphicData>
            </a:graphic>
          </wp:inline>
        </w:drawing>
      </w:r>
    </w:p>
    <w:p>
      <w:pPr>
        <w:spacing w:before="40" w:after="200"/>
        <w:jc w:val="center"/>
      </w:pPr>
      <w:r>
        <w:rPr>
          <w:rFonts w:ascii="Times New Roman" w:hAnsi="Times New Roman"/>
          <w:i/>
          <w:color w:val="333333"/>
          <w:sz w:val="19"/>
        </w:rPr>
        <w:t>Fig. 7. SUPER Denoised Blueprint and Calibrated Quota Merging flow, illustrating the purification of user history via MIRF trust filtering (w_ui ≥ θ_trust) to compute personalized tail inclination α_u and assemble top-K recommendations.</w:t>
      </w:r>
    </w:p>
    <w:p>
      <w:pPr>
        <w:pStyle w:val="Heading2"/>
      </w:pPr>
      <w:r>
        <w:t>Stage 4: Denoised SUPER Blueprint &amp; Rank-Calibrated Interleaving</w:t>
      </w:r>
    </w:p>
    <w:p>
      <w:r>
        <w:t>For user u, the denoised blueprint purges attack edges: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B_u = { i ∈ I | (u, i) ∈ E  and  w_ui ≥ θ_trust }</w:t>
            </w:r>
          </w:p>
        </w:tc>
        <w:tc>
          <w:tcPr>
            <w:tcW w:type="dxa" w:w="4680"/>
            <w:shd w:val="clear" w:color="auto" w:fill="F4F6F9"/>
          </w:tcPr>
          <w:p>
            <w:pPr>
              <w:spacing w:before="80" w:after="80"/>
              <w:jc w:val="right"/>
            </w:pPr>
            <w:r>
              <w:rPr>
                <w:rFonts w:ascii="Times New Roman" w:hAnsi="Times New Roman"/>
                <w:b/>
                <w:color w:val="555555"/>
                <w:sz w:val="20"/>
              </w:rPr>
              <w:t>(29)</w:t>
            </w:r>
          </w:p>
        </w:tc>
      </w:tr>
    </w:tbl>
    <w:p>
      <w:pPr>
        <w:spacing w:before="0" w:after="80"/>
      </w:pPr>
    </w:p>
    <w:p>
      <w:r>
        <w:t>Personalized tail inclination is computed with normalized reliability weights:</w:t>
      </w:r>
    </w:p>
    <w:tbl>
      <w:tblPr>
        <w:tblW w:type="auto" w:w="0"/>
        <w:jc w:val="center"/>
        <w:tblLayout w:type="fixed"/>
        <w:tblLook w:firstColumn="1" w:firstRow="1" w:lastColumn="0" w:lastRow="0" w:noHBand="0" w:noVBand="1" w:val="04A0"/>
      </w:tblPr>
      <w:tblGrid>
        <w:gridCol w:w="8352"/>
        <w:gridCol w:w="1008"/>
      </w:tblGrid>
      <w:tr>
        <w:tc>
          <w:tcPr>
            <w:tcW w:type="dxa" w:w="4680"/>
            <w:shd w:val="clear" w:color="auto" w:fill="F4F6F9"/>
          </w:tcPr>
          <w:p>
            <w:pPr>
              <w:spacing w:before="80" w:after="80"/>
              <w:jc w:val="center"/>
            </w:pPr>
            <w:r>
              <w:rPr>
                <w:rFonts w:ascii="Cambria Math" w:hAnsi="Cambria Math"/>
                <w:i/>
                <w:color w:val="111133"/>
                <w:sz w:val="21"/>
              </w:rPr>
              <w:t>α_u = [ sum_{i ∈ B_u ∩ I_tail} w_ui ] / [ sum_{i ∈ B_u} w_ui + ε_smooth ]</w:t>
            </w:r>
          </w:p>
        </w:tc>
        <w:tc>
          <w:tcPr>
            <w:tcW w:type="dxa" w:w="4680"/>
            <w:shd w:val="clear" w:color="auto" w:fill="F4F6F9"/>
          </w:tcPr>
          <w:p>
            <w:pPr>
              <w:spacing w:before="80" w:after="80"/>
              <w:jc w:val="right"/>
            </w:pPr>
            <w:r>
              <w:rPr>
                <w:rFonts w:ascii="Times New Roman" w:hAnsi="Times New Roman"/>
                <w:b/>
                <w:color w:val="555555"/>
                <w:sz w:val="20"/>
              </w:rPr>
              <w:t>(30)</w:t>
            </w:r>
          </w:p>
        </w:tc>
      </w:tr>
    </w:tbl>
    <w:p>
      <w:pPr>
        <w:spacing w:before="0" w:after="80"/>
      </w:pPr>
    </w:p>
    <w:p>
      <w:r>
        <w:t>To minimize Mean Rank Miscalibration (MRMC), recommendations are assembled using rank-calibrated trajectory interleaving, dynamically selecting between Head (C_head \ B_u) and Tail (C_tail \ B_u) candidate queues at each rank k ∈ {1, ..., K} to continuously track cumulative inclination α_u.</w:t>
      </w:r>
    </w:p>
    <w:p>
      <w:pPr>
        <w:pStyle w:val="Heading3"/>
      </w:pPr>
      <w:r>
        <w:t>Table I: Detailed 14-Dimension Architectural Comparison between Standalone SUP [6] and RRFN-LLM-SUPER (Ours)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0E8F0"/>
          </w:tcPr>
          <w:p>
            <w:r>
              <w:rPr>
                <w:rFonts w:ascii="Times New Roman" w:hAnsi="Times New Roman"/>
                <w:b/>
                <w:sz w:val="17"/>
              </w:rPr>
              <w:t>Dimension</w:t>
            </w:r>
          </w:p>
        </w:tc>
        <w:tc>
          <w:tcPr>
            <w:tcW w:type="dxa" w:w="3120"/>
            <w:shd w:val="clear" w:color="auto" w:fill="E0E8F0"/>
          </w:tcPr>
          <w:p>
            <w:r>
              <w:rPr>
                <w:rFonts w:ascii="Times New Roman" w:hAnsi="Times New Roman"/>
                <w:b/>
                <w:sz w:val="17"/>
              </w:rPr>
              <w:t>Standalone SUP (SUPER) [6]</w:t>
            </w:r>
          </w:p>
        </w:tc>
        <w:tc>
          <w:tcPr>
            <w:tcW w:type="dxa" w:w="3120"/>
            <w:shd w:val="clear" w:color="auto" w:fill="E0E8F0"/>
          </w:tcPr>
          <w:p>
            <w:r>
              <w:rPr>
                <w:rFonts w:ascii="Times New Roman" w:hAnsi="Times New Roman"/>
                <w:b/>
                <w:sz w:val="17"/>
              </w:rPr>
              <w:t>RRFN-LLM-SUPER with MIRF (Our Framework)</w:t>
            </w:r>
          </w:p>
        </w:tc>
      </w:tr>
      <w:tr>
        <w:tc>
          <w:tcPr>
            <w:tcW w:type="dxa" w:w="3120"/>
            <w:shd w:val="clear" w:color="auto" w:fill="F9FAFC"/>
          </w:tcPr>
          <w:p>
            <w:r>
              <w:rPr>
                <w:rFonts w:ascii="Times New Roman" w:hAnsi="Times New Roman"/>
                <w:sz w:val="17"/>
              </w:rPr>
              <w:t>1. Primary Objective</w:t>
            </w:r>
          </w:p>
        </w:tc>
        <w:tc>
          <w:tcPr>
            <w:tcW w:type="dxa" w:w="3120"/>
            <w:shd w:val="clear" w:color="auto" w:fill="F9FAFC"/>
          </w:tcPr>
          <w:p>
            <w:r>
              <w:rPr>
                <w:rFonts w:ascii="Times New Roman" w:hAnsi="Times New Roman"/>
                <w:sz w:val="17"/>
              </w:rPr>
              <w:t>Popularity debiasing and calibrated long-tail exposure.</w:t>
            </w:r>
          </w:p>
        </w:tc>
        <w:tc>
          <w:tcPr>
            <w:tcW w:type="dxa" w:w="3120"/>
            <w:shd w:val="clear" w:color="auto" w:fill="F9FAFC"/>
          </w:tcPr>
          <w:p>
            <w:r>
              <w:rPr>
                <w:rFonts w:ascii="Times New Roman" w:hAnsi="Times New Roman"/>
                <w:sz w:val="17"/>
              </w:rPr>
              <w:t>Joint adversarial noise defense, GCL representation alignment, and popularity calibration.</w:t>
            </w:r>
          </w:p>
        </w:tc>
      </w:tr>
      <w:tr>
        <w:tc>
          <w:tcPr>
            <w:tcW w:type="dxa" w:w="3120"/>
          </w:tcPr>
          <w:p>
            <w:r>
              <w:rPr>
                <w:rFonts w:ascii="Times New Roman" w:hAnsi="Times New Roman"/>
                <w:sz w:val="17"/>
              </w:rPr>
              <w:t>2. Core Mechanism</w:t>
            </w:r>
          </w:p>
        </w:tc>
        <w:tc>
          <w:tcPr>
            <w:tcW w:type="dxa" w:w="3120"/>
          </w:tcPr>
          <w:p>
            <w:r>
              <w:rPr>
                <w:rFonts w:ascii="Times New Roman" w:hAnsi="Times New Roman"/>
                <w:sz w:val="17"/>
              </w:rPr>
              <w:t>Dual Head/Tail model training with soft blueprint candidate merging.</w:t>
            </w:r>
          </w:p>
        </w:tc>
        <w:tc>
          <w:tcPr>
            <w:tcW w:type="dxa" w:w="3120"/>
          </w:tcPr>
          <w:p>
            <w:r>
              <w:rPr>
                <w:rFonts w:ascii="Times New Roman" w:hAnsi="Times New Roman"/>
                <w:sz w:val="17"/>
              </w:rPr>
              <w:t>MIRF reliability auditing + Tikhonov noise transition + Risk-InfoNCE contrastive learning + Denoised SUPER.</w:t>
            </w:r>
          </w:p>
        </w:tc>
      </w:tr>
      <w:tr>
        <w:tc>
          <w:tcPr>
            <w:tcW w:type="dxa" w:w="3120"/>
            <w:shd w:val="clear" w:color="auto" w:fill="F9FAFC"/>
          </w:tcPr>
          <w:p>
            <w:r>
              <w:rPr>
                <w:rFonts w:ascii="Times New Roman" w:hAnsi="Times New Roman"/>
                <w:sz w:val="17"/>
              </w:rPr>
              <w:t>3. Noise Handling</w:t>
            </w:r>
          </w:p>
        </w:tc>
        <w:tc>
          <w:tcPr>
            <w:tcW w:type="dxa" w:w="3120"/>
            <w:shd w:val="clear" w:color="auto" w:fill="F9FAFC"/>
          </w:tcPr>
          <w:p>
            <w:r>
              <w:rPr>
                <w:rFonts w:ascii="Times New Roman" w:hAnsi="Times New Roman"/>
                <w:sz w:val="17"/>
              </w:rPr>
              <w:t>None. Assumes interaction graph G is completely clean.</w:t>
            </w:r>
          </w:p>
        </w:tc>
        <w:tc>
          <w:tcPr>
            <w:tcW w:type="dxa" w:w="3120"/>
            <w:shd w:val="clear" w:color="auto" w:fill="F9FAFC"/>
          </w:tcPr>
          <w:p>
            <w:r>
              <w:rPr>
                <w:rFonts w:ascii="Times New Roman" w:hAnsi="Times New Roman"/>
                <w:sz w:val="17"/>
              </w:rPr>
              <w:t>Robust. Corrects rating shifts via T, downweights poisoned edges via MIRF w_i, and audits review text via LLMs.</w:t>
            </w:r>
          </w:p>
        </w:tc>
      </w:tr>
      <w:tr>
        <w:tc>
          <w:tcPr>
            <w:tcW w:type="dxa" w:w="3120"/>
          </w:tcPr>
          <w:p>
            <w:r>
              <w:rPr>
                <w:rFonts w:ascii="Times New Roman" w:hAnsi="Times New Roman"/>
                <w:sz w:val="17"/>
              </w:rPr>
              <w:t>4. Popularity Debiasing</w:t>
            </w:r>
          </w:p>
        </w:tc>
        <w:tc>
          <w:tcPr>
            <w:tcW w:type="dxa" w:w="3120"/>
          </w:tcPr>
          <w:p>
            <w:r>
              <w:rPr>
                <w:rFonts w:ascii="Times New Roman" w:hAnsi="Times New Roman"/>
                <w:sz w:val="17"/>
              </w:rPr>
              <w:t>Pareto item partition with unweighted blueprint tail inclination α_u.</w:t>
            </w:r>
          </w:p>
        </w:tc>
        <w:tc>
          <w:tcPr>
            <w:tcW w:type="dxa" w:w="3120"/>
          </w:tcPr>
          <w:p>
            <w:r>
              <w:rPr>
                <w:rFonts w:ascii="Times New Roman" w:hAnsi="Times New Roman"/>
                <w:sz w:val="17"/>
              </w:rPr>
              <w:t>Denoised blueprint filtering removing fake interactions before computing calibrated user inclination α_u.</w:t>
            </w:r>
          </w:p>
        </w:tc>
      </w:tr>
      <w:tr>
        <w:tc>
          <w:tcPr>
            <w:tcW w:type="dxa" w:w="3120"/>
            <w:shd w:val="clear" w:color="auto" w:fill="F9FAFC"/>
          </w:tcPr>
          <w:p>
            <w:r>
              <w:rPr>
                <w:rFonts w:ascii="Times New Roman" w:hAnsi="Times New Roman"/>
                <w:sz w:val="17"/>
              </w:rPr>
              <w:t>5. Role of RRFN &amp; MIRF</w:t>
            </w:r>
          </w:p>
        </w:tc>
        <w:tc>
          <w:tcPr>
            <w:tcW w:type="dxa" w:w="3120"/>
            <w:shd w:val="clear" w:color="auto" w:fill="F9FAFC"/>
          </w:tcPr>
          <w:p>
            <w:r>
              <w:rPr>
                <w:rFonts w:ascii="Times New Roman" w:hAnsi="Times New Roman"/>
                <w:sz w:val="17"/>
              </w:rPr>
              <w:t>Absent.</w:t>
            </w:r>
          </w:p>
        </w:tc>
        <w:tc>
          <w:tcPr>
            <w:tcW w:type="dxa" w:w="3120"/>
            <w:shd w:val="clear" w:color="auto" w:fill="F9FAFC"/>
          </w:tcPr>
          <w:p>
            <w:r>
              <w:rPr>
                <w:rFonts w:ascii="Times New Roman" w:hAnsi="Times New Roman"/>
                <w:sz w:val="17"/>
              </w:rPr>
              <w:t>Core Stage 1 &amp; 2 foundation providing stochastic transition matrix T and fused MIRF sample weights w_i.</w:t>
            </w:r>
          </w:p>
        </w:tc>
      </w:tr>
      <w:tr>
        <w:tc>
          <w:tcPr>
            <w:tcW w:type="dxa" w:w="3120"/>
          </w:tcPr>
          <w:p>
            <w:r>
              <w:rPr>
                <w:rFonts w:ascii="Times New Roman" w:hAnsi="Times New Roman"/>
                <w:sz w:val="17"/>
              </w:rPr>
              <w:t>6. Contrastive GCL</w:t>
            </w:r>
          </w:p>
        </w:tc>
        <w:tc>
          <w:tcPr>
            <w:tcW w:type="dxa" w:w="3120"/>
          </w:tcPr>
          <w:p>
            <w:r>
              <w:rPr>
                <w:rFonts w:ascii="Times New Roman" w:hAnsi="Times New Roman"/>
                <w:sz w:val="17"/>
              </w:rPr>
              <w:t>Not utilized. Relies on standard matrix factorization or baseline GCN.</w:t>
            </w:r>
          </w:p>
        </w:tc>
        <w:tc>
          <w:tcPr>
            <w:tcW w:type="dxa" w:w="3120"/>
          </w:tcPr>
          <w:p>
            <w:r>
              <w:rPr>
                <w:rFonts w:ascii="Times New Roman" w:hAnsi="Times New Roman"/>
                <w:sz w:val="17"/>
              </w:rPr>
              <w:t>SimGCL (latent uniform noise) and SGL (structural dropout) with sample-reliability weighted InfoNCE.</w:t>
            </w:r>
          </w:p>
        </w:tc>
      </w:tr>
      <w:tr>
        <w:tc>
          <w:tcPr>
            <w:tcW w:type="dxa" w:w="3120"/>
            <w:shd w:val="clear" w:color="auto" w:fill="F9FAFC"/>
          </w:tcPr>
          <w:p>
            <w:r>
              <w:rPr>
                <w:rFonts w:ascii="Times New Roman" w:hAnsi="Times New Roman"/>
                <w:sz w:val="17"/>
              </w:rPr>
              <w:t>7. LLM Integration</w:t>
            </w:r>
          </w:p>
        </w:tc>
        <w:tc>
          <w:tcPr>
            <w:tcW w:type="dxa" w:w="3120"/>
            <w:shd w:val="clear" w:color="auto" w:fill="F9FAFC"/>
          </w:tcPr>
          <w:p>
            <w:r>
              <w:rPr>
                <w:rFonts w:ascii="Times New Roman" w:hAnsi="Times New Roman"/>
                <w:sz w:val="17"/>
              </w:rPr>
              <w:t>None.</w:t>
            </w:r>
          </w:p>
        </w:tc>
        <w:tc>
          <w:tcPr>
            <w:tcW w:type="dxa" w:w="3120"/>
            <w:shd w:val="clear" w:color="auto" w:fill="F9FAFC"/>
          </w:tcPr>
          <w:p>
            <w:r>
              <w:rPr>
                <w:rFonts w:ascii="Times New Roman" w:hAnsi="Times New Roman"/>
                <w:sz w:val="17"/>
              </w:rPr>
              <w:t>High-precision prompt-based review verification with SQLite WAL caching and secret redaction.</w:t>
            </w:r>
          </w:p>
        </w:tc>
      </w:tr>
      <w:tr>
        <w:tc>
          <w:tcPr>
            <w:tcW w:type="dxa" w:w="3120"/>
          </w:tcPr>
          <w:p>
            <w:r>
              <w:rPr>
                <w:rFonts w:ascii="Times New Roman" w:hAnsi="Times New Roman"/>
                <w:sz w:val="17"/>
              </w:rPr>
              <w:t>8. Optimization</w:t>
            </w:r>
          </w:p>
        </w:tc>
        <w:tc>
          <w:tcPr>
            <w:tcW w:type="dxa" w:w="3120"/>
          </w:tcPr>
          <w:p>
            <w:r>
              <w:rPr>
                <w:rFonts w:ascii="Times New Roman" w:hAnsi="Times New Roman"/>
                <w:sz w:val="17"/>
              </w:rPr>
              <w:t>Standard cross-entropy or BPR loss on unweighted partition subsets.</w:t>
            </w:r>
          </w:p>
        </w:tc>
        <w:tc>
          <w:tcPr>
            <w:tcW w:type="dxa" w:w="3120"/>
          </w:tcPr>
          <w:p>
            <w:r>
              <w:rPr>
                <w:rFonts w:ascii="Times New Roman" w:hAnsi="Times New Roman"/>
                <w:sz w:val="17"/>
              </w:rPr>
              <w:t>Sample-weighted risk-consistent NLL loss (L_risk) combined with contrastive InfoNCE (L_cl).</w:t>
            </w:r>
          </w:p>
        </w:tc>
      </w:tr>
      <w:tr>
        <w:tc>
          <w:tcPr>
            <w:tcW w:type="dxa" w:w="3120"/>
            <w:shd w:val="clear" w:color="auto" w:fill="F9FAFC"/>
          </w:tcPr>
          <w:p>
            <w:r>
              <w:rPr>
                <w:rFonts w:ascii="Times New Roman" w:hAnsi="Times New Roman"/>
                <w:sz w:val="17"/>
              </w:rPr>
              <w:t>9. Time Complexity</w:t>
            </w:r>
          </w:p>
        </w:tc>
        <w:tc>
          <w:tcPr>
            <w:tcW w:type="dxa" w:w="3120"/>
            <w:shd w:val="clear" w:color="auto" w:fill="F9FAFC"/>
          </w:tcPr>
          <w:p>
            <w:r>
              <w:rPr>
                <w:rFonts w:ascii="Times New Roman" w:hAnsi="Times New Roman"/>
                <w:sz w:val="17"/>
              </w:rPr>
              <w:t>O(E_epochs |E| d + |U| |I| log K).</w:t>
            </w:r>
          </w:p>
        </w:tc>
        <w:tc>
          <w:tcPr>
            <w:tcW w:type="dxa" w:w="3120"/>
            <w:shd w:val="clear" w:color="auto" w:fill="F9FAFC"/>
          </w:tcPr>
          <w:p>
            <w:r>
              <w:rPr>
                <w:rFonts w:ascii="Times New Roman" w:hAnsi="Times New Roman"/>
                <w:sz w:val="17"/>
              </w:rPr>
              <w:t>O(E_epochs (L |E| d + B^2 d) + |U| |I| log K) with 2D BLAS vectorization.</w:t>
            </w:r>
          </w:p>
        </w:tc>
      </w:tr>
      <w:tr>
        <w:tc>
          <w:tcPr>
            <w:tcW w:type="dxa" w:w="3120"/>
          </w:tcPr>
          <w:p>
            <w:r>
              <w:rPr>
                <w:rFonts w:ascii="Times New Roman" w:hAnsi="Times New Roman"/>
                <w:sz w:val="17"/>
              </w:rPr>
              <w:t>10. Space Complexity</w:t>
            </w:r>
          </w:p>
        </w:tc>
        <w:tc>
          <w:tcPr>
            <w:tcW w:type="dxa" w:w="3120"/>
          </w:tcPr>
          <w:p>
            <w:r>
              <w:rPr>
                <w:rFonts w:ascii="Times New Roman" w:hAnsi="Times New Roman"/>
                <w:sz w:val="17"/>
              </w:rPr>
              <w:t>O((|U| + |I|) d + |E|).</w:t>
            </w:r>
          </w:p>
        </w:tc>
        <w:tc>
          <w:tcPr>
            <w:tcW w:type="dxa" w:w="3120"/>
          </w:tcPr>
          <w:p>
            <w:r>
              <w:rPr>
                <w:rFonts w:ascii="Times New Roman" w:hAnsi="Times New Roman"/>
                <w:sz w:val="17"/>
              </w:rPr>
              <w:t>O((|U| + |I|) d + |E|) with preallocated GPU weight buffers.</w:t>
            </w:r>
          </w:p>
        </w:tc>
      </w:tr>
      <w:tr>
        <w:tc>
          <w:tcPr>
            <w:tcW w:type="dxa" w:w="3120"/>
            <w:shd w:val="clear" w:color="auto" w:fill="F9FAFC"/>
          </w:tcPr>
          <w:p>
            <w:r>
              <w:rPr>
                <w:rFonts w:ascii="Times New Roman" w:hAnsi="Times New Roman"/>
                <w:sz w:val="17"/>
              </w:rPr>
              <w:t>11. Shilling Vulnerability</w:t>
            </w:r>
          </w:p>
        </w:tc>
        <w:tc>
          <w:tcPr>
            <w:tcW w:type="dxa" w:w="3120"/>
            <w:shd w:val="clear" w:color="auto" w:fill="F9FAFC"/>
          </w:tcPr>
          <w:p>
            <w:r>
              <w:rPr>
                <w:rFonts w:ascii="Times New Roman" w:hAnsi="Times New Roman"/>
                <w:sz w:val="17"/>
              </w:rPr>
              <w:t>High. Bandwagon attacks corrupt α_u and elevate attacked items into head candidates.</w:t>
            </w:r>
          </w:p>
        </w:tc>
        <w:tc>
          <w:tcPr>
            <w:tcW w:type="dxa" w:w="3120"/>
            <w:shd w:val="clear" w:color="auto" w:fill="F9FAFC"/>
          </w:tcPr>
          <w:p>
            <w:r>
              <w:rPr>
                <w:rFonts w:ascii="Times New Roman" w:hAnsi="Times New Roman"/>
                <w:sz w:val="17"/>
              </w:rPr>
              <w:t>Low. Shilling interactions are detected (R_bomb ≈ 0) and purged from blueprints B_u.</w:t>
            </w:r>
          </w:p>
        </w:tc>
      </w:tr>
      <w:tr>
        <w:tc>
          <w:tcPr>
            <w:tcW w:type="dxa" w:w="3120"/>
          </w:tcPr>
          <w:p>
            <w:r>
              <w:rPr>
                <w:rFonts w:ascii="Times New Roman" w:hAnsi="Times New Roman"/>
                <w:sz w:val="17"/>
              </w:rPr>
              <w:t>12. Multi-Domain</w:t>
            </w:r>
          </w:p>
        </w:tc>
        <w:tc>
          <w:tcPr>
            <w:tcW w:type="dxa" w:w="3120"/>
          </w:tcPr>
          <w:p>
            <w:r>
              <w:rPr>
                <w:rFonts w:ascii="Times New Roman" w:hAnsi="Times New Roman"/>
                <w:sz w:val="17"/>
              </w:rPr>
              <w:t>Evaluated primarily on single e-commerce datasets.</w:t>
            </w:r>
          </w:p>
        </w:tc>
        <w:tc>
          <w:tcPr>
            <w:tcW w:type="dxa" w:w="3120"/>
          </w:tcPr>
          <w:p>
            <w:r>
              <w:rPr>
                <w:rFonts w:ascii="Times New Roman" w:hAnsi="Times New Roman"/>
                <w:sz w:val="17"/>
              </w:rPr>
              <w:t>Extensively verified across MovieLens-1M, Amazon Reviews (SimGCL), and Yelp Academic (SGL).</w:t>
            </w:r>
          </w:p>
        </w:tc>
      </w:tr>
      <w:tr>
        <w:tc>
          <w:tcPr>
            <w:tcW w:type="dxa" w:w="3120"/>
            <w:shd w:val="clear" w:color="auto" w:fill="F9FAFC"/>
          </w:tcPr>
          <w:p>
            <w:r>
              <w:rPr>
                <w:rFonts w:ascii="Times New Roman" w:hAnsi="Times New Roman"/>
                <w:sz w:val="17"/>
              </w:rPr>
              <w:t>13. Business Modeling</w:t>
            </w:r>
          </w:p>
        </w:tc>
        <w:tc>
          <w:tcPr>
            <w:tcW w:type="dxa" w:w="3120"/>
            <w:shd w:val="clear" w:color="auto" w:fill="F9FAFC"/>
          </w:tcPr>
          <w:p>
            <w:r>
              <w:rPr>
                <w:rFonts w:ascii="Times New Roman" w:hAnsi="Times New Roman"/>
                <w:sz w:val="17"/>
              </w:rPr>
              <w:t>Offline accuracy only (Recall, nDCG).</w:t>
            </w:r>
          </w:p>
        </w:tc>
        <w:tc>
          <w:tcPr>
            <w:tcW w:type="dxa" w:w="3120"/>
            <w:shd w:val="clear" w:color="auto" w:fill="F9FAFC"/>
          </w:tcPr>
          <w:p>
            <w:r>
              <w:rPr>
                <w:rFonts w:ascii="Times New Roman" w:hAnsi="Times New Roman"/>
                <w:sz w:val="17"/>
              </w:rPr>
              <w:t>End-to-end A/B simulator projecting CTR, CVR, GMV lift with 1,000-sample bootstrap confidence intervals.</w:t>
            </w:r>
          </w:p>
        </w:tc>
      </w:tr>
      <w:tr>
        <w:tc>
          <w:tcPr>
            <w:tcW w:type="dxa" w:w="3120"/>
          </w:tcPr>
          <w:p>
            <w:r>
              <w:rPr>
                <w:rFonts w:ascii="Times New Roman" w:hAnsi="Times New Roman"/>
                <w:sz w:val="17"/>
              </w:rPr>
              <w:t>14. Software Hardening</w:t>
            </w:r>
          </w:p>
        </w:tc>
        <w:tc>
          <w:tcPr>
            <w:tcW w:type="dxa" w:w="3120"/>
          </w:tcPr>
          <w:p>
            <w:r>
              <w:rPr>
                <w:rFonts w:ascii="Times New Roman" w:hAnsi="Times New Roman"/>
                <w:sz w:val="17"/>
              </w:rPr>
              <w:t>Unprotected against singular matrix inversion and k=0 empty candidate sets.</w:t>
            </w:r>
          </w:p>
        </w:tc>
        <w:tc>
          <w:tcPr>
            <w:tcW w:type="dxa" w:w="3120"/>
          </w:tcPr>
          <w:p>
            <w:r>
              <w:rPr>
                <w:rFonts w:ascii="Times New Roman" w:hAnsi="Times New Roman"/>
                <w:sz w:val="17"/>
              </w:rPr>
              <w:t>Hardened with Tikhonov regularized pseudo-inversion, float32 logvar clamping, and zero-k guards.</w:t>
            </w:r>
          </w:p>
        </w:tc>
      </w:tr>
    </w:tbl>
    <w:p>
      <w:r>
        <w:br w:type="page"/>
      </w:r>
    </w:p>
    <w:p>
      <w:pPr>
        <w:pStyle w:val="Heading1"/>
      </w:pPr>
      <w:r>
        <w:t>V. EXPERIMENTAL EVALUATION</w:t>
      </w:r>
    </w:p>
    <w:p>
      <w:pPr>
        <w:pStyle w:val="Heading2"/>
      </w:pPr>
      <w:r>
        <w:t>A. Experimental Setup, Datasets &amp; Multi-Seed Protocol</w:t>
      </w:r>
    </w:p>
    <w:p>
      <w:r>
        <w:t>Exact Dataset Specifications:</w:t>
        <w:br/>
        <w:t>1. MovieLens-1M Benchmark Sub-Graph: Sourced from GroupLens MovieLens-1M (1,000,209 ratings from 6,040 users across 3,900 movies). Processed via iterative k-core pruning (k_user ≥ 10, k_item ≥ 5). The top 300 active users are sampled for the dense evaluation sub-graph, yielding |U| = 300 users, |I| = 3,405 items (208 Head items, 3,197 Tail items under Pareto ratio ρ = 0.20), and 237,421 clean training interactions. Modalities: discrete ratings (1–5), timestamps, movie genres. Review text is absent; MIRF weights dynamically configure to (α = 0.55, β = 0.00, γ = 0.45).</w:t>
        <w:br/>
        <w:t>2. Amazon Reviews (Electronics) Sub-Graph [13]: 5-core filtered e-commerce evaluation sub-graph (|U| = 60 users, |I| = 81 items, 888 train interactions), structured as a dense multi-modal prototype to evaluate LLM review verification under controlled API caching. Evaluated with SimGCL backbone (λ_cl = 0.15, τ = 0.15, 8 dual epochs on CUDA). Modalities: ratings, timestamps, and full natural language review text (α = 0.40, β = 0.30, γ = 0.30).</w:t>
        <w:br/>
        <w:t>3. Yelp Academic Sub-Graph: 5-core filtered local business evaluation sub-graph (|U| = 70 users, |I| = 100 items, 1,152 train interactions), evaluated with SGL backbone (λ_cl = 0.15, τ = 0.15, 8 dual epochs on CUDA). Modalities: ratings, timestamps, dense text reviews (α = 0.40, β = 0.30, γ = 0.30).</w:t>
        <w:br/>
        <w:br/>
        <w:t>Data Partitioning and Strict Zero-Leakage Attack Injection: Data partitioning is executed strictly prior to attack injection using leave-one-out temporal ordering: for each user u ∈ U, their chronologically final interaction is assigned to the test set I_u^test, their penultimate interaction to the validation set I_u^val, and all preceding interactions to the training graph G_train. Adversarial shilling attacks are injected exclusively into G_train after temporal splitting. The validation and test sets remain strictly uncorrupted and held-out, ensuring zero test set leakage or synthetic label contamination.</w:t>
        <w:br/>
        <w:br/>
        <w:t>Adversarial Attack Generation Protocol: We evaluate defense robustness across three distinct adversarial campaign families:</w:t>
        <w:br/>
        <w:t>• Bandwagon Shilling Campaigns (ρ ∈ [0.05, 0.25]): For attack injection ratio ρ = 0.15, N_shill = ceil(ρ |U|) synthetic bot user profiles are generated. Each bot injects 5-star ratings on target tail items I_target ⊂ I_tail to push their exposure, 4- and 5-star ratings on top popular anchor items I_push ⊂ I_head to camouflage bot profiles, and filler ratings sampled from empirical rating distribution N(μ_r, σ_r^2) to evade standard variance filters.</w:t>
        <w:br/>
        <w:t>• Random Rating Noise (η ∈ [0.05, 0.20]): Symmetric uniform rating perturbations modeling non-coordinated random rating noise.</w:t>
        <w:br/>
        <w:t>• Review-Bombing Nuke Campaigns: Coordinated negative rating bursts concentrated on competitor items within narrow temporal windows (Z_temp &gt; 2.5, S_pol &gt; 0.70).</w:t>
        <w:br/>
        <w:br/>
        <w:t>Multi-Seed Repeated Evaluation Protocol: To ensure absolute empirical reproducibility and statistical rigour, all experiments across all three datasets and backbones are executed over S = 5 independent random seeds (S = {42, 43, 44, 45, 46}). We report the empirical sample mean and sample standard deviation (Mean ± Std) across all 5 runs. Statistical significance is computed via two-tailed paired Student's t-tests (df = 4) comparing RRFN-LLM-SUPER against the attacked baseline across identical seeds (*p &lt; 0.05).</w:t>
      </w:r>
    </w:p>
    <w:p>
      <w:pPr>
        <w:pStyle w:val="Heading3"/>
      </w:pPr>
      <w:r>
        <w:t>Table II: Dataset Characteristics, Graph Topology, and Bandwagon Attack Injection Statistics</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E0E8F0"/>
          </w:tcPr>
          <w:p>
            <w:r>
              <w:rPr>
                <w:rFonts w:ascii="Times New Roman" w:hAnsi="Times New Roman"/>
                <w:b/>
                <w:sz w:val="16"/>
              </w:rPr>
              <w:t>Dataset</w:t>
            </w:r>
          </w:p>
        </w:tc>
        <w:tc>
          <w:tcPr>
            <w:tcW w:type="dxa" w:w="851"/>
            <w:shd w:val="clear" w:color="auto" w:fill="E0E8F0"/>
          </w:tcPr>
          <w:p>
            <w:r>
              <w:rPr>
                <w:rFonts w:ascii="Times New Roman" w:hAnsi="Times New Roman"/>
                <w:b/>
                <w:sz w:val="16"/>
              </w:rPr>
              <w:t>Raw Source</w:t>
            </w:r>
          </w:p>
        </w:tc>
        <w:tc>
          <w:tcPr>
            <w:tcW w:type="dxa" w:w="851"/>
            <w:shd w:val="clear" w:color="auto" w:fill="E0E8F0"/>
          </w:tcPr>
          <w:p>
            <w:r>
              <w:rPr>
                <w:rFonts w:ascii="Times New Roman" w:hAnsi="Times New Roman"/>
                <w:b/>
                <w:sz w:val="16"/>
              </w:rPr>
              <w:t>Filtering</w:t>
            </w:r>
          </w:p>
        </w:tc>
        <w:tc>
          <w:tcPr>
            <w:tcW w:type="dxa" w:w="851"/>
            <w:shd w:val="clear" w:color="auto" w:fill="E0E8F0"/>
          </w:tcPr>
          <w:p>
            <w:r>
              <w:rPr>
                <w:rFonts w:ascii="Times New Roman" w:hAnsi="Times New Roman"/>
                <w:b/>
                <w:sz w:val="16"/>
              </w:rPr>
              <w:t>Users (|U|)</w:t>
            </w:r>
          </w:p>
        </w:tc>
        <w:tc>
          <w:tcPr>
            <w:tcW w:type="dxa" w:w="851"/>
            <w:shd w:val="clear" w:color="auto" w:fill="E0E8F0"/>
          </w:tcPr>
          <w:p>
            <w:r>
              <w:rPr>
                <w:rFonts w:ascii="Times New Roman" w:hAnsi="Times New Roman"/>
                <w:b/>
                <w:sz w:val="16"/>
              </w:rPr>
              <w:t>Items (|I|)</w:t>
            </w:r>
          </w:p>
        </w:tc>
        <w:tc>
          <w:tcPr>
            <w:tcW w:type="dxa" w:w="851"/>
            <w:shd w:val="clear" w:color="auto" w:fill="E0E8F0"/>
          </w:tcPr>
          <w:p>
            <w:r>
              <w:rPr>
                <w:rFonts w:ascii="Times New Roman" w:hAnsi="Times New Roman"/>
                <w:b/>
                <w:sz w:val="16"/>
              </w:rPr>
              <w:t>Train Edges</w:t>
            </w:r>
          </w:p>
        </w:tc>
        <w:tc>
          <w:tcPr>
            <w:tcW w:type="dxa" w:w="851"/>
            <w:shd w:val="clear" w:color="auto" w:fill="E0E8F0"/>
          </w:tcPr>
          <w:p>
            <w:r>
              <w:rPr>
                <w:rFonts w:ascii="Times New Roman" w:hAnsi="Times New Roman"/>
                <w:b/>
                <w:sz w:val="16"/>
              </w:rPr>
              <w:t>Test Edges</w:t>
            </w:r>
          </w:p>
        </w:tc>
        <w:tc>
          <w:tcPr>
            <w:tcW w:type="dxa" w:w="851"/>
            <w:shd w:val="clear" w:color="auto" w:fill="E0E8F0"/>
          </w:tcPr>
          <w:p>
            <w:r>
              <w:rPr>
                <w:rFonts w:ascii="Times New Roman" w:hAnsi="Times New Roman"/>
                <w:b/>
                <w:sz w:val="16"/>
              </w:rPr>
              <w:t>Bot Accounts</w:t>
            </w:r>
          </w:p>
        </w:tc>
        <w:tc>
          <w:tcPr>
            <w:tcW w:type="dxa" w:w="851"/>
            <w:shd w:val="clear" w:color="auto" w:fill="E0E8F0"/>
          </w:tcPr>
          <w:p>
            <w:r>
              <w:rPr>
                <w:rFonts w:ascii="Times New Roman" w:hAnsi="Times New Roman"/>
                <w:b/>
                <w:sz w:val="16"/>
              </w:rPr>
              <w:t>Attack Edges</w:t>
            </w:r>
          </w:p>
        </w:tc>
        <w:tc>
          <w:tcPr>
            <w:tcW w:type="dxa" w:w="851"/>
            <w:shd w:val="clear" w:color="auto" w:fill="E0E8F0"/>
          </w:tcPr>
          <w:p>
            <w:r>
              <w:rPr>
                <w:rFonts w:ascii="Times New Roman" w:hAnsi="Times New Roman"/>
                <w:b/>
                <w:sz w:val="16"/>
              </w:rPr>
              <w:t>Attack Prev. (π)</w:t>
            </w:r>
          </w:p>
        </w:tc>
        <w:tc>
          <w:tcPr>
            <w:tcW w:type="dxa" w:w="851"/>
            <w:shd w:val="clear" w:color="auto" w:fill="E0E8F0"/>
          </w:tcPr>
          <w:p>
            <w:r>
              <w:rPr>
                <w:rFonts w:ascii="Times New Roman" w:hAnsi="Times New Roman"/>
                <w:b/>
                <w:sz w:val="16"/>
              </w:rPr>
              <w:t>Backbone / Modalities</w:t>
            </w:r>
          </w:p>
        </w:tc>
      </w:tr>
      <w:tr>
        <w:tc>
          <w:tcPr>
            <w:tcW w:type="dxa" w:w="851"/>
          </w:tcPr>
          <w:p>
            <w:r>
              <w:rPr>
                <w:rFonts w:ascii="Times New Roman" w:hAnsi="Times New Roman"/>
                <w:sz w:val="16"/>
              </w:rPr>
              <w:t>MovieLens-1M (Sub-Graph)</w:t>
            </w:r>
          </w:p>
        </w:tc>
        <w:tc>
          <w:tcPr>
            <w:tcW w:type="dxa" w:w="851"/>
          </w:tcPr>
          <w:p>
            <w:r>
              <w:rPr>
                <w:rFonts w:ascii="Times New Roman" w:hAnsi="Times New Roman"/>
                <w:sz w:val="16"/>
              </w:rPr>
              <w:t>MovieLens-1M</w:t>
            </w:r>
          </w:p>
        </w:tc>
        <w:tc>
          <w:tcPr>
            <w:tcW w:type="dxa" w:w="851"/>
          </w:tcPr>
          <w:p>
            <w:r>
              <w:rPr>
                <w:rFonts w:ascii="Times New Roman" w:hAnsi="Times New Roman"/>
                <w:sz w:val="16"/>
              </w:rPr>
              <w:t>k_u≥10, k_i≥5</w:t>
            </w:r>
          </w:p>
        </w:tc>
        <w:tc>
          <w:tcPr>
            <w:tcW w:type="dxa" w:w="851"/>
          </w:tcPr>
          <w:p>
            <w:r>
              <w:rPr>
                <w:rFonts w:ascii="Times New Roman" w:hAnsi="Times New Roman"/>
                <w:sz w:val="16"/>
              </w:rPr>
              <w:t>300</w:t>
            </w:r>
          </w:p>
        </w:tc>
        <w:tc>
          <w:tcPr>
            <w:tcW w:type="dxa" w:w="851"/>
          </w:tcPr>
          <w:p>
            <w:r>
              <w:rPr>
                <w:rFonts w:ascii="Times New Roman" w:hAnsi="Times New Roman"/>
                <w:sz w:val="16"/>
              </w:rPr>
              <w:t>3,405</w:t>
            </w:r>
          </w:p>
        </w:tc>
        <w:tc>
          <w:tcPr>
            <w:tcW w:type="dxa" w:w="851"/>
          </w:tcPr>
          <w:p>
            <w:r>
              <w:rPr>
                <w:rFonts w:ascii="Times New Roman" w:hAnsi="Times New Roman"/>
                <w:sz w:val="16"/>
              </w:rPr>
              <w:t>237,421</w:t>
            </w:r>
          </w:p>
        </w:tc>
        <w:tc>
          <w:tcPr>
            <w:tcW w:type="dxa" w:w="851"/>
          </w:tcPr>
          <w:p>
            <w:r>
              <w:rPr>
                <w:rFonts w:ascii="Times New Roman" w:hAnsi="Times New Roman"/>
                <w:sz w:val="16"/>
              </w:rPr>
              <w:t>300</w:t>
            </w:r>
          </w:p>
        </w:tc>
        <w:tc>
          <w:tcPr>
            <w:tcW w:type="dxa" w:w="851"/>
          </w:tcPr>
          <w:p>
            <w:r>
              <w:rPr>
                <w:rFonts w:ascii="Times New Roman" w:hAnsi="Times New Roman"/>
                <w:sz w:val="16"/>
              </w:rPr>
              <w:t>45</w:t>
            </w:r>
          </w:p>
        </w:tc>
        <w:tc>
          <w:tcPr>
            <w:tcW w:type="dxa" w:w="851"/>
          </w:tcPr>
          <w:p>
            <w:r>
              <w:rPr>
                <w:rFonts w:ascii="Times New Roman" w:hAnsi="Times New Roman"/>
                <w:sz w:val="16"/>
              </w:rPr>
              <w:t>899</w:t>
            </w:r>
          </w:p>
        </w:tc>
        <w:tc>
          <w:tcPr>
            <w:tcW w:type="dxa" w:w="851"/>
          </w:tcPr>
          <w:p>
            <w:r>
              <w:rPr>
                <w:rFonts w:ascii="Times New Roman" w:hAnsi="Times New Roman"/>
                <w:sz w:val="16"/>
              </w:rPr>
              <w:t>0.38% (15.0% bots)</w:t>
            </w:r>
          </w:p>
        </w:tc>
        <w:tc>
          <w:tcPr>
            <w:tcW w:type="dxa" w:w="851"/>
          </w:tcPr>
          <w:p>
            <w:r>
              <w:rPr>
                <w:rFonts w:ascii="Times New Roman" w:hAnsi="Times New Roman"/>
                <w:sz w:val="16"/>
              </w:rPr>
              <w:t>NeuMF (Ratings, Genres)</w:t>
            </w:r>
          </w:p>
        </w:tc>
      </w:tr>
      <w:tr>
        <w:tc>
          <w:tcPr>
            <w:tcW w:type="dxa" w:w="851"/>
          </w:tcPr>
          <w:p>
            <w:r>
              <w:rPr>
                <w:rFonts w:ascii="Times New Roman" w:hAnsi="Times New Roman"/>
                <w:sz w:val="16"/>
              </w:rPr>
              <w:t>Amazon Reviews</w:t>
            </w:r>
          </w:p>
        </w:tc>
        <w:tc>
          <w:tcPr>
            <w:tcW w:type="dxa" w:w="851"/>
          </w:tcPr>
          <w:p>
            <w:r>
              <w:rPr>
                <w:rFonts w:ascii="Times New Roman" w:hAnsi="Times New Roman"/>
                <w:sz w:val="16"/>
              </w:rPr>
              <w:t>Electronics [13]</w:t>
            </w:r>
          </w:p>
        </w:tc>
        <w:tc>
          <w:tcPr>
            <w:tcW w:type="dxa" w:w="851"/>
          </w:tcPr>
          <w:p>
            <w:r>
              <w:rPr>
                <w:rFonts w:ascii="Times New Roman" w:hAnsi="Times New Roman"/>
                <w:sz w:val="16"/>
              </w:rPr>
              <w:t>k_u≥5, k_i≥5</w:t>
            </w:r>
          </w:p>
        </w:tc>
        <w:tc>
          <w:tcPr>
            <w:tcW w:type="dxa" w:w="851"/>
          </w:tcPr>
          <w:p>
            <w:r>
              <w:rPr>
                <w:rFonts w:ascii="Times New Roman" w:hAnsi="Times New Roman"/>
                <w:sz w:val="16"/>
              </w:rPr>
              <w:t>60</w:t>
            </w:r>
          </w:p>
        </w:tc>
        <w:tc>
          <w:tcPr>
            <w:tcW w:type="dxa" w:w="851"/>
          </w:tcPr>
          <w:p>
            <w:r>
              <w:rPr>
                <w:rFonts w:ascii="Times New Roman" w:hAnsi="Times New Roman"/>
                <w:sz w:val="16"/>
              </w:rPr>
              <w:t>81</w:t>
            </w:r>
          </w:p>
        </w:tc>
        <w:tc>
          <w:tcPr>
            <w:tcW w:type="dxa" w:w="851"/>
          </w:tcPr>
          <w:p>
            <w:r>
              <w:rPr>
                <w:rFonts w:ascii="Times New Roman" w:hAnsi="Times New Roman"/>
                <w:sz w:val="16"/>
              </w:rPr>
              <w:t>888</w:t>
            </w:r>
          </w:p>
        </w:tc>
        <w:tc>
          <w:tcPr>
            <w:tcW w:type="dxa" w:w="851"/>
          </w:tcPr>
          <w:p>
            <w:r>
              <w:rPr>
                <w:rFonts w:ascii="Times New Roman" w:hAnsi="Times New Roman"/>
                <w:sz w:val="16"/>
              </w:rPr>
              <w:t>60</w:t>
            </w:r>
          </w:p>
        </w:tc>
        <w:tc>
          <w:tcPr>
            <w:tcW w:type="dxa" w:w="851"/>
          </w:tcPr>
          <w:p>
            <w:r>
              <w:rPr>
                <w:rFonts w:ascii="Times New Roman" w:hAnsi="Times New Roman"/>
                <w:sz w:val="16"/>
              </w:rPr>
              <w:t>9</w:t>
            </w:r>
          </w:p>
        </w:tc>
        <w:tc>
          <w:tcPr>
            <w:tcW w:type="dxa" w:w="851"/>
          </w:tcPr>
          <w:p>
            <w:r>
              <w:rPr>
                <w:rFonts w:ascii="Times New Roman" w:hAnsi="Times New Roman"/>
                <w:sz w:val="16"/>
              </w:rPr>
              <w:t>187</w:t>
            </w:r>
          </w:p>
        </w:tc>
        <w:tc>
          <w:tcPr>
            <w:tcW w:type="dxa" w:w="851"/>
          </w:tcPr>
          <w:p>
            <w:r>
              <w:rPr>
                <w:rFonts w:ascii="Times New Roman" w:hAnsi="Times New Roman"/>
                <w:sz w:val="16"/>
              </w:rPr>
              <w:t>17.40% (15.0% bots)</w:t>
            </w:r>
          </w:p>
        </w:tc>
        <w:tc>
          <w:tcPr>
            <w:tcW w:type="dxa" w:w="851"/>
          </w:tcPr>
          <w:p>
            <w:r>
              <w:rPr>
                <w:rFonts w:ascii="Times New Roman" w:hAnsi="Times New Roman"/>
                <w:sz w:val="16"/>
              </w:rPr>
              <w:t>SimGCL (Ratings, Text Reviews)</w:t>
            </w:r>
          </w:p>
        </w:tc>
      </w:tr>
      <w:tr>
        <w:tc>
          <w:tcPr>
            <w:tcW w:type="dxa" w:w="851"/>
          </w:tcPr>
          <w:p>
            <w:r>
              <w:rPr>
                <w:rFonts w:ascii="Times New Roman" w:hAnsi="Times New Roman"/>
                <w:sz w:val="16"/>
              </w:rPr>
              <w:t>Yelp Academic</w:t>
            </w:r>
          </w:p>
        </w:tc>
        <w:tc>
          <w:tcPr>
            <w:tcW w:type="dxa" w:w="851"/>
          </w:tcPr>
          <w:p>
            <w:r>
              <w:rPr>
                <w:rFonts w:ascii="Times New Roman" w:hAnsi="Times New Roman"/>
                <w:sz w:val="16"/>
              </w:rPr>
              <w:t>Business Reviews</w:t>
            </w:r>
          </w:p>
        </w:tc>
        <w:tc>
          <w:tcPr>
            <w:tcW w:type="dxa" w:w="851"/>
          </w:tcPr>
          <w:p>
            <w:r>
              <w:rPr>
                <w:rFonts w:ascii="Times New Roman" w:hAnsi="Times New Roman"/>
                <w:sz w:val="16"/>
              </w:rPr>
              <w:t>k_u≥5, k_i≥5</w:t>
            </w:r>
          </w:p>
        </w:tc>
        <w:tc>
          <w:tcPr>
            <w:tcW w:type="dxa" w:w="851"/>
          </w:tcPr>
          <w:p>
            <w:r>
              <w:rPr>
                <w:rFonts w:ascii="Times New Roman" w:hAnsi="Times New Roman"/>
                <w:sz w:val="16"/>
              </w:rPr>
              <w:t>70</w:t>
            </w:r>
          </w:p>
        </w:tc>
        <w:tc>
          <w:tcPr>
            <w:tcW w:type="dxa" w:w="851"/>
          </w:tcPr>
          <w:p>
            <w:r>
              <w:rPr>
                <w:rFonts w:ascii="Times New Roman" w:hAnsi="Times New Roman"/>
                <w:sz w:val="16"/>
              </w:rPr>
              <w:t>100</w:t>
            </w:r>
          </w:p>
        </w:tc>
        <w:tc>
          <w:tcPr>
            <w:tcW w:type="dxa" w:w="851"/>
          </w:tcPr>
          <w:p>
            <w:r>
              <w:rPr>
                <w:rFonts w:ascii="Times New Roman" w:hAnsi="Times New Roman"/>
                <w:sz w:val="16"/>
              </w:rPr>
              <w:t>1,152</w:t>
            </w:r>
          </w:p>
        </w:tc>
        <w:tc>
          <w:tcPr>
            <w:tcW w:type="dxa" w:w="851"/>
          </w:tcPr>
          <w:p>
            <w:r>
              <w:rPr>
                <w:rFonts w:ascii="Times New Roman" w:hAnsi="Times New Roman"/>
                <w:sz w:val="16"/>
              </w:rPr>
              <w:t>70</w:t>
            </w:r>
          </w:p>
        </w:tc>
        <w:tc>
          <w:tcPr>
            <w:tcW w:type="dxa" w:w="851"/>
          </w:tcPr>
          <w:p>
            <w:r>
              <w:rPr>
                <w:rFonts w:ascii="Times New Roman" w:hAnsi="Times New Roman"/>
                <w:sz w:val="16"/>
              </w:rPr>
              <w:t>10</w:t>
            </w:r>
          </w:p>
        </w:tc>
        <w:tc>
          <w:tcPr>
            <w:tcW w:type="dxa" w:w="851"/>
          </w:tcPr>
          <w:p>
            <w:r>
              <w:rPr>
                <w:rFonts w:ascii="Times New Roman" w:hAnsi="Times New Roman"/>
                <w:sz w:val="16"/>
              </w:rPr>
              <w:t>201</w:t>
            </w:r>
          </w:p>
        </w:tc>
        <w:tc>
          <w:tcPr>
            <w:tcW w:type="dxa" w:w="851"/>
          </w:tcPr>
          <w:p>
            <w:r>
              <w:rPr>
                <w:rFonts w:ascii="Times New Roman" w:hAnsi="Times New Roman"/>
                <w:sz w:val="16"/>
              </w:rPr>
              <w:t>14.86% (14.3% bots)</w:t>
            </w:r>
          </w:p>
        </w:tc>
        <w:tc>
          <w:tcPr>
            <w:tcW w:type="dxa" w:w="851"/>
          </w:tcPr>
          <w:p>
            <w:r>
              <w:rPr>
                <w:rFonts w:ascii="Times New Roman" w:hAnsi="Times New Roman"/>
                <w:sz w:val="16"/>
              </w:rPr>
              <w:t>SGL (Ratings, Text Reviews)</w:t>
            </w:r>
          </w:p>
        </w:tc>
      </w:tr>
    </w:tbl>
    <w:p>
      <w:pPr>
        <w:pStyle w:val="Heading3"/>
      </w:pPr>
      <w:r>
        <w:t>Table III: Empirical 5-Seed Benchmark Comparison across Baselines and RRFN-LLM-SUPER on MovieLens-1M Sub-Graph (CUDA, 15 Epochs, ρ = 0.15 Bandwagon Attack, Seeds: 42–46)</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E0E8F0"/>
          </w:tcPr>
          <w:p>
            <w:r>
              <w:rPr>
                <w:rFonts w:ascii="Times New Roman" w:hAnsi="Times New Roman"/>
                <w:b/>
                <w:sz w:val="17"/>
              </w:rPr>
              <w:t>Method</w:t>
            </w:r>
          </w:p>
        </w:tc>
        <w:tc>
          <w:tcPr>
            <w:tcW w:type="dxa" w:w="936"/>
            <w:shd w:val="clear" w:color="auto" w:fill="E0E8F0"/>
          </w:tcPr>
          <w:p>
            <w:r>
              <w:rPr>
                <w:rFonts w:ascii="Times New Roman" w:hAnsi="Times New Roman"/>
                <w:b/>
                <w:sz w:val="17"/>
              </w:rPr>
              <w:t>Recall@10 ↑</w:t>
            </w:r>
          </w:p>
        </w:tc>
        <w:tc>
          <w:tcPr>
            <w:tcW w:type="dxa" w:w="936"/>
            <w:shd w:val="clear" w:color="auto" w:fill="E0E8F0"/>
          </w:tcPr>
          <w:p>
            <w:r>
              <w:rPr>
                <w:rFonts w:ascii="Times New Roman" w:hAnsi="Times New Roman"/>
                <w:b/>
                <w:sz w:val="17"/>
              </w:rPr>
              <w:t>nDCG@10 ↑</w:t>
            </w:r>
          </w:p>
        </w:tc>
        <w:tc>
          <w:tcPr>
            <w:tcW w:type="dxa" w:w="936"/>
            <w:shd w:val="clear" w:color="auto" w:fill="E0E8F0"/>
          </w:tcPr>
          <w:p>
            <w:r>
              <w:rPr>
                <w:rFonts w:ascii="Times New Roman" w:hAnsi="Times New Roman"/>
                <w:b/>
                <w:sz w:val="17"/>
              </w:rPr>
              <w:t>RMSE-PC ↓</w:t>
            </w:r>
          </w:p>
        </w:tc>
        <w:tc>
          <w:tcPr>
            <w:tcW w:type="dxa" w:w="936"/>
            <w:shd w:val="clear" w:color="auto" w:fill="E0E8F0"/>
          </w:tcPr>
          <w:p>
            <w:r>
              <w:rPr>
                <w:rFonts w:ascii="Times New Roman" w:hAnsi="Times New Roman"/>
                <w:b/>
                <w:sz w:val="17"/>
              </w:rPr>
              <w:t>MRMC ↓</w:t>
            </w:r>
          </w:p>
        </w:tc>
        <w:tc>
          <w:tcPr>
            <w:tcW w:type="dxa" w:w="936"/>
            <w:shd w:val="clear" w:color="auto" w:fill="E0E8F0"/>
          </w:tcPr>
          <w:p>
            <w:r>
              <w:rPr>
                <w:rFonts w:ascii="Times New Roman" w:hAnsi="Times New Roman"/>
                <w:b/>
                <w:sz w:val="17"/>
              </w:rPr>
              <w:t>Raw LTC@10</w:t>
            </w:r>
          </w:p>
        </w:tc>
        <w:tc>
          <w:tcPr>
            <w:tcW w:type="dxa" w:w="936"/>
            <w:shd w:val="clear" w:color="auto" w:fill="E0E8F0"/>
          </w:tcPr>
          <w:p>
            <w:r>
              <w:rPr>
                <w:rFonts w:ascii="Times New Roman" w:hAnsi="Times New Roman"/>
                <w:b/>
                <w:sz w:val="17"/>
              </w:rPr>
              <w:t>g-LTC@10 ↑</w:t>
            </w:r>
          </w:p>
        </w:tc>
        <w:tc>
          <w:tcPr>
            <w:tcW w:type="dxa" w:w="936"/>
            <w:shd w:val="clear" w:color="auto" w:fill="E0E8F0"/>
          </w:tcPr>
          <w:p>
            <w:r>
              <w:rPr>
                <w:rFonts w:ascii="Times New Roman" w:hAnsi="Times New Roman"/>
                <w:b/>
                <w:sz w:val="17"/>
              </w:rPr>
              <w:t>STER@10 ↓</w:t>
            </w:r>
          </w:p>
        </w:tc>
        <w:tc>
          <w:tcPr>
            <w:tcW w:type="dxa" w:w="936"/>
            <w:shd w:val="clear" w:color="auto" w:fill="E0E8F0"/>
          </w:tcPr>
          <w:p>
            <w:r>
              <w:rPr>
                <w:rFonts w:ascii="Times New Roman" w:hAnsi="Times New Roman"/>
                <w:b/>
                <w:sz w:val="17"/>
              </w:rPr>
              <w:t>Novelty ↑</w:t>
            </w:r>
          </w:p>
        </w:tc>
        <w:tc>
          <w:tcPr>
            <w:tcW w:type="dxa" w:w="936"/>
            <w:shd w:val="clear" w:color="auto" w:fill="E0E8F0"/>
          </w:tcPr>
          <w:p>
            <w:r>
              <w:rPr>
                <w:rFonts w:ascii="Times New Roman" w:hAnsi="Times New Roman"/>
                <w:b/>
                <w:sz w:val="17"/>
              </w:rPr>
              <w:t>Denoising-ROC ↑</w:t>
            </w:r>
          </w:p>
        </w:tc>
      </w:tr>
      <w:tr>
        <w:tc>
          <w:tcPr>
            <w:tcW w:type="dxa" w:w="936"/>
          </w:tcPr>
          <w:p>
            <w:r>
              <w:rPr>
                <w:rFonts w:ascii="Times New Roman" w:hAnsi="Times New Roman"/>
                <w:sz w:val="17"/>
              </w:rPr>
              <w:t>Uncalibrated NeuMF</w:t>
            </w:r>
          </w:p>
        </w:tc>
        <w:tc>
          <w:tcPr>
            <w:tcW w:type="dxa" w:w="936"/>
          </w:tcPr>
          <w:p>
            <w:r>
              <w:rPr>
                <w:rFonts w:ascii="Times New Roman" w:hAnsi="Times New Roman"/>
                <w:sz w:val="17"/>
              </w:rPr>
              <w:t>0.1547 ± 0.0087</w:t>
            </w:r>
          </w:p>
        </w:tc>
        <w:tc>
          <w:tcPr>
            <w:tcW w:type="dxa" w:w="936"/>
          </w:tcPr>
          <w:p>
            <w:r>
              <w:rPr>
                <w:rFonts w:ascii="Times New Roman" w:hAnsi="Times New Roman"/>
                <w:sz w:val="17"/>
              </w:rPr>
              <w:t>0.0744 ± 0.0035</w:t>
            </w:r>
          </w:p>
        </w:tc>
        <w:tc>
          <w:tcPr>
            <w:tcW w:type="dxa" w:w="936"/>
          </w:tcPr>
          <w:p>
            <w:r>
              <w:rPr>
                <w:rFonts w:ascii="Times New Roman" w:hAnsi="Times New Roman"/>
                <w:sz w:val="17"/>
              </w:rPr>
              <w:t>0.1805 ± 0.0030</w:t>
            </w:r>
          </w:p>
        </w:tc>
        <w:tc>
          <w:tcPr>
            <w:tcW w:type="dxa" w:w="936"/>
          </w:tcPr>
          <w:p>
            <w:r>
              <w:rPr>
                <w:rFonts w:ascii="Times New Roman" w:hAnsi="Times New Roman"/>
                <w:sz w:val="17"/>
              </w:rPr>
              <w:t>0.1902 ± 0.0037</w:t>
            </w:r>
          </w:p>
        </w:tc>
        <w:tc>
          <w:tcPr>
            <w:tcW w:type="dxa" w:w="936"/>
          </w:tcPr>
          <w:p>
            <w:r>
              <w:rPr>
                <w:rFonts w:ascii="Times New Roman" w:hAnsi="Times New Roman"/>
                <w:sz w:val="17"/>
              </w:rPr>
              <w:t>0.1949</w:t>
            </w:r>
          </w:p>
        </w:tc>
        <w:tc>
          <w:tcPr>
            <w:tcW w:type="dxa" w:w="936"/>
          </w:tcPr>
          <w:p>
            <w:r>
              <w:rPr>
                <w:rFonts w:ascii="Times New Roman" w:hAnsi="Times New Roman"/>
                <w:sz w:val="17"/>
              </w:rPr>
              <w:t>0.1936 ± 0.0023</w:t>
            </w:r>
          </w:p>
        </w:tc>
        <w:tc>
          <w:tcPr>
            <w:tcW w:type="dxa" w:w="936"/>
          </w:tcPr>
          <w:p>
            <w:r>
              <w:rPr>
                <w:rFonts w:ascii="Times New Roman" w:hAnsi="Times New Roman"/>
                <w:sz w:val="17"/>
              </w:rPr>
              <w:t>1.0000 ± 0.0000</w:t>
            </w:r>
          </w:p>
        </w:tc>
        <w:tc>
          <w:tcPr>
            <w:tcW w:type="dxa" w:w="936"/>
          </w:tcPr>
          <w:p>
            <w:r>
              <w:rPr>
                <w:rFonts w:ascii="Times New Roman" w:hAnsi="Times New Roman"/>
                <w:sz w:val="17"/>
              </w:rPr>
              <w:t>12.3179</w:t>
            </w:r>
          </w:p>
        </w:tc>
        <w:tc>
          <w:tcPr>
            <w:tcW w:type="dxa" w:w="936"/>
          </w:tcPr>
          <w:p>
            <w:r>
              <w:rPr>
                <w:rFonts w:ascii="Times New Roman" w:hAnsi="Times New Roman"/>
                <w:sz w:val="17"/>
              </w:rPr>
              <w:t>0.5000 ± 0.0000</w:t>
            </w:r>
          </w:p>
        </w:tc>
      </w:tr>
      <w:tr>
        <w:tc>
          <w:tcPr>
            <w:tcW w:type="dxa" w:w="936"/>
          </w:tcPr>
          <w:p>
            <w:r>
              <w:rPr>
                <w:rFonts w:ascii="Times New Roman" w:hAnsi="Times New Roman"/>
                <w:sz w:val="17"/>
              </w:rPr>
              <w:t>Clean Vanilla SUPER</w:t>
            </w:r>
          </w:p>
        </w:tc>
        <w:tc>
          <w:tcPr>
            <w:tcW w:type="dxa" w:w="936"/>
          </w:tcPr>
          <w:p>
            <w:r>
              <w:rPr>
                <w:rFonts w:ascii="Times New Roman" w:hAnsi="Times New Roman"/>
                <w:sz w:val="17"/>
              </w:rPr>
              <w:t>0.2320 ± 0.0128</w:t>
            </w:r>
          </w:p>
        </w:tc>
        <w:tc>
          <w:tcPr>
            <w:tcW w:type="dxa" w:w="936"/>
          </w:tcPr>
          <w:p>
            <w:r>
              <w:rPr>
                <w:rFonts w:ascii="Times New Roman" w:hAnsi="Times New Roman"/>
                <w:sz w:val="17"/>
              </w:rPr>
              <w:t>0.1048 ± 0.0109</w:t>
            </w:r>
          </w:p>
        </w:tc>
        <w:tc>
          <w:tcPr>
            <w:tcW w:type="dxa" w:w="936"/>
          </w:tcPr>
          <w:p>
            <w:r>
              <w:rPr>
                <w:rFonts w:ascii="Times New Roman" w:hAnsi="Times New Roman"/>
                <w:sz w:val="17"/>
              </w:rPr>
              <w:t>0.1110 ± 0.0057</w:t>
            </w:r>
          </w:p>
        </w:tc>
        <w:tc>
          <w:tcPr>
            <w:tcW w:type="dxa" w:w="936"/>
          </w:tcPr>
          <w:p>
            <w:r>
              <w:rPr>
                <w:rFonts w:ascii="Times New Roman" w:hAnsi="Times New Roman"/>
                <w:sz w:val="17"/>
              </w:rPr>
              <w:t>0.1153 ± 0.0035</w:t>
            </w:r>
          </w:p>
        </w:tc>
        <w:tc>
          <w:tcPr>
            <w:tcW w:type="dxa" w:w="936"/>
          </w:tcPr>
          <w:p>
            <w:r>
              <w:rPr>
                <w:rFonts w:ascii="Times New Roman" w:hAnsi="Times New Roman"/>
                <w:sz w:val="17"/>
              </w:rPr>
              <w:t>0.1428</w:t>
            </w:r>
          </w:p>
        </w:tc>
        <w:tc>
          <w:tcPr>
            <w:tcW w:type="dxa" w:w="936"/>
          </w:tcPr>
          <w:p>
            <w:r>
              <w:rPr>
                <w:rFonts w:ascii="Times New Roman" w:hAnsi="Times New Roman"/>
                <w:sz w:val="17"/>
              </w:rPr>
              <w:t>0.1419 ± 0.0078</w:t>
            </w:r>
          </w:p>
        </w:tc>
        <w:tc>
          <w:tcPr>
            <w:tcW w:type="dxa" w:w="936"/>
          </w:tcPr>
          <w:p>
            <w:r>
              <w:rPr>
                <w:rFonts w:ascii="Times New Roman" w:hAnsi="Times New Roman"/>
                <w:sz w:val="17"/>
              </w:rPr>
              <w:t>0.7200 ± 0.3899</w:t>
            </w:r>
          </w:p>
        </w:tc>
        <w:tc>
          <w:tcPr>
            <w:tcW w:type="dxa" w:w="936"/>
          </w:tcPr>
          <w:p>
            <w:r>
              <w:rPr>
                <w:rFonts w:ascii="Times New Roman" w:hAnsi="Times New Roman"/>
                <w:sz w:val="17"/>
              </w:rPr>
              <w:t>11.7230</w:t>
            </w:r>
          </w:p>
        </w:tc>
        <w:tc>
          <w:tcPr>
            <w:tcW w:type="dxa" w:w="936"/>
          </w:tcPr>
          <w:p>
            <w:r>
              <w:rPr>
                <w:rFonts w:ascii="Times New Roman" w:hAnsi="Times New Roman"/>
                <w:sz w:val="17"/>
              </w:rPr>
              <w:t>0.5000 ± 0.0000</w:t>
            </w:r>
          </w:p>
        </w:tc>
      </w:tr>
      <w:tr>
        <w:tc>
          <w:tcPr>
            <w:tcW w:type="dxa" w:w="936"/>
          </w:tcPr>
          <w:p>
            <w:r>
              <w:rPr>
                <w:rFonts w:ascii="Times New Roman" w:hAnsi="Times New Roman"/>
                <w:sz w:val="17"/>
              </w:rPr>
              <w:t>Attacked Vanilla SUPER</w:t>
            </w:r>
          </w:p>
        </w:tc>
        <w:tc>
          <w:tcPr>
            <w:tcW w:type="dxa" w:w="936"/>
          </w:tcPr>
          <w:p>
            <w:r>
              <w:rPr>
                <w:rFonts w:ascii="Times New Roman" w:hAnsi="Times New Roman"/>
                <w:sz w:val="17"/>
              </w:rPr>
              <w:t>0.2147 ± 0.0119</w:t>
            </w:r>
          </w:p>
        </w:tc>
        <w:tc>
          <w:tcPr>
            <w:tcW w:type="dxa" w:w="936"/>
          </w:tcPr>
          <w:p>
            <w:r>
              <w:rPr>
                <w:rFonts w:ascii="Times New Roman" w:hAnsi="Times New Roman"/>
                <w:sz w:val="17"/>
              </w:rPr>
              <w:t>0.1002 ± 0.0121</w:t>
            </w:r>
          </w:p>
        </w:tc>
        <w:tc>
          <w:tcPr>
            <w:tcW w:type="dxa" w:w="936"/>
          </w:tcPr>
          <w:p>
            <w:r>
              <w:rPr>
                <w:rFonts w:ascii="Times New Roman" w:hAnsi="Times New Roman"/>
                <w:sz w:val="17"/>
              </w:rPr>
              <w:t>0.1111 ± 0.0044</w:t>
            </w:r>
          </w:p>
        </w:tc>
        <w:tc>
          <w:tcPr>
            <w:tcW w:type="dxa" w:w="936"/>
          </w:tcPr>
          <w:p>
            <w:r>
              <w:rPr>
                <w:rFonts w:ascii="Times New Roman" w:hAnsi="Times New Roman"/>
                <w:sz w:val="17"/>
              </w:rPr>
              <w:t>0.1159 ± 0.0029</w:t>
            </w:r>
          </w:p>
        </w:tc>
        <w:tc>
          <w:tcPr>
            <w:tcW w:type="dxa" w:w="936"/>
          </w:tcPr>
          <w:p>
            <w:r>
              <w:rPr>
                <w:rFonts w:ascii="Times New Roman" w:hAnsi="Times New Roman"/>
                <w:sz w:val="17"/>
              </w:rPr>
              <w:t>0.1575</w:t>
            </w:r>
          </w:p>
        </w:tc>
        <w:tc>
          <w:tcPr>
            <w:tcW w:type="dxa" w:w="936"/>
          </w:tcPr>
          <w:p>
            <w:r>
              <w:rPr>
                <w:rFonts w:ascii="Times New Roman" w:hAnsi="Times New Roman"/>
                <w:sz w:val="17"/>
              </w:rPr>
              <w:t>0.1563 ± 0.0136</w:t>
            </w:r>
          </w:p>
        </w:tc>
        <w:tc>
          <w:tcPr>
            <w:tcW w:type="dxa" w:w="936"/>
          </w:tcPr>
          <w:p>
            <w:r>
              <w:rPr>
                <w:rFonts w:ascii="Times New Roman" w:hAnsi="Times New Roman"/>
                <w:sz w:val="17"/>
              </w:rPr>
              <w:t>0.8800 ± 0.2683</w:t>
            </w:r>
          </w:p>
        </w:tc>
        <w:tc>
          <w:tcPr>
            <w:tcW w:type="dxa" w:w="936"/>
          </w:tcPr>
          <w:p>
            <w:r>
              <w:rPr>
                <w:rFonts w:ascii="Times New Roman" w:hAnsi="Times New Roman"/>
                <w:sz w:val="17"/>
              </w:rPr>
              <w:t>11.7218</w:t>
            </w:r>
          </w:p>
        </w:tc>
        <w:tc>
          <w:tcPr>
            <w:tcW w:type="dxa" w:w="936"/>
          </w:tcPr>
          <w:p>
            <w:r>
              <w:rPr>
                <w:rFonts w:ascii="Times New Roman" w:hAnsi="Times New Roman"/>
                <w:sz w:val="17"/>
              </w:rPr>
              <w:t>0.5000 ± 0.0000</w:t>
            </w:r>
          </w:p>
        </w:tc>
      </w:tr>
      <w:tr>
        <w:tc>
          <w:tcPr>
            <w:tcW w:type="dxa" w:w="936"/>
            <w:shd w:val="clear" w:color="auto" w:fill="E8F4E8"/>
          </w:tcPr>
          <w:p>
            <w:r>
              <w:rPr>
                <w:rFonts w:ascii="Times New Roman" w:hAnsi="Times New Roman"/>
                <w:sz w:val="17"/>
              </w:rPr>
              <w:t>RRFN-LLM-SUPER (Ours)</w:t>
            </w:r>
          </w:p>
        </w:tc>
        <w:tc>
          <w:tcPr>
            <w:tcW w:type="dxa" w:w="936"/>
            <w:shd w:val="clear" w:color="auto" w:fill="E8F4E8"/>
          </w:tcPr>
          <w:p>
            <w:r>
              <w:rPr>
                <w:rFonts w:ascii="Times New Roman" w:hAnsi="Times New Roman"/>
                <w:sz w:val="17"/>
              </w:rPr>
              <w:t>0.2307 ± 0.0153*</w:t>
            </w:r>
          </w:p>
        </w:tc>
        <w:tc>
          <w:tcPr>
            <w:tcW w:type="dxa" w:w="936"/>
            <w:shd w:val="clear" w:color="auto" w:fill="E8F4E8"/>
          </w:tcPr>
          <w:p>
            <w:r>
              <w:rPr>
                <w:rFonts w:ascii="Times New Roman" w:hAnsi="Times New Roman"/>
                <w:sz w:val="17"/>
              </w:rPr>
              <w:t>0.1036 ± 0.0113</w:t>
            </w:r>
          </w:p>
        </w:tc>
        <w:tc>
          <w:tcPr>
            <w:tcW w:type="dxa" w:w="936"/>
            <w:shd w:val="clear" w:color="auto" w:fill="E8F4E8"/>
          </w:tcPr>
          <w:p>
            <w:r>
              <w:rPr>
                <w:rFonts w:ascii="Times New Roman" w:hAnsi="Times New Roman"/>
                <w:sz w:val="17"/>
              </w:rPr>
              <w:t>0.1067 ± 0.0056*</w:t>
            </w:r>
          </w:p>
        </w:tc>
        <w:tc>
          <w:tcPr>
            <w:tcW w:type="dxa" w:w="936"/>
            <w:shd w:val="clear" w:color="auto" w:fill="E8F4E8"/>
          </w:tcPr>
          <w:p>
            <w:r>
              <w:rPr>
                <w:rFonts w:ascii="Times New Roman" w:hAnsi="Times New Roman"/>
                <w:sz w:val="17"/>
              </w:rPr>
              <w:t>0.1128 ± 0.0034*</w:t>
            </w:r>
          </w:p>
        </w:tc>
        <w:tc>
          <w:tcPr>
            <w:tcW w:type="dxa" w:w="936"/>
            <w:shd w:val="clear" w:color="auto" w:fill="E8F4E8"/>
          </w:tcPr>
          <w:p>
            <w:r>
              <w:rPr>
                <w:rFonts w:ascii="Times New Roman" w:hAnsi="Times New Roman"/>
                <w:sz w:val="17"/>
              </w:rPr>
              <w:t>0.1430</w:t>
            </w:r>
          </w:p>
        </w:tc>
        <w:tc>
          <w:tcPr>
            <w:tcW w:type="dxa" w:w="936"/>
            <w:shd w:val="clear" w:color="auto" w:fill="E8F4E8"/>
          </w:tcPr>
          <w:p>
            <w:r>
              <w:rPr>
                <w:rFonts w:ascii="Times New Roman" w:hAnsi="Times New Roman"/>
                <w:sz w:val="17"/>
              </w:rPr>
              <w:t>0.1421 ± 0.0079</w:t>
            </w:r>
          </w:p>
        </w:tc>
        <w:tc>
          <w:tcPr>
            <w:tcW w:type="dxa" w:w="936"/>
            <w:shd w:val="clear" w:color="auto" w:fill="E8F4E8"/>
          </w:tcPr>
          <w:p>
            <w:r>
              <w:rPr>
                <w:rFonts w:ascii="Times New Roman" w:hAnsi="Times New Roman"/>
                <w:sz w:val="17"/>
              </w:rPr>
              <w:t>0.7200 ± 0.3899*</w:t>
            </w:r>
          </w:p>
        </w:tc>
        <w:tc>
          <w:tcPr>
            <w:tcW w:type="dxa" w:w="936"/>
            <w:shd w:val="clear" w:color="auto" w:fill="E8F4E8"/>
          </w:tcPr>
          <w:p>
            <w:r>
              <w:rPr>
                <w:rFonts w:ascii="Times New Roman" w:hAnsi="Times New Roman"/>
                <w:sz w:val="17"/>
              </w:rPr>
              <w:t>11.6751</w:t>
            </w:r>
          </w:p>
        </w:tc>
        <w:tc>
          <w:tcPr>
            <w:tcW w:type="dxa" w:w="936"/>
            <w:shd w:val="clear" w:color="auto" w:fill="E8F4E8"/>
          </w:tcPr>
          <w:p>
            <w:r>
              <w:rPr>
                <w:rFonts w:ascii="Times New Roman" w:hAnsi="Times New Roman"/>
                <w:sz w:val="17"/>
              </w:rPr>
              <w:t>0.7931 ± 0.0038*</w:t>
            </w:r>
          </w:p>
        </w:tc>
      </w:tr>
    </w:tbl>
    <w:p>
      <w:pPr>
        <w:pStyle w:val="Heading3"/>
      </w:pPr>
      <w:r>
        <w:t>Table IV: Empirical 5-Seed Multi-Domain Benchmark Comparison on Amazon Reviews (SimGCL) and Yelp Academic (SGL) under 15% Bandwagon Attack</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E0E8F0"/>
          </w:tcPr>
          <w:p>
            <w:r>
              <w:rPr>
                <w:rFonts w:ascii="Times New Roman" w:hAnsi="Times New Roman"/>
                <w:b/>
                <w:sz w:val="17"/>
              </w:rPr>
              <w:t>Domain / Model</w:t>
            </w:r>
          </w:p>
        </w:tc>
        <w:tc>
          <w:tcPr>
            <w:tcW w:type="dxa" w:w="936"/>
            <w:shd w:val="clear" w:color="auto" w:fill="E0E8F0"/>
          </w:tcPr>
          <w:p>
            <w:r>
              <w:rPr>
                <w:rFonts w:ascii="Times New Roman" w:hAnsi="Times New Roman"/>
                <w:b/>
                <w:sz w:val="17"/>
              </w:rPr>
              <w:t>Recall@10 ↑</w:t>
            </w:r>
          </w:p>
        </w:tc>
        <w:tc>
          <w:tcPr>
            <w:tcW w:type="dxa" w:w="936"/>
            <w:shd w:val="clear" w:color="auto" w:fill="E0E8F0"/>
          </w:tcPr>
          <w:p>
            <w:r>
              <w:rPr>
                <w:rFonts w:ascii="Times New Roman" w:hAnsi="Times New Roman"/>
                <w:b/>
                <w:sz w:val="17"/>
              </w:rPr>
              <w:t>nDCG@10 ↑</w:t>
            </w:r>
          </w:p>
        </w:tc>
        <w:tc>
          <w:tcPr>
            <w:tcW w:type="dxa" w:w="936"/>
            <w:shd w:val="clear" w:color="auto" w:fill="E0E8F0"/>
          </w:tcPr>
          <w:p>
            <w:r>
              <w:rPr>
                <w:rFonts w:ascii="Times New Roman" w:hAnsi="Times New Roman"/>
                <w:b/>
                <w:sz w:val="17"/>
              </w:rPr>
              <w:t>RMSE-PC ↓</w:t>
            </w:r>
          </w:p>
        </w:tc>
        <w:tc>
          <w:tcPr>
            <w:tcW w:type="dxa" w:w="936"/>
            <w:shd w:val="clear" w:color="auto" w:fill="E0E8F0"/>
          </w:tcPr>
          <w:p>
            <w:r>
              <w:rPr>
                <w:rFonts w:ascii="Times New Roman" w:hAnsi="Times New Roman"/>
                <w:b/>
                <w:sz w:val="17"/>
              </w:rPr>
              <w:t>MRMC ↓</w:t>
            </w:r>
          </w:p>
        </w:tc>
        <w:tc>
          <w:tcPr>
            <w:tcW w:type="dxa" w:w="936"/>
            <w:shd w:val="clear" w:color="auto" w:fill="E0E8F0"/>
          </w:tcPr>
          <w:p>
            <w:r>
              <w:rPr>
                <w:rFonts w:ascii="Times New Roman" w:hAnsi="Times New Roman"/>
                <w:b/>
                <w:sz w:val="17"/>
              </w:rPr>
              <w:t>Raw LTC@10</w:t>
            </w:r>
          </w:p>
        </w:tc>
        <w:tc>
          <w:tcPr>
            <w:tcW w:type="dxa" w:w="936"/>
            <w:shd w:val="clear" w:color="auto" w:fill="E0E8F0"/>
          </w:tcPr>
          <w:p>
            <w:r>
              <w:rPr>
                <w:rFonts w:ascii="Times New Roman" w:hAnsi="Times New Roman"/>
                <w:b/>
                <w:sz w:val="17"/>
              </w:rPr>
              <w:t>g-LTC@10 ↑</w:t>
            </w:r>
          </w:p>
        </w:tc>
        <w:tc>
          <w:tcPr>
            <w:tcW w:type="dxa" w:w="936"/>
            <w:shd w:val="clear" w:color="auto" w:fill="E0E8F0"/>
          </w:tcPr>
          <w:p>
            <w:r>
              <w:rPr>
                <w:rFonts w:ascii="Times New Roman" w:hAnsi="Times New Roman"/>
                <w:b/>
                <w:sz w:val="17"/>
              </w:rPr>
              <w:t>STER@10 ↓</w:t>
            </w:r>
          </w:p>
        </w:tc>
        <w:tc>
          <w:tcPr>
            <w:tcW w:type="dxa" w:w="936"/>
            <w:shd w:val="clear" w:color="auto" w:fill="E0E8F0"/>
          </w:tcPr>
          <w:p>
            <w:r>
              <w:rPr>
                <w:rFonts w:ascii="Times New Roman" w:hAnsi="Times New Roman"/>
                <w:b/>
                <w:sz w:val="17"/>
              </w:rPr>
              <w:t>Novelty ↑</w:t>
            </w:r>
          </w:p>
        </w:tc>
        <w:tc>
          <w:tcPr>
            <w:tcW w:type="dxa" w:w="936"/>
            <w:shd w:val="clear" w:color="auto" w:fill="E0E8F0"/>
          </w:tcPr>
          <w:p>
            <w:r>
              <w:rPr>
                <w:rFonts w:ascii="Times New Roman" w:hAnsi="Times New Roman"/>
                <w:b/>
                <w:sz w:val="17"/>
              </w:rPr>
              <w:t>Denoising-ROC ↑</w:t>
            </w:r>
          </w:p>
        </w:tc>
      </w:tr>
      <w:tr>
        <w:tc>
          <w:tcPr>
            <w:tcW w:type="dxa" w:w="936"/>
          </w:tcPr>
          <w:p>
            <w:r>
              <w:rPr>
                <w:rFonts w:ascii="Times New Roman" w:hAnsi="Times New Roman"/>
                <w:sz w:val="17"/>
              </w:rPr>
              <w:t>Amazon: Attacked Vanilla SUPER</w:t>
            </w:r>
          </w:p>
        </w:tc>
        <w:tc>
          <w:tcPr>
            <w:tcW w:type="dxa" w:w="936"/>
          </w:tcPr>
          <w:p>
            <w:r>
              <w:rPr>
                <w:rFonts w:ascii="Times New Roman" w:hAnsi="Times New Roman"/>
                <w:sz w:val="17"/>
              </w:rPr>
              <w:t>0.2967 ± 0.0721</w:t>
            </w:r>
          </w:p>
        </w:tc>
        <w:tc>
          <w:tcPr>
            <w:tcW w:type="dxa" w:w="936"/>
          </w:tcPr>
          <w:p>
            <w:r>
              <w:rPr>
                <w:rFonts w:ascii="Times New Roman" w:hAnsi="Times New Roman"/>
                <w:sz w:val="17"/>
              </w:rPr>
              <w:t>0.1326 ± 0.0425</w:t>
            </w:r>
          </w:p>
        </w:tc>
        <w:tc>
          <w:tcPr>
            <w:tcW w:type="dxa" w:w="936"/>
          </w:tcPr>
          <w:p>
            <w:r>
              <w:rPr>
                <w:rFonts w:ascii="Times New Roman" w:hAnsi="Times New Roman"/>
                <w:sz w:val="17"/>
              </w:rPr>
              <w:t>0.1605 ± 0.0068</w:t>
            </w:r>
          </w:p>
        </w:tc>
        <w:tc>
          <w:tcPr>
            <w:tcW w:type="dxa" w:w="936"/>
          </w:tcPr>
          <w:p>
            <w:r>
              <w:rPr>
                <w:rFonts w:ascii="Times New Roman" w:hAnsi="Times New Roman"/>
                <w:sz w:val="17"/>
              </w:rPr>
              <w:t>0.1353 ± 0.0068</w:t>
            </w:r>
          </w:p>
        </w:tc>
        <w:tc>
          <w:tcPr>
            <w:tcW w:type="dxa" w:w="936"/>
          </w:tcPr>
          <w:p>
            <w:r>
              <w:rPr>
                <w:rFonts w:ascii="Times New Roman" w:hAnsi="Times New Roman"/>
                <w:sz w:val="17"/>
              </w:rPr>
              <w:t>0.4526</w:t>
            </w:r>
          </w:p>
        </w:tc>
        <w:tc>
          <w:tcPr>
            <w:tcW w:type="dxa" w:w="936"/>
          </w:tcPr>
          <w:p>
            <w:r>
              <w:rPr>
                <w:rFonts w:ascii="Times New Roman" w:hAnsi="Times New Roman"/>
                <w:sz w:val="17"/>
              </w:rPr>
              <w:t>0.4506 ± 0.1275</w:t>
            </w:r>
          </w:p>
        </w:tc>
        <w:tc>
          <w:tcPr>
            <w:tcW w:type="dxa" w:w="936"/>
          </w:tcPr>
          <w:p>
            <w:r>
              <w:rPr>
                <w:rFonts w:ascii="Times New Roman" w:hAnsi="Times New Roman"/>
                <w:sz w:val="17"/>
              </w:rPr>
              <w:t>0.4800 ± 0.3899</w:t>
            </w:r>
          </w:p>
        </w:tc>
        <w:tc>
          <w:tcPr>
            <w:tcW w:type="dxa" w:w="936"/>
          </w:tcPr>
          <w:p>
            <w:r>
              <w:rPr>
                <w:rFonts w:ascii="Times New Roman" w:hAnsi="Times New Roman"/>
                <w:sz w:val="17"/>
              </w:rPr>
              <w:t>6.4207</w:t>
            </w:r>
          </w:p>
        </w:tc>
        <w:tc>
          <w:tcPr>
            <w:tcW w:type="dxa" w:w="936"/>
          </w:tcPr>
          <w:p>
            <w:r>
              <w:rPr>
                <w:rFonts w:ascii="Times New Roman" w:hAnsi="Times New Roman"/>
                <w:sz w:val="17"/>
              </w:rPr>
              <w:t>0.5000 ± 0.0000</w:t>
            </w:r>
          </w:p>
        </w:tc>
      </w:tr>
      <w:tr>
        <w:tc>
          <w:tcPr>
            <w:tcW w:type="dxa" w:w="936"/>
            <w:shd w:val="clear" w:color="auto" w:fill="E8F4E8"/>
          </w:tcPr>
          <w:p>
            <w:r>
              <w:rPr>
                <w:rFonts w:ascii="Times New Roman" w:hAnsi="Times New Roman"/>
                <w:sz w:val="17"/>
              </w:rPr>
              <w:t>Amazon: RRFN-LLM-SUPER (Ours)</w:t>
            </w:r>
          </w:p>
        </w:tc>
        <w:tc>
          <w:tcPr>
            <w:tcW w:type="dxa" w:w="936"/>
            <w:shd w:val="clear" w:color="auto" w:fill="E8F4E8"/>
          </w:tcPr>
          <w:p>
            <w:r>
              <w:rPr>
                <w:rFonts w:ascii="Times New Roman" w:hAnsi="Times New Roman"/>
                <w:sz w:val="17"/>
              </w:rPr>
              <w:t>0.2600 ± 0.0149</w:t>
            </w:r>
          </w:p>
        </w:tc>
        <w:tc>
          <w:tcPr>
            <w:tcW w:type="dxa" w:w="936"/>
            <w:shd w:val="clear" w:color="auto" w:fill="E8F4E8"/>
          </w:tcPr>
          <w:p>
            <w:r>
              <w:rPr>
                <w:rFonts w:ascii="Times New Roman" w:hAnsi="Times New Roman"/>
                <w:sz w:val="17"/>
              </w:rPr>
              <w:t>0.1051 ± 0.0087</w:t>
            </w:r>
          </w:p>
        </w:tc>
        <w:tc>
          <w:tcPr>
            <w:tcW w:type="dxa" w:w="936"/>
            <w:shd w:val="clear" w:color="auto" w:fill="E8F4E8"/>
          </w:tcPr>
          <w:p>
            <w:r>
              <w:rPr>
                <w:rFonts w:ascii="Times New Roman" w:hAnsi="Times New Roman"/>
                <w:sz w:val="17"/>
              </w:rPr>
              <w:t>0.1459 ± 0.0050*</w:t>
            </w:r>
          </w:p>
        </w:tc>
        <w:tc>
          <w:tcPr>
            <w:tcW w:type="dxa" w:w="936"/>
            <w:shd w:val="clear" w:color="auto" w:fill="E8F4E8"/>
          </w:tcPr>
          <w:p>
            <w:r>
              <w:rPr>
                <w:rFonts w:ascii="Times New Roman" w:hAnsi="Times New Roman"/>
                <w:sz w:val="17"/>
              </w:rPr>
              <w:t>0.1325 ± 0.0038*</w:t>
            </w:r>
          </w:p>
        </w:tc>
        <w:tc>
          <w:tcPr>
            <w:tcW w:type="dxa" w:w="936"/>
            <w:shd w:val="clear" w:color="auto" w:fill="E8F4E8"/>
          </w:tcPr>
          <w:p>
            <w:r>
              <w:rPr>
                <w:rFonts w:ascii="Times New Roman" w:hAnsi="Times New Roman"/>
                <w:sz w:val="17"/>
              </w:rPr>
              <w:t>0.5079</w:t>
            </w:r>
          </w:p>
        </w:tc>
        <w:tc>
          <w:tcPr>
            <w:tcW w:type="dxa" w:w="936"/>
            <w:shd w:val="clear" w:color="auto" w:fill="E8F4E8"/>
          </w:tcPr>
          <w:p>
            <w:r>
              <w:rPr>
                <w:rFonts w:ascii="Times New Roman" w:hAnsi="Times New Roman"/>
                <w:sz w:val="17"/>
              </w:rPr>
              <w:t>0.5155 ± 0.0807*</w:t>
            </w:r>
          </w:p>
        </w:tc>
        <w:tc>
          <w:tcPr>
            <w:tcW w:type="dxa" w:w="936"/>
            <w:shd w:val="clear" w:color="auto" w:fill="E8F4E8"/>
          </w:tcPr>
          <w:p>
            <w:r>
              <w:rPr>
                <w:rFonts w:ascii="Times New Roman" w:hAnsi="Times New Roman"/>
                <w:sz w:val="17"/>
              </w:rPr>
              <w:t>0.4000 ± 0.1414*</w:t>
            </w:r>
          </w:p>
        </w:tc>
        <w:tc>
          <w:tcPr>
            <w:tcW w:type="dxa" w:w="936"/>
            <w:shd w:val="clear" w:color="auto" w:fill="E8F4E8"/>
          </w:tcPr>
          <w:p>
            <w:r>
              <w:rPr>
                <w:rFonts w:ascii="Times New Roman" w:hAnsi="Times New Roman"/>
                <w:sz w:val="17"/>
              </w:rPr>
              <w:t>6.4677</w:t>
            </w:r>
          </w:p>
        </w:tc>
        <w:tc>
          <w:tcPr>
            <w:tcW w:type="dxa" w:w="936"/>
            <w:shd w:val="clear" w:color="auto" w:fill="E8F4E8"/>
          </w:tcPr>
          <w:p>
            <w:r>
              <w:rPr>
                <w:rFonts w:ascii="Times New Roman" w:hAnsi="Times New Roman"/>
                <w:sz w:val="17"/>
              </w:rPr>
              <w:t>0.7867 ± 0.0208*</w:t>
            </w:r>
          </w:p>
        </w:tc>
      </w:tr>
      <w:tr>
        <w:tc>
          <w:tcPr>
            <w:tcW w:type="dxa" w:w="936"/>
          </w:tcPr>
          <w:p>
            <w:r>
              <w:rPr>
                <w:rFonts w:ascii="Times New Roman" w:hAnsi="Times New Roman"/>
                <w:sz w:val="17"/>
              </w:rPr>
              <w:t>Yelp: Attacked Vanilla SUPER</w:t>
            </w:r>
          </w:p>
        </w:tc>
        <w:tc>
          <w:tcPr>
            <w:tcW w:type="dxa" w:w="936"/>
          </w:tcPr>
          <w:p>
            <w:r>
              <w:rPr>
                <w:rFonts w:ascii="Times New Roman" w:hAnsi="Times New Roman"/>
                <w:sz w:val="17"/>
              </w:rPr>
              <w:t>0.2400 ± 0.0120</w:t>
            </w:r>
          </w:p>
        </w:tc>
        <w:tc>
          <w:tcPr>
            <w:tcW w:type="dxa" w:w="936"/>
          </w:tcPr>
          <w:p>
            <w:r>
              <w:rPr>
                <w:rFonts w:ascii="Times New Roman" w:hAnsi="Times New Roman"/>
                <w:sz w:val="17"/>
              </w:rPr>
              <w:t>0.1169 ± 0.0197</w:t>
            </w:r>
          </w:p>
        </w:tc>
        <w:tc>
          <w:tcPr>
            <w:tcW w:type="dxa" w:w="936"/>
          </w:tcPr>
          <w:p>
            <w:r>
              <w:rPr>
                <w:rFonts w:ascii="Times New Roman" w:hAnsi="Times New Roman"/>
                <w:sz w:val="17"/>
              </w:rPr>
              <w:t>0.1236 ± 0.0050</w:t>
            </w:r>
          </w:p>
        </w:tc>
        <w:tc>
          <w:tcPr>
            <w:tcW w:type="dxa" w:w="936"/>
          </w:tcPr>
          <w:p>
            <w:r>
              <w:rPr>
                <w:rFonts w:ascii="Times New Roman" w:hAnsi="Times New Roman"/>
                <w:sz w:val="17"/>
              </w:rPr>
              <w:t>0.1164 ± 0.0019</w:t>
            </w:r>
          </w:p>
        </w:tc>
        <w:tc>
          <w:tcPr>
            <w:tcW w:type="dxa" w:w="936"/>
          </w:tcPr>
          <w:p>
            <w:r>
              <w:rPr>
                <w:rFonts w:ascii="Times New Roman" w:hAnsi="Times New Roman"/>
                <w:sz w:val="17"/>
              </w:rPr>
              <w:t>0.3511</w:t>
            </w:r>
          </w:p>
        </w:tc>
        <w:tc>
          <w:tcPr>
            <w:tcW w:type="dxa" w:w="936"/>
          </w:tcPr>
          <w:p>
            <w:r>
              <w:rPr>
                <w:rFonts w:ascii="Times New Roman" w:hAnsi="Times New Roman"/>
                <w:sz w:val="17"/>
              </w:rPr>
              <w:t>0.3371 ± 0.0693</w:t>
            </w:r>
          </w:p>
        </w:tc>
        <w:tc>
          <w:tcPr>
            <w:tcW w:type="dxa" w:w="936"/>
          </w:tcPr>
          <w:p>
            <w:r>
              <w:rPr>
                <w:rFonts w:ascii="Times New Roman" w:hAnsi="Times New Roman"/>
                <w:sz w:val="17"/>
              </w:rPr>
              <w:t>0.6000 ± 0.2449</w:t>
            </w:r>
          </w:p>
        </w:tc>
        <w:tc>
          <w:tcPr>
            <w:tcW w:type="dxa" w:w="936"/>
          </w:tcPr>
          <w:p>
            <w:r>
              <w:rPr>
                <w:rFonts w:ascii="Times New Roman" w:hAnsi="Times New Roman"/>
                <w:sz w:val="17"/>
              </w:rPr>
              <w:t>6.5618</w:t>
            </w:r>
          </w:p>
        </w:tc>
        <w:tc>
          <w:tcPr>
            <w:tcW w:type="dxa" w:w="936"/>
          </w:tcPr>
          <w:p>
            <w:r>
              <w:rPr>
                <w:rFonts w:ascii="Times New Roman" w:hAnsi="Times New Roman"/>
                <w:sz w:val="17"/>
              </w:rPr>
              <w:t>0.5000 ± 0.0000</w:t>
            </w:r>
          </w:p>
        </w:tc>
      </w:tr>
      <w:tr>
        <w:tc>
          <w:tcPr>
            <w:tcW w:type="dxa" w:w="936"/>
            <w:shd w:val="clear" w:color="auto" w:fill="E8F4E8"/>
          </w:tcPr>
          <w:p>
            <w:r>
              <w:rPr>
                <w:rFonts w:ascii="Times New Roman" w:hAnsi="Times New Roman"/>
                <w:sz w:val="17"/>
              </w:rPr>
              <w:t>Yelp: RRFN-LLM-SUPER (Ours)</w:t>
            </w:r>
          </w:p>
        </w:tc>
        <w:tc>
          <w:tcPr>
            <w:tcW w:type="dxa" w:w="936"/>
            <w:shd w:val="clear" w:color="auto" w:fill="E8F4E8"/>
          </w:tcPr>
          <w:p>
            <w:r>
              <w:rPr>
                <w:rFonts w:ascii="Times New Roman" w:hAnsi="Times New Roman"/>
                <w:sz w:val="17"/>
              </w:rPr>
              <w:t>0.2229 ± 0.0386</w:t>
            </w:r>
          </w:p>
        </w:tc>
        <w:tc>
          <w:tcPr>
            <w:tcW w:type="dxa" w:w="936"/>
            <w:shd w:val="clear" w:color="auto" w:fill="E8F4E8"/>
          </w:tcPr>
          <w:p>
            <w:r>
              <w:rPr>
                <w:rFonts w:ascii="Times New Roman" w:hAnsi="Times New Roman"/>
                <w:sz w:val="17"/>
              </w:rPr>
              <w:t>0.1017 ± 0.0225</w:t>
            </w:r>
          </w:p>
        </w:tc>
        <w:tc>
          <w:tcPr>
            <w:tcW w:type="dxa" w:w="936"/>
            <w:shd w:val="clear" w:color="auto" w:fill="E8F4E8"/>
          </w:tcPr>
          <w:p>
            <w:r>
              <w:rPr>
                <w:rFonts w:ascii="Times New Roman" w:hAnsi="Times New Roman"/>
                <w:sz w:val="17"/>
              </w:rPr>
              <w:t>0.1090 ± 0.0004*</w:t>
            </w:r>
          </w:p>
        </w:tc>
        <w:tc>
          <w:tcPr>
            <w:tcW w:type="dxa" w:w="936"/>
            <w:shd w:val="clear" w:color="auto" w:fill="E8F4E8"/>
          </w:tcPr>
          <w:p>
            <w:r>
              <w:rPr>
                <w:rFonts w:ascii="Times New Roman" w:hAnsi="Times New Roman"/>
                <w:sz w:val="17"/>
              </w:rPr>
              <w:t>0.1106 ± 0.0013*</w:t>
            </w:r>
          </w:p>
        </w:tc>
        <w:tc>
          <w:tcPr>
            <w:tcW w:type="dxa" w:w="936"/>
            <w:shd w:val="clear" w:color="auto" w:fill="E8F4E8"/>
          </w:tcPr>
          <w:p>
            <w:r>
              <w:rPr>
                <w:rFonts w:ascii="Times New Roman" w:hAnsi="Times New Roman"/>
                <w:sz w:val="17"/>
              </w:rPr>
              <w:t>0.4298</w:t>
            </w:r>
          </w:p>
        </w:tc>
        <w:tc>
          <w:tcPr>
            <w:tcW w:type="dxa" w:w="936"/>
            <w:shd w:val="clear" w:color="auto" w:fill="E8F4E8"/>
          </w:tcPr>
          <w:p>
            <w:r>
              <w:rPr>
                <w:rFonts w:ascii="Times New Roman" w:hAnsi="Times New Roman"/>
                <w:sz w:val="17"/>
              </w:rPr>
              <w:t>0.4202 ± 0.0333*</w:t>
            </w:r>
          </w:p>
        </w:tc>
        <w:tc>
          <w:tcPr>
            <w:tcW w:type="dxa" w:w="936"/>
            <w:shd w:val="clear" w:color="auto" w:fill="E8F4E8"/>
          </w:tcPr>
          <w:p>
            <w:r>
              <w:rPr>
                <w:rFonts w:ascii="Times New Roman" w:hAnsi="Times New Roman"/>
                <w:sz w:val="17"/>
              </w:rPr>
              <w:t>0.6000 ± 0.2449</w:t>
            </w:r>
          </w:p>
        </w:tc>
        <w:tc>
          <w:tcPr>
            <w:tcW w:type="dxa" w:w="936"/>
            <w:shd w:val="clear" w:color="auto" w:fill="E8F4E8"/>
          </w:tcPr>
          <w:p>
            <w:r>
              <w:rPr>
                <w:rFonts w:ascii="Times New Roman" w:hAnsi="Times New Roman"/>
                <w:sz w:val="17"/>
              </w:rPr>
              <w:t>6.7742*</w:t>
            </w:r>
          </w:p>
        </w:tc>
        <w:tc>
          <w:tcPr>
            <w:tcW w:type="dxa" w:w="936"/>
            <w:shd w:val="clear" w:color="auto" w:fill="E8F4E8"/>
          </w:tcPr>
          <w:p>
            <w:r>
              <w:rPr>
                <w:rFonts w:ascii="Times New Roman" w:hAnsi="Times New Roman"/>
                <w:sz w:val="17"/>
              </w:rPr>
              <w:t>0.7961 ± 0.0232*</w:t>
            </w:r>
          </w:p>
        </w:tc>
      </w:tr>
    </w:tbl>
    <w:p>
      <w:pPr>
        <w:spacing w:before="160" w:after="80"/>
        <w:jc w:val="center"/>
      </w:pPr>
      <w:r>
        <w:drawing>
          <wp:inline xmlns:a="http://schemas.openxmlformats.org/drawingml/2006/main" xmlns:pic="http://schemas.openxmlformats.org/drawingml/2006/picture">
            <wp:extent cx="5486400" cy="2013073"/>
            <wp:docPr id="7" name="Picture 7"/>
            <wp:cNvGraphicFramePr>
              <a:graphicFrameLocks noChangeAspect="1"/>
            </wp:cNvGraphicFramePr>
            <a:graphic>
              <a:graphicData uri="http://schemas.openxmlformats.org/drawingml/2006/picture">
                <pic:pic>
                  <pic:nvPicPr>
                    <pic:cNvPr id="0" name="fig5_multidomain_radar.png"/>
                    <pic:cNvPicPr/>
                  </pic:nvPicPr>
                  <pic:blipFill>
                    <a:blip r:embed="rId15"/>
                    <a:stretch>
                      <a:fillRect/>
                    </a:stretch>
                  </pic:blipFill>
                  <pic:spPr>
                    <a:xfrm>
                      <a:off x="0" y="0"/>
                      <a:ext cx="5486400" cy="2013073"/>
                    </a:xfrm>
                    <a:prstGeom prst="rect"/>
                  </pic:spPr>
                </pic:pic>
              </a:graphicData>
            </a:graphic>
          </wp:inline>
        </w:drawing>
      </w:r>
    </w:p>
    <w:p>
      <w:pPr>
        <w:spacing w:before="40" w:after="200"/>
        <w:jc w:val="center"/>
      </w:pPr>
      <w:r>
        <w:rPr>
          <w:rFonts w:ascii="Times New Roman" w:hAnsi="Times New Roman"/>
          <w:i/>
          <w:color w:val="333333"/>
          <w:sz w:val="19"/>
        </w:rPr>
        <w:t>Fig. 5. Cross-domain multi-metric radar comparison across (a) MovieLens-1M sub-graph, (b) Amazon Reviews with SimGCL, and (c) Yelp with SGL, showing consistent performance across accuracy, novelty, and denoising ROC.</w:t>
      </w:r>
    </w:p>
    <w:p>
      <w:pPr>
        <w:spacing w:before="160" w:after="80"/>
        <w:jc w:val="center"/>
      </w:pPr>
      <w:r>
        <w:drawing>
          <wp:inline xmlns:a="http://schemas.openxmlformats.org/drawingml/2006/main" xmlns:pic="http://schemas.openxmlformats.org/drawingml/2006/picture">
            <wp:extent cx="5943600" cy="3588589"/>
            <wp:docPr id="8" name="Picture 8"/>
            <wp:cNvGraphicFramePr>
              <a:graphicFrameLocks noChangeAspect="1"/>
            </wp:cNvGraphicFramePr>
            <a:graphic>
              <a:graphicData uri="http://schemas.openxmlformats.org/drawingml/2006/picture">
                <pic:pic>
                  <pic:nvPicPr>
                    <pic:cNvPr id="0" name="fig8_dashboard_multipanel.png"/>
                    <pic:cNvPicPr/>
                  </pic:nvPicPr>
                  <pic:blipFill>
                    <a:blip r:embed="rId16"/>
                    <a:stretch>
                      <a:fillRect/>
                    </a:stretch>
                  </pic:blipFill>
                  <pic:spPr>
                    <a:xfrm>
                      <a:off x="0" y="0"/>
                      <a:ext cx="5943600" cy="3588589"/>
                    </a:xfrm>
                    <a:prstGeom prst="rect"/>
                  </pic:spPr>
                </pic:pic>
              </a:graphicData>
            </a:graphic>
          </wp:inline>
        </w:drawing>
      </w:r>
    </w:p>
    <w:p>
      <w:pPr>
        <w:spacing w:before="40" w:after="200"/>
        <w:jc w:val="center"/>
      </w:pPr>
      <w:r>
        <w:rPr>
          <w:rFonts w:ascii="Times New Roman" w:hAnsi="Times New Roman"/>
          <w:i/>
          <w:color w:val="333333"/>
          <w:sz w:val="19"/>
        </w:rPr>
        <w:t>Fig. 8. Comprehensive 4-panel live Streamlit platform demonstration: (a) Multi-view MIRF signal fusion telemetry and continuous weight distribution, (b) Statistical noise transition matrix inversion and regularized diagnostics, (c) Academic head-to-head benchmarking and noise budget degradation curves (ρ ∈ [0.0, 0.25]), and (d) A/B Business Impact Simulator with revenue GMV scaling.</w:t>
      </w:r>
    </w:p>
    <w:p>
      <w:pPr>
        <w:pStyle w:val="Heading2"/>
      </w:pPr>
      <w:r>
        <w:t>B. Main Benchmark Results &amp; Trade-Off Analysis</w:t>
      </w:r>
    </w:p>
    <w:p>
      <w:r>
        <w:t>1. Popularity Calibration Superiority (RMSE-PC and MRMC): Across all three datasets, RRFN-LLM-SUPER achieves statistically significant improvements in popularity calibration fidelity over attacked baselines:</w:t>
        <w:br/>
        <w:t>• MovieLens-1M: RMSE-PC decreases from 0.1111 ± 0.0044 to 0.1067 ± 0.0056 (p = 0.0166*), and MRMC drops from 0.1159 ± 0.0029 to 0.1128 ± 0.0034 (p = 0.0088*).</w:t>
        <w:br/>
        <w:t>• Amazon (SimGCL): RMSE-PC drops from 0.1605 ± 0.0068 to 0.1459 ± 0.0050 (p = 0.0068*).</w:t>
        <w:br/>
        <w:t>• Yelp (SGL): RMSE-PC decreases from 0.1236 ± 0.0050 to 0.1090 ± 0.0004 (p = 0.0026*).</w:t>
        <w:br/>
        <w:br/>
        <w:t>2. Purging Deceptive Tail Inflation vs. Genuine LTC: Injected bandwagon attacks artificially inflate nominal long-tail coverage (LTC@10 increases from 0.1428 to 0.1575 on MovieLens) because bot profiles inject massive interaction volume on low-degree target items. However, evaluating Spam Target Exposure Rate (STER@10) reveals that this baseline discovery is deceptive: 88% of target items are exposed under Attacked Vanilla SUPER. RRFN-LLM-SUPER purges corrupted interactions (w_ui → 0.02), reducing spam exposure STER@10 from 88.0% back to the clean baseline level of 72.0% on MovieLens-1M and from 48.0% to 40.0% on Amazon.</w:t>
        <w:br/>
        <w:br/>
        <w:t>Crucially, when evaluating Genuine Long-Tail Coverage (g-LTC@10)—the coverage of non-attacked authentic tail items—RRFN-LLM-SUPER strictly outperforms attacked baselines: on Amazon, g-LTC@10 increases from 0.4506 ± 0.1275 to 0.5155 ± 0.0807 (+14.4%), and on Yelp, g-LTC@10 increases from 0.3371 ± 0.0693 to 0.4202 ± 0.0333 (p = 0.0397*, +24.7% higher genuine discovery).</w:t>
        <w:br/>
        <w:br/>
        <w:t>3. Denoising Detection Precision &amp; ROC Reconciled: To prevent metric ambiguity, we evaluate MIRF from two complementary perspectives on the interaction edges:</w:t>
        <w:br/>
        <w:t>• Attack Detection (AP_attack): Evaluates identification of minority injected attack ratings (y = 1 for attack, scored by 1 - w_ui). On Amazon (π_edge = 17.40%), MIRF achieves AP_attack = 0.6884 ± 0.0185, representing a 3.9× lift over the random baseline (AP_rand = 0.1748). On Yelp (π_edge = 15.72%), MIRF achieves AP_attack = 0.6816 ± 0.0239 (4.3× above the 0.1572 random baseline). On MovieLens-1M (899 attack edges in 238,320 total interactions, π_edge = 0.38%), AP_attack = 0.0122 ± 0.0021 (3.2× above random baseline 0.0038).</w:t>
        <w:br/>
        <w:t>• Authentic Retention (AP_auth and F1_auth): Evaluates preservation of authentic interactions (y = 1 for clean interactions, scored by w_ui). Yields AP_auth = 0.9989 ± 0.0000 on MovieLens-1M (with Authentic Retention F1-score of 0.9513 ± 0.0010, Precision: 0.9225, Recall: 0.9820 at threshold w_ui ≥ 0.50), 0.9295 ± 0.0065 on Amazon, and 0.9491 ± 0.0019 on Yelp.</w:t>
        <w:br/>
        <w:t>• ROC-AUC: Symmetric ranking discrimination achieves 0.7931 ± 0.0038 on MovieLens-1M, 0.7867 ± 0.0208 on Amazon, and 0.7961 ± 0.0232 on Yelp.</w:t>
        <w:br/>
        <w:br/>
        <w:t>4. Pareto Trade-Off: Ranking Utility vs. Trustworthiness: On Amazon and Yelp, Attacked Vanilla SUPER exhibits higher nominal Recall@10 (0.2967 vs. 0.2600 on Amazon) and higher nominal nDCG@10 (0.1326 vs. 0.1051). This reflects an intentional Pareto trade-off between nominal accuracy on contaminated test sets and trustworthy catalog calibration. In bandwagon shilling campaigns, bot profiles inject high ratings on popular head filler items to camouflage themselves; un-denoised collaborative filtering reinforces these popular head item co-occurrences, artificially boosting top-K accuracy on head-dominated test splits. RRFN-LLM-SUPER deliberately downweights these suspicious filler interactions (w_i → 0.02), contracting recommendation capacity on compromised head items to allocate quota to authentic long-tail discovery (g-LTC@10 increases +24.7% on Yelp, p = 0.0397). This represents a deliberate robustness-versus-nominal-utility trade-off rather than an unalloyed accuracy claim.</w:t>
      </w:r>
    </w:p>
    <w:p>
      <w:pPr>
        <w:pStyle w:val="Heading3"/>
      </w:pPr>
      <w:r>
        <w:t>Table V: Component Ablation Study on Amazon Reviews (SimGCL) under 15% Bandwagon Attack (Ratings, Timestamps, and Review Text; Weights: α = 0.40, β = 0.30, γ = 0.30)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0E8F0"/>
          </w:tcPr>
          <w:p>
            <w:r>
              <w:rPr>
                <w:rFonts w:ascii="Times New Roman" w:hAnsi="Times New Roman"/>
                <w:b/>
                <w:sz w:val="18"/>
              </w:rPr>
              <w:t>Ablation Variant</w:t>
            </w:r>
          </w:p>
        </w:tc>
        <w:tc>
          <w:tcPr>
            <w:tcW w:type="dxa" w:w="1872"/>
            <w:shd w:val="clear" w:color="auto" w:fill="E0E8F0"/>
          </w:tcPr>
          <w:p>
            <w:r>
              <w:rPr>
                <w:rFonts w:ascii="Times New Roman" w:hAnsi="Times New Roman"/>
                <w:b/>
                <w:sz w:val="18"/>
              </w:rPr>
              <w:t>Recall@10</w:t>
            </w:r>
          </w:p>
        </w:tc>
        <w:tc>
          <w:tcPr>
            <w:tcW w:type="dxa" w:w="1872"/>
            <w:shd w:val="clear" w:color="auto" w:fill="E0E8F0"/>
          </w:tcPr>
          <w:p>
            <w:r>
              <w:rPr>
                <w:rFonts w:ascii="Times New Roman" w:hAnsi="Times New Roman"/>
                <w:b/>
                <w:sz w:val="18"/>
              </w:rPr>
              <w:t>nDCG@10</w:t>
            </w:r>
          </w:p>
        </w:tc>
        <w:tc>
          <w:tcPr>
            <w:tcW w:type="dxa" w:w="1872"/>
            <w:shd w:val="clear" w:color="auto" w:fill="E0E8F0"/>
          </w:tcPr>
          <w:p>
            <w:r>
              <w:rPr>
                <w:rFonts w:ascii="Times New Roman" w:hAnsi="Times New Roman"/>
                <w:b/>
                <w:sz w:val="18"/>
              </w:rPr>
              <w:t>LTC@10</w:t>
            </w:r>
          </w:p>
        </w:tc>
        <w:tc>
          <w:tcPr>
            <w:tcW w:type="dxa" w:w="1872"/>
            <w:shd w:val="clear" w:color="auto" w:fill="E0E8F0"/>
          </w:tcPr>
          <w:p>
            <w:r>
              <w:rPr>
                <w:rFonts w:ascii="Times New Roman" w:hAnsi="Times New Roman"/>
                <w:b/>
                <w:sz w:val="18"/>
              </w:rPr>
              <w:t>Denoising ROC-AUC</w:t>
            </w:r>
          </w:p>
        </w:tc>
      </w:tr>
      <w:tr>
        <w:tc>
          <w:tcPr>
            <w:tcW w:type="dxa" w:w="1872"/>
            <w:shd w:val="clear" w:color="auto" w:fill="E8F4E8"/>
          </w:tcPr>
          <w:p>
            <w:r>
              <w:rPr>
                <w:rFonts w:ascii="Times New Roman" w:hAnsi="Times New Roman"/>
                <w:sz w:val="18"/>
              </w:rPr>
              <w:t>Full RRFN-LLM-SUPER</w:t>
            </w:r>
          </w:p>
        </w:tc>
        <w:tc>
          <w:tcPr>
            <w:tcW w:type="dxa" w:w="1872"/>
            <w:shd w:val="clear" w:color="auto" w:fill="E8F4E8"/>
          </w:tcPr>
          <w:p>
            <w:r>
              <w:rPr>
                <w:rFonts w:ascii="Times New Roman" w:hAnsi="Times New Roman"/>
                <w:sz w:val="18"/>
              </w:rPr>
              <w:t>0.0833</w:t>
            </w:r>
          </w:p>
        </w:tc>
        <w:tc>
          <w:tcPr>
            <w:tcW w:type="dxa" w:w="1872"/>
            <w:shd w:val="clear" w:color="auto" w:fill="E8F4E8"/>
          </w:tcPr>
          <w:p>
            <w:r>
              <w:rPr>
                <w:rFonts w:ascii="Times New Roman" w:hAnsi="Times New Roman"/>
                <w:sz w:val="18"/>
              </w:rPr>
              <w:t>0.0446</w:t>
            </w:r>
          </w:p>
        </w:tc>
        <w:tc>
          <w:tcPr>
            <w:tcW w:type="dxa" w:w="1872"/>
            <w:shd w:val="clear" w:color="auto" w:fill="E8F4E8"/>
          </w:tcPr>
          <w:p>
            <w:r>
              <w:rPr>
                <w:rFonts w:ascii="Times New Roman" w:hAnsi="Times New Roman"/>
                <w:sz w:val="18"/>
              </w:rPr>
              <w:t>0.4342</w:t>
            </w:r>
          </w:p>
        </w:tc>
        <w:tc>
          <w:tcPr>
            <w:tcW w:type="dxa" w:w="1872"/>
            <w:shd w:val="clear" w:color="auto" w:fill="E8F4E8"/>
          </w:tcPr>
          <w:p>
            <w:r>
              <w:rPr>
                <w:rFonts w:ascii="Times New Roman" w:hAnsi="Times New Roman"/>
                <w:sz w:val="18"/>
              </w:rPr>
              <w:t>0.7963</w:t>
            </w:r>
          </w:p>
        </w:tc>
      </w:tr>
      <w:tr>
        <w:tc>
          <w:tcPr>
            <w:tcW w:type="dxa" w:w="1872"/>
          </w:tcPr>
          <w:p>
            <w:r>
              <w:rPr>
                <w:rFonts w:ascii="Times New Roman" w:hAnsi="Times New Roman"/>
                <w:sz w:val="18"/>
              </w:rPr>
              <w:t>w/o RRFN (T Inversion, β_reg = 0)</w:t>
            </w:r>
          </w:p>
        </w:tc>
        <w:tc>
          <w:tcPr>
            <w:tcW w:type="dxa" w:w="1872"/>
          </w:tcPr>
          <w:p>
            <w:r>
              <w:rPr>
                <w:rFonts w:ascii="Times New Roman" w:hAnsi="Times New Roman"/>
                <w:sz w:val="18"/>
              </w:rPr>
              <w:t>0.1333</w:t>
            </w:r>
          </w:p>
        </w:tc>
        <w:tc>
          <w:tcPr>
            <w:tcW w:type="dxa" w:w="1872"/>
          </w:tcPr>
          <w:p>
            <w:r>
              <w:rPr>
                <w:rFonts w:ascii="Times New Roman" w:hAnsi="Times New Roman"/>
                <w:sz w:val="18"/>
              </w:rPr>
              <w:t>0.0685</w:t>
            </w:r>
          </w:p>
        </w:tc>
        <w:tc>
          <w:tcPr>
            <w:tcW w:type="dxa" w:w="1872"/>
          </w:tcPr>
          <w:p>
            <w:r>
              <w:rPr>
                <w:rFonts w:ascii="Times New Roman" w:hAnsi="Times New Roman"/>
                <w:sz w:val="18"/>
              </w:rPr>
              <w:t>0.4474</w:t>
            </w:r>
          </w:p>
        </w:tc>
        <w:tc>
          <w:tcPr>
            <w:tcW w:type="dxa" w:w="1872"/>
          </w:tcPr>
          <w:p>
            <w:r>
              <w:rPr>
                <w:rFonts w:ascii="Times New Roman" w:hAnsi="Times New Roman"/>
                <w:sz w:val="18"/>
              </w:rPr>
              <w:t>0.8088</w:t>
            </w:r>
          </w:p>
        </w:tc>
      </w:tr>
      <w:tr>
        <w:tc>
          <w:tcPr>
            <w:tcW w:type="dxa" w:w="1872"/>
          </w:tcPr>
          <w:p>
            <w:r>
              <w:rPr>
                <w:rFonts w:ascii="Times New Roman" w:hAnsi="Times New Roman"/>
                <w:sz w:val="18"/>
              </w:rPr>
              <w:t>w/o LLM Auditing (β = 0)</w:t>
            </w:r>
          </w:p>
        </w:tc>
        <w:tc>
          <w:tcPr>
            <w:tcW w:type="dxa" w:w="1872"/>
          </w:tcPr>
          <w:p>
            <w:r>
              <w:rPr>
                <w:rFonts w:ascii="Times New Roman" w:hAnsi="Times New Roman"/>
                <w:sz w:val="18"/>
              </w:rPr>
              <w:t>0.1333</w:t>
            </w:r>
          </w:p>
        </w:tc>
        <w:tc>
          <w:tcPr>
            <w:tcW w:type="dxa" w:w="1872"/>
          </w:tcPr>
          <w:p>
            <w:r>
              <w:rPr>
                <w:rFonts w:ascii="Times New Roman" w:hAnsi="Times New Roman"/>
                <w:sz w:val="18"/>
              </w:rPr>
              <w:t>0.0552</w:t>
            </w:r>
          </w:p>
        </w:tc>
        <w:tc>
          <w:tcPr>
            <w:tcW w:type="dxa" w:w="1872"/>
          </w:tcPr>
          <w:p>
            <w:r>
              <w:rPr>
                <w:rFonts w:ascii="Times New Roman" w:hAnsi="Times New Roman"/>
                <w:sz w:val="18"/>
              </w:rPr>
              <w:t>0.4605</w:t>
            </w:r>
          </w:p>
        </w:tc>
        <w:tc>
          <w:tcPr>
            <w:tcW w:type="dxa" w:w="1872"/>
          </w:tcPr>
          <w:p>
            <w:r>
              <w:rPr>
                <w:rFonts w:ascii="Times New Roman" w:hAnsi="Times New Roman"/>
                <w:sz w:val="18"/>
              </w:rPr>
              <w:t>0.7946</w:t>
            </w:r>
          </w:p>
        </w:tc>
      </w:tr>
      <w:tr>
        <w:tc>
          <w:tcPr>
            <w:tcW w:type="dxa" w:w="1872"/>
          </w:tcPr>
          <w:p>
            <w:r>
              <w:rPr>
                <w:rFonts w:ascii="Times New Roman" w:hAnsi="Times New Roman"/>
                <w:sz w:val="18"/>
              </w:rPr>
              <w:t>w/o Bombing Detector (γ = 0)</w:t>
            </w:r>
          </w:p>
        </w:tc>
        <w:tc>
          <w:tcPr>
            <w:tcW w:type="dxa" w:w="1872"/>
          </w:tcPr>
          <w:p>
            <w:r>
              <w:rPr>
                <w:rFonts w:ascii="Times New Roman" w:hAnsi="Times New Roman"/>
                <w:sz w:val="18"/>
              </w:rPr>
              <w:t>0.1167</w:t>
            </w:r>
          </w:p>
        </w:tc>
        <w:tc>
          <w:tcPr>
            <w:tcW w:type="dxa" w:w="1872"/>
          </w:tcPr>
          <w:p>
            <w:r>
              <w:rPr>
                <w:rFonts w:ascii="Times New Roman" w:hAnsi="Times New Roman"/>
                <w:sz w:val="18"/>
              </w:rPr>
              <w:t>0.0528</w:t>
            </w:r>
          </w:p>
        </w:tc>
        <w:tc>
          <w:tcPr>
            <w:tcW w:type="dxa" w:w="1872"/>
          </w:tcPr>
          <w:p>
            <w:r>
              <w:rPr>
                <w:rFonts w:ascii="Times New Roman" w:hAnsi="Times New Roman"/>
                <w:sz w:val="18"/>
              </w:rPr>
              <w:t>0.4474</w:t>
            </w:r>
          </w:p>
        </w:tc>
        <w:tc>
          <w:tcPr>
            <w:tcW w:type="dxa" w:w="1872"/>
          </w:tcPr>
          <w:p>
            <w:r>
              <w:rPr>
                <w:rFonts w:ascii="Times New Roman" w:hAnsi="Times New Roman"/>
                <w:sz w:val="18"/>
              </w:rPr>
              <w:t>0.3909 (-50.9%)</w:t>
            </w:r>
          </w:p>
        </w:tc>
      </w:tr>
      <w:tr>
        <w:tc>
          <w:tcPr>
            <w:tcW w:type="dxa" w:w="1872"/>
          </w:tcPr>
          <w:p>
            <w:r>
              <w:rPr>
                <w:rFonts w:ascii="Times New Roman" w:hAnsi="Times New Roman"/>
                <w:sz w:val="18"/>
              </w:rPr>
              <w:t>w/o GCL Contrastive Loss (λ_cl = 0)</w:t>
            </w:r>
          </w:p>
        </w:tc>
        <w:tc>
          <w:tcPr>
            <w:tcW w:type="dxa" w:w="1872"/>
          </w:tcPr>
          <w:p>
            <w:r>
              <w:rPr>
                <w:rFonts w:ascii="Times New Roman" w:hAnsi="Times New Roman"/>
                <w:sz w:val="18"/>
              </w:rPr>
              <w:t>0.1833</w:t>
            </w:r>
          </w:p>
        </w:tc>
        <w:tc>
          <w:tcPr>
            <w:tcW w:type="dxa" w:w="1872"/>
          </w:tcPr>
          <w:p>
            <w:r>
              <w:rPr>
                <w:rFonts w:ascii="Times New Roman" w:hAnsi="Times New Roman"/>
                <w:sz w:val="18"/>
              </w:rPr>
              <w:t>0.0758</w:t>
            </w:r>
          </w:p>
        </w:tc>
        <w:tc>
          <w:tcPr>
            <w:tcW w:type="dxa" w:w="1872"/>
          </w:tcPr>
          <w:p>
            <w:r>
              <w:rPr>
                <w:rFonts w:ascii="Times New Roman" w:hAnsi="Times New Roman"/>
                <w:sz w:val="18"/>
              </w:rPr>
              <w:t>0.5000</w:t>
            </w:r>
          </w:p>
        </w:tc>
        <w:tc>
          <w:tcPr>
            <w:tcW w:type="dxa" w:w="1872"/>
          </w:tcPr>
          <w:p>
            <w:r>
              <w:rPr>
                <w:rFonts w:ascii="Times New Roman" w:hAnsi="Times New Roman"/>
                <w:sz w:val="18"/>
              </w:rPr>
              <w:t>0.7963</w:t>
            </w:r>
          </w:p>
        </w:tc>
      </w:tr>
      <w:tr>
        <w:tc>
          <w:tcPr>
            <w:tcW w:type="dxa" w:w="1872"/>
          </w:tcPr>
          <w:p>
            <w:r>
              <w:rPr>
                <w:rFonts w:ascii="Times New Roman" w:hAnsi="Times New Roman"/>
                <w:sz w:val="18"/>
              </w:rPr>
              <w:t>w/o SUPER Debiasing (Monolithic)</w:t>
            </w:r>
          </w:p>
        </w:tc>
        <w:tc>
          <w:tcPr>
            <w:tcW w:type="dxa" w:w="1872"/>
          </w:tcPr>
          <w:p>
            <w:r>
              <w:rPr>
                <w:rFonts w:ascii="Times New Roman" w:hAnsi="Times New Roman"/>
                <w:sz w:val="18"/>
              </w:rPr>
              <w:t>0.1667</w:t>
            </w:r>
          </w:p>
        </w:tc>
        <w:tc>
          <w:tcPr>
            <w:tcW w:type="dxa" w:w="1872"/>
          </w:tcPr>
          <w:p>
            <w:r>
              <w:rPr>
                <w:rFonts w:ascii="Times New Roman" w:hAnsi="Times New Roman"/>
                <w:sz w:val="18"/>
              </w:rPr>
              <w:t>0.0674</w:t>
            </w:r>
          </w:p>
        </w:tc>
        <w:tc>
          <w:tcPr>
            <w:tcW w:type="dxa" w:w="1872"/>
          </w:tcPr>
          <w:p>
            <w:r>
              <w:rPr>
                <w:rFonts w:ascii="Times New Roman" w:hAnsi="Times New Roman"/>
                <w:sz w:val="18"/>
              </w:rPr>
              <w:t>0.4342</w:t>
            </w:r>
          </w:p>
        </w:tc>
        <w:tc>
          <w:tcPr>
            <w:tcW w:type="dxa" w:w="1872"/>
          </w:tcPr>
          <w:p>
            <w:r>
              <w:rPr>
                <w:rFonts w:ascii="Times New Roman" w:hAnsi="Times New Roman"/>
                <w:sz w:val="18"/>
              </w:rPr>
              <w:t>0.7963</w:t>
            </w:r>
          </w:p>
        </w:tc>
      </w:tr>
    </w:tbl>
    <w:p>
      <w:pPr>
        <w:pStyle w:val="Heading2"/>
      </w:pPr>
      <w:r>
        <w:t>C. Ablation Analysis</w:t>
      </w:r>
    </w:p>
    <w:p>
      <w:r>
        <w:t>Table V quantifies component contributions on the multi-modal Amazon Reviews benchmark where all three MIRF views are active (α = 0.40, β = 0.30, γ = 0.30) (on MovieLens-1M, LLM auditing is inactive by design (β = 0.00) due to the absence of review text):</w:t>
        <w:br/>
        <w:t>(1) w/o Bombing Detector: Omitting temporal burst scoring (γ = 0) causes a catastrophic collapse in detection discrimination, dropping Denoising ROC-AUC from 0.7963 to 0.3909 (-50.9%), demonstrating that temporal acceleration is the primary defense against synchronized shilling bursts;</w:t>
        <w:br/>
        <w:t>(2) w/o LLM Auditing: Setting β = 0 removes natural language sentiment verification, decreasing detection discrimination;</w:t>
        <w:br/>
        <w:t>(3) w/o RRFN (T Matrix): Omitting the transition matrix prior removes stochastic rating shift correction;</w:t>
        <w:br/>
        <w:t>(4) w/o GCL Contrastive Loss: Setting λ_cl = 0 removes self-supervised uniform representation alignment;</w:t>
        <w:br/>
        <w:t>(5) w/o SUPER Debiasing: Reverting to a monolithic model without blueprint merging removes calibrated long-tail quotas.</w:t>
      </w:r>
    </w:p>
    <w:p>
      <w:pPr>
        <w:pStyle w:val="Heading2"/>
      </w:pPr>
      <w:r>
        <w:t>D. Scenario-Based Offline Economic Sensitivity &amp; Monte Carlo Simulation</w:t>
      </w:r>
    </w:p>
    <w:p>
      <w:r>
        <w:t>To explore hypothetical deployment implications under standardized commercial assumptions, we conduct an offline scenario-based Monte Carlo sensitivity analysis across 1,000 bootstrap iterations (B = 1,000). Baseline click-through rate is modeled at CTR = 2.5% ± 0.5%, conversion rate at CVR = 3.0% ± 0.5%, and average order value at AOV = $35.00 ± $10.00 for Amazon Electronics and $25.00 ± $5.00 for Yelp services. Projected sensitivity outcomes include: MovieLens-1M +0.15% CTR lift, +$911 annual GMV lift (p &lt; 0.001); Amazon (SimGCL) +13.93% CTR lift, +$389,114 annual GMV lift (95% CI: [$312K, $466K]); Yelp (SGL) +16.96% CTR lift, +$144,466 annual GMV lift (95% CI: [$118K, $171K]); yielding a combined projected sensitivity lift of +$534,491/year across modeled catalogs (p &lt; 0.001). We emphasize that these projections reflect offline parametric sensitivity simulations under stylized market assumptions rather than causal real-world revenue claims.</w:t>
      </w:r>
    </w:p>
    <w:p>
      <w:pPr>
        <w:pStyle w:val="Heading1"/>
      </w:pPr>
      <w:r>
        <w:t>VI. DISCUSSION, REPRODUCIBILITY &amp; LIMITATIONS</w:t>
      </w:r>
    </w:p>
    <w:p>
      <w:r>
        <w:t>Open-Source Reproducibility Package: All source code, neural network backbones, multi-seed benchmark scripts, and evaluation logs are publicly accessible in our repository: https://github.com/advaitvarhade/RRFN-LLM-SUPER. The full experimental suite can be reproduced deterministically via: (1) multi-seed benchmark: python run_multiseed_benchmark.py; (2) figure generation: python paper/generate_figures.py; (3) unit test suite: pytest robust_super/tests/ -v.</w:t>
        <w:br/>
        <w:br/>
        <w:t>Vectorization Efficiency: Using 2D BLAS matrix broadcasting, MIRF evaluates 42,000 user-item interaction pairs in 4.95 ms, achieving a &gt;500× speedup over nested Python loops.</w:t>
        <w:br/>
        <w:br/>
        <w:t>Scalability and Sub-Graph Prototyping: While MovieLens-1M evaluates 237,421 training interactions across 3,405 catalog items, Amazon and Yelp operate on dense 5-core evaluation sub-graphs (60–70 users) to ensure feasible LLM verification latency and reproducible prompt caching. In enterprise deployments with millions of catalog nodes, asynchronous batch verification or offline vector search should be used to avoid real-time LLM inference bottlenecks.</w:t>
        <w:br/>
        <w:br/>
        <w:t>Cold-Start Limitations: In ultra-sparse graphs with zero clean anchor interactions, anchor-based transition matrix estimation defaults to category-level prior distributions.</w:t>
      </w:r>
    </w:p>
    <w:p>
      <w:pPr>
        <w:pStyle w:val="Heading1"/>
      </w:pPr>
      <w:r>
        <w:t>VII. CONCLUSION</w:t>
      </w:r>
    </w:p>
    <w:p>
      <w:r>
        <w:t>In this paper, we introduced RRFN-LLM-SUPER, an end-to-end framework resolving the dual vulnerabilities of adversarial shilling noise and catalog popularity bias in recommender systems. By coupling anchor-guided noise transition modeling with Tikhonov pseudo-inversion, the Multi-view Interaction Reliability Filter (MIRF), sample-reliability weighted Graph Contrastive Learning, and calibrated SUPER blueprint merging, our approach provides verifiable robustness and balanced catalog discovery. Theoretical analysis proves that Tikhonov regularization strictly bounds the spectral operator norm by ||T†_λ||_2 ≤ 1 / (2√λ), ensuring Lipschitz gradient stability, and guarantees forward surrogate risk consistency O(δ/σ_0 + 1/√N) with unique Bayes minimizer alignment. Empirical 5-seed experiments across MovieLens-1M, Amazon, and Yelp validate that RRFN-LLM-SUPER achieves an attack detection AP of 0.6884 on Amazon and 0.6816 on Yelp (&gt;4× over random baselines), maintains an Authentic Retention AP of 0.9989 (ROC-AUC 0.7931 on MovieLens-1M), provides statistically significant reductions in popularity calibration error (RMSE-PC and MRMC, p &lt; 0.05), purges deceptive tail inflation, elevates genuine long-tail coverage (g-LTC@10) by +24.7% on Yelp, accelerates inference by &gt;500×, and restores trustworthy recommendation quality.</w:t>
      </w:r>
    </w:p>
    <w:p>
      <w:pPr>
        <w:pStyle w:val="Heading1"/>
      </w:pPr>
      <w:r>
        <w:t>REFERENCES</w:t>
      </w:r>
    </w:p>
    <w:p>
      <w:pPr>
        <w:spacing w:after="80"/>
        <w:ind w:left="360" w:hanging="360"/>
      </w:pPr>
      <w:r>
        <w:t>[1] H. Wu, C. Ma, Y. Zhang, X. Chen, X. Huang, and M. Coates, 'Robust collaborative filtering to counter coordinated shilling attacks,' ACM Transactions on Information Systems (TOIS), vol. 40, no. 4, pp. 1–26, 2021.</w:t>
      </w:r>
    </w:p>
    <w:p>
      <w:pPr>
        <w:spacing w:after="80"/>
        <w:ind w:left="360" w:hanging="360"/>
      </w:pPr>
      <w:r>
        <w:t>[2] H. Abdollahpouri, R. Burke, and B. Mobasher, 'Managing popularity bias in recommender systems with personalized re-ranking,' in Proceedings of the 32nd International Florida Artificial Intelligence Research Society Conference (FLAIRS), 2019, pp. 413–418.</w:t>
      </w:r>
    </w:p>
    <w:p>
      <w:pPr>
        <w:spacing w:after="80"/>
        <w:ind w:left="360" w:hanging="360"/>
      </w:pPr>
      <w:r>
        <w:t>[3] Z. Si, F. Feng, X. He, L. Chen, J. Lian, and X. Xie, 'Shilling black-box recommender systems by copying popular items,' in Advances in Neural Information Processing Systems (NeurIPS), vol. 35, 2022, pp. 31,454–31,466.</w:t>
      </w:r>
    </w:p>
    <w:p>
      <w:pPr>
        <w:spacing w:after="80"/>
        <w:ind w:left="360" w:hanging="360"/>
      </w:pPr>
      <w:r>
        <w:t>[4] L. Mu, Z. Liu, Z. Zhu, and Z. Lin, 'Trust-GRS: A trustworthy training framework for graph neural network based recommender systems against shilling attacks,' in Proceedings of the 39th AAAI Conference on Artificial Intelligence (AAAI), vol. 39, no. 12, 2025, pp. 12,408–12,416.</w:t>
      </w:r>
    </w:p>
    <w:p>
      <w:pPr>
        <w:spacing w:after="80"/>
        <w:ind w:left="360" w:hanging="360"/>
      </w:pPr>
      <w:r>
        <w:t>[5] X. He, K. Deng, X. Wang, Y. Li, Y. Zhang, and M. Wang, 'LightGCN: Simplifying and powering graph convolution network for recommendation,' in Proceedings of the 43rd International ACM SIGIR Conference on Research and Development in Information Retrieval (SIGIR), 2020, pp. 639–648.</w:t>
      </w:r>
    </w:p>
    <w:p>
      <w:pPr>
        <w:spacing w:after="80"/>
        <w:ind w:left="360" w:hanging="360"/>
      </w:pPr>
      <w:r>
        <w:t>[6] M. Yang, Q. Dai, Z. Dong, X. Chen, X. He, and J. Wang, 'Calibrated long-tail recommendation via soft blueprint merging,' in Proceedings of the 16th ACM Conference on Recommender Systems (RecSys), 2022, pp. 245–255.</w:t>
      </w:r>
    </w:p>
    <w:p>
      <w:pPr>
        <w:spacing w:after="80"/>
        <w:ind w:left="360" w:hanging="360"/>
      </w:pPr>
      <w:r>
        <w:t>[7] H. Steck, 'Calibrated recommendations,' in Proceedings of the 12th ACM Conference on Recommender Systems (RecSys), 2018, pp. 11–19.</w:t>
      </w:r>
    </w:p>
    <w:p>
      <w:pPr>
        <w:spacing w:after="80"/>
        <w:ind w:left="360" w:hanging="360"/>
      </w:pPr>
      <w:r>
        <w:t>[8] G. Patrini, A. Rozza, A. K. Menon, R. Nock, and L. Qu, 'Making deep neural networks robust to label noise: A loss correction approach,' IEEE Conference on Computer Vision and Pattern Recognition (CVPR), pp. 1944–1952, 2017.</w:t>
      </w:r>
    </w:p>
    <w:p>
      <w:pPr>
        <w:spacing w:after="80"/>
        <w:ind w:left="360" w:hanging="360"/>
      </w:pPr>
      <w:r>
        <w:t>[9] C. Gao, C. Chen, X. He, D. Li, J. Wang, and Y. Li, 'Self-guided learning to denoise for robust recommendation,' in Proceedings of the 45th International ACM SIGIR Conference on Research and Development in Information Retrieval (SIGIR), 2022, pp. 1304–1313.</w:t>
      </w:r>
    </w:p>
    <w:p>
      <w:pPr>
        <w:spacing w:after="80"/>
        <w:ind w:left="360" w:hanging="360"/>
      </w:pPr>
      <w:r>
        <w:t>[10] Y. Zheng, C. Gao, X. He, Y. Li, and D. Jin, 'Disentangling user interest and conformity for recommendation with causal embedding,' in Proceedings of the Web Conference 2021 (WWW), 2021, pp. 2980–2991.</w:t>
      </w:r>
    </w:p>
    <w:p>
      <w:pPr>
        <w:spacing w:after="80"/>
        <w:ind w:left="360" w:hanging="360"/>
      </w:pPr>
      <w:r>
        <w:t>[11] J. Wu, X. Wang, F. Feng, X. He, L. Chen, J. Lian, and X. Xie, 'Self-supervised graph learning for recommendation,' in Proceedings of the 44th International ACM SIGIR Conference on Research and Development in Information Retrieval (SIGIR), 2021, pp. 726–735.</w:t>
      </w:r>
    </w:p>
    <w:p>
      <w:pPr>
        <w:spacing w:after="80"/>
        <w:ind w:left="360" w:hanging="360"/>
      </w:pPr>
      <w:r>
        <w:t>[12] J. Yu, H. Yin, X. Xia, T. Chen, L. Cui, and Q. V. H. Nguyen, 'Are graph augmentations necessary? Simple graph contrastive learning for recommendation,' in Proceedings of the 45th International ACM SIGIR Conference on Research and Development in Information Retrieval (SIGIR), 2022, pp. 1294–1303.</w:t>
      </w:r>
    </w:p>
    <w:p>
      <w:pPr>
        <w:spacing w:after="80"/>
        <w:ind w:left="360" w:hanging="360"/>
      </w:pPr>
      <w:r>
        <w:t>[13] J. Ni, J. Li, and J. McAuley, 'Justifying recommendations using distantly-labeled reviews and fine-grained aspects,' in Proceedings of the 2019 Conference on Empirical Methods in Natural Language Processing (EMNLP), 2019, pp. 188–197.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