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P. MANAS</w:t>
        <w:br/>
        <w:t>(Reg. No. 23BCE5076)</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P. MANAS (23BCE5076)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Dr. Prassanna J</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(||T_lambda^dagger||_2 &lt;= 1 / (2*sqrt(lambda))),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(w_ui in [0, 1])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ADVAIT RAVINDRAKUMAR VARHADE (23BCE5098)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P. MANAS</w:t>
        <w:br/>
        <w:t>(Reg. No. 23BCE5076)</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P. MANAS (23BCE5076) in fulfillment of the BCSE497J Project I requirements. While this report provides an end-to-end exposition of the complete RRFN-LLM-SUPER framework to preserve architectural coherence, the candidate's primary specialized contribution and engineering leadership lies in Multi-View Interaction Reliability Filter (MIRF), Asynchronous LLM Review Auditing &amp; Hardware-Accelerated 2D BLAS Burst Detection.</w:t>
              <w:br/>
              <w:br/>
              <w:t>Specific Responsibilities of P. MANAS:</w:t>
              <w:br/>
              <w:t>Architecture and implementation of the Multi-view Interaction Reliability Filter (MIRF) tri-view synthesis (R_RRFN, R_LLM, R_bomb), asynchronous LLM semantic review auditing using persistent SQLite Write-Ahead Logging (WAL) caching for O(1) retrieval, hardware-accelerated 2D BLAS Level-3 GEMM review-bombing burst detection (&lt;5ms latency for 42,000 interactions; &gt;500x speedup), and attack detection vs. authentic retention evaluation (Attack AP vs Authentic AP).</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P. MANAS (Reg. No. 23BCE5076)</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