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ADVAIT RAVINDRAKUMAR VARHADE (23BCE5098),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ADVAIT RAVINDRAKUMAR VARHADE</w:t>
        <w:br/>
        <w:t>(Reg. No. 23BCE5098)</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Head of the Department</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(||T_lambda^dagger||_2 &lt;= 1 / (2*sqrt(lambda))),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(w_ui in [0, 1])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the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P. MANAS (23BCE5076) for his collaborative partnership on Multi-View Interaction Reliability Filter (MIRF), LLM Review Auditing &amp; 2D BLAS Review-Bombing Detection;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ADVAIT RAVINDRAKUMAR VARHADE</w:t>
        <w:br/>
        <w:t>(Reg. No. 23BCE5098)</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ADVAIT RAVINDRAKUMAR VARHADE (23BCE5098) in fulfillment of the BCSE497J Project I requirements. While this report provides an end-to-end exposition of the complete RRFN-LLM-SUPER framework to preserve architectural coherence, the candidate's primary specialized contribution and engineering leadership lies in Mathematical Noise-Transition Modeling, Tikhonov Operator Inversion, Risk-Consistent Optimization &amp; Theoretical Proofs.</w:t>
              <w:br/>
              <w:br/>
              <w:t>Specific Responsibilities of ADVAIT RAVINDRAKUMAR VARHADE:</w:t>
              <w:br/>
              <w:t>Formulation and mathematical proof of Theorem 3.1 (Tikhonov spectral operator norm bound ||T_lambda^dagger||_2 &lt;= 1/(2*sqrt(lambda))), Theorem 3.2 (surrogate excess clean risk consistency E*(f_hat) &lt;= (L_CE/sigma_0)*delta + O(1/sqrt(N))), consensus anchor selection, Riesz-Thorin Lipschitz gradient bounds, and overall system theoretical stability.</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ADVAIT RAVINDRAKUMAR VARHADE (Reg. No. 23BCE5098)</w:t>
              <w:br/>
              <w:t>• Primary Technical Pillar: Mathematical Noise-Transition Modeling, Tikhonov Operator Inversion, Risk-Consistent Optimization &amp; Theoretical Proofs</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