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VIVAASH KOUNDAL (23BCE5095)</w:t>
      </w:r>
      <w:r>
        <w:br/>
      </w:r>
      <w:r>
        <w:rPr>
          <w:rFonts w:ascii="Times New Roman" w:hAnsi="Times New Roman"/>
          <w:b/>
          <w:sz w:val="27"/>
        </w:rPr>
        <w:t>ADVAIT RAVINDRAKUMAR VARHADE (23BCE5098)</w:t>
      </w:r>
      <w:r>
        <w:br/>
      </w:r>
      <w:r>
        <w:rPr>
          <w:rFonts w:ascii="Times New Roman" w:hAnsi="Times New Roman"/>
          <w:b/>
          <w:sz w:val="27"/>
        </w:rPr>
        <w:t>P. MANAS (23BCE5076)</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VIVAASH KOUNDAL (23BCE5095),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VIVAASH KOUNDAL</w:t>
        <w:br/>
        <w:t>(Reg. No. 23BCE5095)</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VIVAASH KOUNDAL (23BCE5095)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Head of the Department</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(||T_lambda^dagger||_2 &lt;= 1 / (2*sqrt(lambda))),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(w_ui in [0, 1])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the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ADVAIT RAVINDRAKUMAR VARHADE (23BCE5098) for his collaborative partnership on Mathematical Noise-Transition Modeling, Tikhonov Operator Inversion &amp; Risk-Consistent Proofs; and P. MANAS (23BCE5076) for his collaborative partnership on Multi-View Interaction Reliability Filter (MIRF), LLM Review Auditing &amp; 2D BLAS Review-Bombing Detection,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VIVAASH KOUNDAL</w:t>
        <w:br/>
        <w:t>(Reg. No. 23BCE5095)</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VIVAASH KOUNDAL (23BCE5095) in fulfillment of the BCSE497J Project I requirements. While this report provides an end-to-end exposition of the complete RRFN-LLM-SUPER framework to preserve architectural coherence, the candidate's primary specialized contribution and engineering leadership lies in Risk-Aware Graph Contrastive Learning (GCL), Denoised SUPER Recommender Engine &amp; Calibrated Pareto Debiasing.</w:t>
              <w:br/>
              <w:br/>
              <w:t>Specific Responsibilities of VIVAASH KOUNDAL:</w:t>
              <w:br/>
              <w:t>Design and implementation of sample-reliability weighted InfoNCE contrastive alignment across SimGCL (latent uniform noise) and SGL (structural edge dropout), dual partition concurrent training of Head (M_pop) and Tail (M_tail) neural backbones, purified SUPER historical blueprint extraction (w_ui &gt;= theta_trust), personalized tail inclination (alpha_u) calculation, rank-calibrated trajectory interleaving, formulation of attack-aware metrics (g-LTC@K and STER@K), and 1,000-sample Monte Carlo economic simulation.</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VIVAASH KOUNDAL (Reg. No. 23BCE5095)</w:t>
              <w:br/>
              <w:t>• Primary Technical Pillar: Risk-Aware Graph Contrastive Learning (GCL), Denoised SUPER Recommender Engine &amp; Calibrated Pareto Debiasing</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