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pacing w:before="640" w:after="360" w:line="276" w:lineRule="auto"/>
        <w:jc w:val="center"/>
      </w:pPr>
      <w:r>
        <w:rPr>
          <w:rFonts w:ascii="Times New Roman" w:hAnsi="Times New Roman"/>
          <w:b/>
          <w:sz w:val="38"/>
        </w:rPr>
        <w:t>ROBUST RISK-CONSISTENT GRAPH-CONTRASTIVE LEARNING FOR POPULARITY-CALIBRATED RECOMMENDATION WITH MIRF AUDITING</w:t>
      </w:r>
    </w:p>
    <w:p>
      <w:pPr>
        <w:spacing w:before="160" w:after="80"/>
        <w:jc w:val="center"/>
      </w:pPr>
      <w:r>
        <w:rPr>
          <w:rFonts w:ascii="Times New Roman" w:hAnsi="Times New Roman"/>
          <w:i/>
          <w:sz w:val="26"/>
        </w:rPr>
        <w:t>Submitted in partial fulfillment for the award of the degree of</w:t>
      </w:r>
    </w:p>
    <w:p>
      <w:pPr>
        <w:spacing w:before="80" w:after="32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6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160" w:after="280"/>
        <w:jc w:val="center"/>
      </w:pPr>
      <w:r>
        <w:drawing>
          <wp:inline xmlns:a="http://schemas.openxmlformats.org/drawingml/2006/main" xmlns:pic="http://schemas.openxmlformats.org/drawingml/2006/picture">
            <wp:extent cx="3311999" cy="1056207"/>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VIVAASH KOUNDAL (23BCE5095), for the award of the degree of Bachelor of Technology in Computer Science and Engineering, Vellore Institute of Technology, Chennai is a record of bonafide work carried out by me under the supervision of [Dr. XYZ,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800" w:after="120" w:line="312" w:lineRule="auto"/>
      </w:pPr>
      <w:r>
        <w:rPr>
          <w:rFonts w:ascii="Times New Roman" w:hAnsi="Times New Roman"/>
          <w:b/>
          <w:sz w:val="24"/>
        </w:rPr>
        <w:t>Place: Chennai</w:t>
        <w:br/>
        <w:t>Date: October 2026</w:t>
      </w:r>
    </w:p>
    <w:p>
      <w:pPr>
        <w:spacing w:before="200" w:after="400"/>
        <w:jc w:val="right"/>
      </w:pPr>
      <w:r>
        <w:rPr>
          <w:rFonts w:ascii="Times New Roman" w:hAnsi="Times New Roman"/>
          <w:b/>
          <w:sz w:val="24"/>
        </w:rPr>
        <w:t>Signature of the Candidate</w:t>
        <w:br/>
        <w:t>VIVAASH KOUNDAL</w:t>
        <w:br/>
        <w:t>(Reg. No. 23BCE5095)</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[POST-REVIEW SUBMISSION COMPLIANCE]</w:t>
              <w:br/>
            </w:r>
            <w:r>
              <w:rPr>
                <w:rFonts w:ascii="Times New Roman" w:hAnsi="Times New Roman"/>
                <w:sz w:val="21"/>
              </w:rPr>
              <w:t>SUBMISSION NOTE: As per the BCSE497J project evaluation instructions, after the final offline panel review, a high-resolution scanned photograph of this physically signed and endorsed Declaration page will be affixed directly into this soft copy document prior to final submission on VTOP.</w:t>
            </w:r>
          </w:p>
        </w:tc>
      </w:tr>
    </w:tbl>
    <w:p>
      <w:pPr>
        <w:spacing w:before="40" w:after="120"/>
      </w:pP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VIVAASH KOUNDAL (23BCE5095)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XYZ, Associate Professor]</w:t>
              <w:br/>
              <w:t>Date: October 2026</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[HOD NAME]</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pPr>
        <w:spacing w:before="240"/>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[CERTIFICATE COMPLIANCE]</w:t>
              <w:br/>
            </w:r>
            <w:r>
              <w:rPr>
                <w:rFonts w:ascii="Times New Roman" w:hAnsi="Times New Roman"/>
                <w:sz w:val="21"/>
              </w:rPr>
              <w:t>OFFICIAL ENDORSEMENT NOTICE: Following the completion of the Pre-Final and Final Offline Viva-Voce Review Panel, the physical signatures of the Project Guide, Panel Examiners, and Head of Department along with the official School Seal will be stamped on this Certificate page. A clear photograph/scan will be integrated prior to VTOP submission.</w:t>
            </w:r>
          </w:p>
        </w:tc>
      </w:tr>
    </w:tbl>
    <w:p>
      <w:pPr>
        <w:spacing w:before="40" w:after="120"/>
      </w:pPr>
    </w:p>
    <w:p>
      <w:r>
        <w:br w:type="page"/>
      </w:r>
    </w:p>
    <w:p>
      <w:pPr>
        <w:spacing w:before="360" w:after="480"/>
        <w:jc w:val="center"/>
      </w:pPr>
      <w:r>
        <w:rPr>
          <w:rFonts w:ascii="Times New Roman" w:hAnsi="Times New Roman"/>
          <w:b/>
          <w:sz w:val="28"/>
          <w:u w:val="single"/>
        </w:rPr>
        <w:t>CERTIFICATE BY EXTERNAL GUIDE</w:t>
      </w:r>
    </w:p>
    <w:p>
      <w:pPr>
        <w:spacing w:line="360" w:lineRule="auto" w:before="0" w:after="120"/>
        <w:jc w:val="both"/>
      </w:pPr>
      <w:r>
        <w:rPr>
          <w:rFonts w:ascii="Times New Roman" w:hAnsi="Times New Roman"/>
          <w:sz w:val="24"/>
        </w:rPr>
        <w:t>NOT APPLICABLE</w:t>
      </w:r>
    </w:p>
    <w:p>
      <w:pPr>
        <w:spacing w:line="360" w:lineRule="auto" w:before="0" w:after="120"/>
        <w:jc w:val="both"/>
      </w:pPr>
      <w:r>
        <w:rPr>
          <w:rFonts w:ascii="Times New Roman" w:hAnsi="Times New Roman"/>
          <w:sz w:val="24"/>
        </w:rPr>
        <w:t>This project entitled “ROBUST RISK-CONSISTENT GRAPH-CONTRASTIVE LEARNING FOR POPULARITY-CALIBRATED RECOMMENDATION WITH MIRF AUDITING” has been carried out purely as an in-house internal academic and research project within the School of Computer Science and Engineering (SCOPE), Vellore Institute of Technology, Chennai. It is not an external Project-Affiliated Training (PAT) industry internship. Hence, external industry guide endorsement is not applicable.</w:t>
      </w:r>
    </w:p>
    <w:p>
      <w:r>
        <w:br w:type="page"/>
      </w:r>
    </w:p>
    <w:p>
      <w:pPr>
        <w:spacing w:before="360" w:after="360"/>
        <w:jc w:val="center"/>
      </w:pPr>
      <w:r>
        <w:rPr>
          <w:rFonts w:ascii="Times New Roman" w:hAnsi="Times New Roman"/>
          <w:b/>
          <w:sz w:val="28"/>
          <w:u w:val="single"/>
        </w:rPr>
        <w:t>ABSTRACT</w:t>
      </w:r>
    </w:p>
    <w:p>
      <w:pPr>
        <w:spacing w:line="360" w:lineRule="auto" w:before="0" w:after="120"/>
        <w:jc w:val="both"/>
      </w:pPr>
      <w:r>
        <w:rPr>
          <w:rFonts w:ascii="Times New Roman" w:hAnsi="Times New Roman"/>
          <w:sz w:val="24"/>
        </w:rPr>
        <w:t>Modern web-scale recommender systems operate on bipartite user-item interaction graphs that suffer from two co-occurring systemic vulnerabilities: (1) severe susceptibility to coordinated adversarial shilling attacks and temporal review-bombing bursts that inject deceptive feedback to distort item exposure, and (2) extreme catalog popularity bias where Pareto-skewed interaction distributions starve genuine long-tail items of visibility. Existing state-of-the-art paradigms address adversarial robustness or popularity debiasing in isolation, collapsing catastrophically when both phenomena co-occur simultaneously in real-world platforms.</w:t>
      </w:r>
    </w:p>
    <w:p>
      <w:pPr>
        <w:spacing w:line="360" w:lineRule="auto" w:before="0" w:after="120"/>
        <w:jc w:val="both"/>
      </w:pPr>
      <w:r>
        <w:rPr>
          <w:rFonts w:ascii="Times New Roman" w:hAnsi="Times New Roman"/>
          <w:sz w:val="24"/>
        </w:rPr>
        <w:t>With primary focus on graph contrastive representation learning and calibrated long-tail exposure, this report details how sample reliability weights modulate InfoNCE contrastive alignment losses and purify historical blueprints for personalized tail inclination (alpha_u) allocation. Empirical results prove statistically significant reductions in popularity calibration errors (RMSE-PC 0.1067, p = 0.0166; MRMC 0.1128, p = 0.0088), substantial suppression of spam target exposure (STER@10 reduced from 88% to 72%), elevation of genuine long-tail catalog coverage (g-LTC@10 = 0.4202, p = 0.0397 on Yelp), and a simulated annual GMV lift of $534,491 in offline Monte Carlo economic modeling.</w:t>
      </w:r>
    </w:p>
    <w:p>
      <w:pPr>
        <w:spacing w:line="360" w:lineRule="auto" w:before="0" w:after="120"/>
        <w:jc w:val="both"/>
      </w:pPr>
      <w:r>
        <w:rPr>
          <w:rFonts w:ascii="Times New Roman" w:hAnsi="Times New Roman"/>
          <w:sz w:val="24"/>
        </w:rPr>
        <w:t>The proposed framework unites stochastic noise-transition estimation, the Multi-view Interaction Reliability Filter (MIRF), risk-aware Graph Contrastive Learning (GCL), and calibrated Pareto debiasing. MIRF computes continuous sample reliability weights w_ui in [0, 1] by synthesizing statistical model prediction consistency, asynchronous Large Language Model (LLM) semantic review verification with thread-safe SQLite WAL caching, and 2D BLAS vectorized burst scoring (achieving a measured 4.95 ms latency for 42,000 interactions, representing a &gt;500x speedup over standard nested iteration). These sample weights modulate InfoNCE contrastive alignment losses and purify historical blueprints for personalized tail inclination (alpha_u) allocation.</w:t>
      </w:r>
    </w:p>
    <w:p>
      <w:pPr>
        <w:spacing w:line="360" w:lineRule="auto" w:before="0" w:after="120"/>
        <w:jc w:val="both"/>
      </w:pPr>
      <w:r>
        <w:rPr>
          <w:rFonts w:ascii="Times New Roman" w:hAnsi="Times New Roman"/>
          <w:sz w:val="24"/>
        </w:rPr>
        <w:t>Extensive empirical evaluations across 5 independent random seeds (42–46) on three multi-modal benchmark domains (MovieLens-1M sub-graph, Amazon Reviews with SimGCL, and Yelp Academic with SGL) demonstrate that RRFN-LLM-SUPER achieves an Attack Detection Average Precision (AP) of 0.6884 on Amazon and 0.6816 on Yelp (a 3.9–4.3x gain over random edge baselines), maintains an Authentic Retention AP of 0.9989 (ROC-AUC = 0.7931 on MovieLens-1M under 15% bandwagon shilling), achieves statistically significant reductions in popularity calibration error (RMSE-PC 0.1067, p = 0.0166; MRMC 0.1128, p = 0.0088), effectively purges spam target exposure (STER@10 reduced from 88% to 72%), and elevates genuine long-tail catalog coverage (g-LTC@10 = 0.4202 vs. 0.3371, p = 0.0397 on Yelp). Finally, an offline 1,000-sample Monte Carlo economic simulation demonstrates statistically significant resilience against revenue distortion (p &lt; 0.001).</w:t>
      </w:r>
    </w:p>
    <w:p>
      <w:pPr>
        <w:spacing w:before="240" w:after="120"/>
      </w:pPr>
      <w:r>
        <w:rPr>
          <w:rFonts w:ascii="Times New Roman" w:hAnsi="Times New Roman"/>
          <w:b/>
          <w:sz w:val="22"/>
        </w:rPr>
        <w:t xml:space="preserve">Keywords: </w:t>
      </w:r>
      <w:r>
        <w:rPr>
          <w:rFonts w:ascii="Times New Roman" w:hAnsi="Times New Roman"/>
          <w:i/>
          <w:sz w:val="22"/>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360" w:after="360"/>
        <w:jc w:val="center"/>
      </w:pPr>
      <w:r>
        <w:rPr>
          <w:rFonts w:ascii="Times New Roman" w:hAnsi="Times New Roman"/>
          <w:b/>
          <w:sz w:val="28"/>
        </w:rPr>
        <w:t>ACKNOWLEDGEMENT</w:t>
      </w:r>
    </w:p>
    <w:p>
      <w:pPr>
        <w:spacing w:line="360" w:lineRule="auto" w:before="0" w:after="120"/>
        <w:jc w:val="both"/>
      </w:pPr>
      <w:r>
        <w:rPr>
          <w:rFonts w:ascii="Times New Roman" w:hAnsi="Times New Roman"/>
          <w:sz w:val="24"/>
        </w:rPr>
        <w:t>It is my utmost pleasure to express with a deep sense of gratitude to [Dr. XYZ, Associate Professor], School of Computer Science and Engineering, Vellore Institute of Technology, Chennai, for his/her constant guidance, continual encouragement, understanding, and intellectual mentorship throughout this endeavor. His/her deep insights and rigorous critique in the domains of Recommender Systems, Graph Machine Learning, and Trustworthy AI have been invaluable in shaping the theoretical and experimental dimensions of this research.</w:t>
      </w:r>
    </w:p>
    <w:p>
      <w:pPr>
        <w:spacing w:line="360" w:lineRule="auto" w:before="0" w:after="120"/>
        <w:jc w:val="both"/>
      </w:pPr>
      <w:r>
        <w:rPr>
          <w:rFonts w:ascii="Times New Roman" w:hAnsi="Times New Roman"/>
          <w:sz w:val="24"/>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360" w:lineRule="auto" w:before="0" w:after="120"/>
        <w:jc w:val="both"/>
      </w:pPr>
      <w:r>
        <w:rPr>
          <w:rFonts w:ascii="Times New Roman" w:hAnsi="Times New Roman"/>
          <w:sz w:val="24"/>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360" w:lineRule="auto" w:before="0" w:after="120"/>
        <w:jc w:val="both"/>
      </w:pPr>
      <w:r>
        <w:rPr>
          <w:rFonts w:ascii="Times New Roman" w:hAnsi="Times New Roman"/>
          <w:sz w:val="24"/>
        </w:rPr>
        <w:t>In a jubilant state, I express my whole-hearted thanks to [HOD NAME], Head of the Department, B.Tech. Computer Science and Engineering, as well as the BCSE497J Project Coordinators and faculty committee for their structured academic framework, periodic reviews, and constant encouragement.</w:t>
      </w:r>
    </w:p>
    <w:p>
      <w:pPr>
        <w:spacing w:line="360" w:lineRule="auto" w:before="0" w:after="120"/>
        <w:jc w:val="both"/>
      </w:pPr>
      <w:r>
        <w:rPr>
          <w:rFonts w:ascii="Times New Roman" w:hAnsi="Times New Roman"/>
          <w:sz w:val="24"/>
        </w:rPr>
        <w:t>I also extend my sincere appreciation to my project teammates: ADVAIT RAVINDRAKUMAR VARHADE (23BCE5098) for his collaborative partnership on Mathematical Noise-Transition Modeling, Tikhonov Operator Inversion &amp; Risk-Consistent Proofs; and P. MANAS (23BCE5076) for his collaborative partnership on Multi-View Interaction Reliability Filter (MIRF), LLM Review Auditing &amp; 2D BLAS Review-Bombing Detection,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560" w:after="120" w:line="312" w:lineRule="auto"/>
      </w:pPr>
      <w:r>
        <w:rPr>
          <w:rFonts w:ascii="Times New Roman" w:hAnsi="Times New Roman"/>
          <w:b/>
          <w:sz w:val="24"/>
        </w:rPr>
        <w:t>Place: Chennai</w:t>
        <w:br/>
        <w:t>Date: October 2026</w:t>
      </w:r>
    </w:p>
    <w:p>
      <w:pPr>
        <w:spacing w:before="160" w:after="240"/>
        <w:jc w:val="right"/>
      </w:pPr>
      <w:r>
        <w:rPr>
          <w:rFonts w:ascii="Times New Roman" w:hAnsi="Times New Roman"/>
          <w:b/>
          <w:sz w:val="24"/>
        </w:rPr>
        <w:t>VIVAASH KOUNDAL</w:t>
        <w:br/>
        <w:t>(Reg. No. 23BCE5095)</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VIVAASH KOUNDAL (23BCE5095) in fulfillment of the BCSE497J Project I requirements. While this report provides an end-to-end exposition of the complete RRFN-LLM-SUPER framework to preserve architectural coherence, the candidate's primary specialized contribution and engineering leadership lies in Risk-Aware Graph Contrastive Learning (GCL), Denoised SUPER Recommender Engine &amp; Calibrated Pareto Debiasing.</w:t>
              <w:br/>
              <w:br/>
              <w:t>Specific Responsibilities of VIVAASH KOUNDAL:</w:t>
              <w:br/>
              <w:t>Design and implementation of sample-reliability weighted InfoNCE contrastive alignment across SimGCL (latent uniform noise) and SGL (structural edge dropout), dual partition concurrent training of Head (M_pop) and Tail (M_tail) neural backbones, purified SUPER historical blueprint extraction (w_ui &gt;= theta_trust), personalized tail inclination (alpha_u) calculation, rank-calibrated trajectory interleaving, formulation of attack-aware metrics (g-LTC@K and STER@K), and 1,000-sample Monte Carlo economic simulation.</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CONTRIBUTION: RISK-AWARE GCL &amp; CALIBRATED SUPER DEBIASING]</w:t>
              <w:br/>
            </w:r>
            <w:r>
              <w:rPr>
                <w:rFonts w:ascii="Times New Roman" w:hAnsi="Times New Roman"/>
                <w:sz w:val="21"/>
              </w:rPr>
              <w:t>RECOMMENDER ENGINE EMPHASIS — PRIMARY CONTRIBUTION OF VIVAASH KOUNDAL (23BCE5095):</w:t>
              <w:br/>
              <w:t>The design of Risk-Aware Graph Contrastive Learning (sample-reliability weighted InfoNCE across SimGCL and SGL), dual partition Head/Tail training, historical blueprint purification (w_ui &gt;= theta_trust), personalized tail inclination alpha_u, rank-calibrated trajectory interleaving, and the formalization of Genuine Long-Tail Coverage (g-LTC) and STER@K constitute the primary technical contributions developed by the candidate.</w:t>
            </w:r>
          </w:p>
        </w:tc>
      </w:tr>
    </w:tbl>
    <w:p>
      <w:pPr>
        <w:spacing w:before="40" w:after="120"/>
      </w:pP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[MODULE OWNERSHIP: GRAPH CONTRASTIVE BACKBONES, SUPER ENGINE &amp; ECONOMIC SIMULATION]</w:t>
              <w:br/>
            </w:r>
            <w:r>
              <w:rPr>
                <w:rFonts w:ascii="Times New Roman" w:hAnsi="Times New Roman"/>
                <w:sz w:val="21"/>
              </w:rPr>
              <w:t>SOFTWARE IMPLEMENTATION EMPHASIS — PRIMARY RESPONSIBILITY OF VIVAASH KOUNDAL (23BCE5095):</w:t>
              <w:br/>
              <w:t>The candidate engineered the representation learning, debiasing, and simulation packages: `models/simgcl.py` and `models/sgl.py` (Graph Contrastive Learning architectures), `trainer/contrastive_loss.py` (sample-reliability weighted InfoNCE loss), `catalog/pareto_partition.py` (80/20 catalog volume partitioner), `super_engine/blueprint.py` (purified historical user blueprints), `super_engine/merger.py` (rank-calibrated trajectory interleaver), and `evaluation/ab_simulator.py` (1,000-sample Monte Carlo economic simulator).</w:t>
            </w:r>
          </w:p>
        </w:tc>
      </w:tr>
    </w:tbl>
    <w:p>
      <w:pPr>
        <w:spacing w:before="40" w:after="120"/>
      </w:pP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[EVALUATION EMPHASIS: POPULARITY CALIBRATION &amp; SPAM SUPPRESSION]</w:t>
              <w:br/>
            </w:r>
            <w:r>
              <w:rPr>
                <w:rFonts w:ascii="Times New Roman" w:hAnsi="Times New Roman"/>
                <w:sz w:val="21"/>
              </w:rPr>
              <w:t>CALIBRATED DEBIASING EMPHASIS — PRIMARY CONTRIBUTION OF VIVAASH KOUNDAL (23BCE5095):</w:t>
              <w:br/>
              <w:t>The candidate conducted the comparative benchmark evaluations on MovieLens-1M (Table 5.2) and multi-domain datasets (Table 5.3), uncovered and formalized the deceptive tail inflation phenomenon (where attacked baselines naively appear to increase raw LTC by 10.3% while actually pushing spam targets at STER=88%), and verified that blueprint purification restores honest calibration (RMSE-PC=0.1067, p=0.0166) and suppresses STER@10 to 72%.</w:t>
            </w:r>
          </w:p>
        </w:tc>
      </w:tr>
    </w:tbl>
    <w:p>
      <w:pPr>
        <w:spacing w:before="40" w:after="120"/>
      </w:pP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specific theoretical, architectural, and empirical outcomes accomplished by the team, with special emphasis on the candidate's core domain: Risk-Aware Graph Contrastive Learning (GCL), Denoised SUPER Recommender Engine &amp;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in Risk-Aware GCL &amp; Calibrated SUPER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[SPECIALIZED FUTURE WORK PERSPECTIVE]</w:t>
              <w:br/>
            </w:r>
            <w:r>
              <w:rPr>
                <w:rFonts w:ascii="Times New Roman" w:hAnsi="Times New Roman"/>
                <w:sz w:val="21"/>
              </w:rPr>
              <w:t>CANDIDATE INDIVIDUAL RESEARCH ROADMAP (VIVAASH KOUNDAL):</w:t>
              <w:br/>
              <w:t>In subsequent research iterations (Project II / B.Tech. Capstone Phase), the candidate specifically plans to investigate: Distributed billion-edge graph partitioning using PyTorch-Geometric / DGL with CUDA IPC, and adapting the calibrated SUPER interleaving engine to decentralized federated graph recommendation settings (Fed-RRFN)..</w:t>
            </w:r>
          </w:p>
        </w:tc>
      </w:tr>
    </w:tbl>
    <w:p>
      <w:pPr>
        <w:spacing w:before="40" w:after="120"/>
      </w:pP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VIVAASH KOUNDAL (Reg. No. 23BCE5095)</w:t>
              <w:br/>
              <w:t>• Primary Technical Pillar: Risk-Aware Graph Contrastive Learning (GCL), Denoised SUPER Recommender Engine &amp; Calibrated Pareto Debiasing</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