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ADVAIT RAVINDRAKUMAR VARHADE (23BCE5098),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ADVAIT RAVINDRAKUMAR VARHADE</w:t>
        <w:br/>
        <w:t>(Reg. No. 23BCE5098)</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ADVAIT RAVINDRAKUMAR VARHADE (23BCE5098)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Dr. Prassanna J</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2"/>
        </w:rPr>
        <w:t>),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t>
      </w:r>
      <m:oMath>
        <m:sSub>
          <m:e>
            <m:r>
              <m:t>w</m:t>
            </m:r>
          </m:e>
          <m:sub>
            <m:r>
              <m:t>ui</m:t>
            </m:r>
          </m:sub>
        </m:sSub>
        <m:r>
          <m:t>∈[0,1]</m:t>
        </m:r>
      </m:oMath>
      <w:r>
        <w:rPr>
          <w:rFonts w:ascii="Times New Roman" w:hAnsi="Times New Roman"/>
          <w:sz w:val="22"/>
        </w:rPr>
        <w:t>)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P. MANAS (23BCE5076) for his collaborative partnership on Multi-View Interaction Reliability Filter (MIRF), LLM Review Auditing &amp; 2D BLAS Review-Bombing Detection;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ADVAIT RAVINDRAKUMAR VARHADE</w:t>
        <w:br/>
        <w:t>(Reg. No. 23BCE5098)</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($R_{\mathrm{RRFN}}$)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($R_{\mathrm{LLM}}$)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 xml:space="preserve">Formally, let </w:t>
      </w:r>
      <m:oMath>
        <m:r>
          <m:t>𝒢=(𝒰,ℐ,ℰ)</m:t>
        </m:r>
      </m:oMath>
      <w:r>
        <w:rPr>
          <w:rFonts w:ascii="Times New Roman" w:hAnsi="Times New Roman"/>
          <w:sz w:val="24"/>
        </w:rPr>
        <w:t xml:space="preserve"> represent a bipartite user-item interaction graph, where </w:t>
      </w:r>
      <m:oMath>
        <m:r>
          <m:t>𝒰={</m:t>
        </m:r>
        <m:sSub>
          <m:e>
            <m:r>
              <m:t>u</m:t>
            </m:r>
          </m:e>
          <m:sub>
            <m:r>
              <m:t>1</m:t>
            </m:r>
          </m:sub>
        </m:sSub>
        <m:r>
          <m:t>,</m:t>
        </m:r>
        <m:sSub>
          <m:e>
            <m:r>
              <m:t>u</m:t>
            </m:r>
          </m:e>
          <m:sub>
            <m:r>
              <m:t>2</m:t>
            </m:r>
          </m:sub>
        </m:sSub>
        <m:r>
          <m:t>,…,</m:t>
        </m:r>
        <m:sSub>
          <m:e>
            <m:r>
              <m:t>u</m:t>
            </m:r>
          </m:e>
          <m:sub>
            <m:d>
              <m:dPr>
                <m:begChr m:val="|"/>
                <m:sepChr m:val=""/>
                <m:endChr m:val="|"/>
              </m:dPr>
              <m:e>
                <m:r>
                  <m:t>𝒰</m:t>
                </m:r>
              </m:e>
            </m:d>
          </m:sub>
        </m:sSub>
        <m:r>
          <m:t>}</m:t>
        </m:r>
      </m:oMath>
      <w:r>
        <w:rPr>
          <w:rFonts w:ascii="Times New Roman" w:hAnsi="Times New Roman"/>
          <w:sz w:val="24"/>
        </w:rPr>
        <w:t xml:space="preserve"> denotes the set of unique users, </w:t>
      </w:r>
      <m:oMath>
        <m:r>
          <m:t>ℐ={</m:t>
        </m:r>
        <m:sSub>
          <m:e>
            <m:r>
              <m:t>i</m:t>
            </m:r>
          </m:e>
          <m:sub>
            <m:r>
              <m:t>1</m:t>
            </m:r>
          </m:sub>
        </m:sSub>
        <m:r>
          <m:t>,</m:t>
        </m:r>
        <m:sSub>
          <m:e>
            <m:r>
              <m:t>i</m:t>
            </m:r>
          </m:e>
          <m:sub>
            <m:r>
              <m:t>2</m:t>
            </m:r>
          </m:sub>
        </m:sSub>
        <m:r>
          <m:t>,…,</m:t>
        </m:r>
        <m:sSub>
          <m:e>
            <m:r>
              <m:t>i</m:t>
            </m:r>
          </m:e>
          <m:sub>
            <m:d>
              <m:dPr>
                <m:begChr m:val="|"/>
                <m:sepChr m:val=""/>
                <m:endChr m:val="|"/>
              </m:dPr>
              <m:e>
                <m:r>
                  <m:t>ℐ</m:t>
                </m:r>
              </m:e>
            </m:d>
          </m:sub>
        </m:sSub>
        <m:r>
          <m:t>}</m:t>
        </m:r>
      </m:oMath>
      <w:r>
        <w:rPr>
          <w:rFonts w:ascii="Times New Roman" w:hAnsi="Times New Roman"/>
          <w:sz w:val="24"/>
        </w:rPr>
        <w:t xml:space="preserve"> denotes the set of unique catalog items, and </w:t>
      </w:r>
      <m:oMath>
        <m:r>
          <m:t>ℰ⊂𝒰×ℐ</m:t>
        </m:r>
      </m:oMath>
      <w:r>
        <w:rPr>
          <w:rFonts w:ascii="Times New Roman" w:hAnsi="Times New Roman"/>
          <w:sz w:val="24"/>
        </w:rPr>
        <w:t xml:space="preserve"> denotes the observed set of behavioral edges or interactions. In implicit feedback environments, an observed edge </w:t>
      </w:r>
      <m:oMath>
        <m:r>
          <m:t>(u,i)∈ℰ</m:t>
        </m:r>
      </m:oMath>
      <w:r>
        <w:rPr>
          <w:rFonts w:ascii="Times New Roman" w:hAnsi="Times New Roman"/>
          <w:sz w:val="24"/>
        </w:rPr>
        <w:t xml:space="preserve"> signifies a click, view, purchase, or bookmark. In explicit feedback settings, each interaction edge is accompanied by a discrete ordinal rating </w:t>
      </w:r>
      <m:oMath>
        <m:sSub>
          <m:e>
            <m:r>
              <m:t>r</m:t>
            </m:r>
          </m:e>
          <m:sub>
            <m:r>
              <m:t>ui</m:t>
            </m:r>
          </m:sub>
        </m:sSub>
        <m:r>
          <m:t>∈{1,2,…,K}</m:t>
        </m:r>
      </m:oMath>
      <w:r>
        <w:rPr>
          <w:rFonts w:ascii="Times New Roman" w:hAnsi="Times New Roman"/>
          <w:sz w:val="24"/>
        </w:rPr>
        <w:t xml:space="preserve"> (typically representing a 1-to-5 star rating) and, in rich multi-modal platforms, a corresponding natural language review text </w:t>
      </w:r>
      <m:oMath>
        <m:sSub>
          <m:e>
            <m:r>
              <m:t>S</m:t>
            </m:r>
          </m:e>
          <m:sub>
            <m:r>
              <m:t>ui</m:t>
            </m:r>
          </m:sub>
        </m:sSub>
      </m:oMath>
      <w:r>
        <w:rPr>
          <w:rFonts w:ascii="Times New Roman" w:hAnsi="Times New Roman"/>
          <w:sz w:val="24"/>
        </w:rPr>
        <w:t xml:space="preserve"> and an interaction timestamp </w:t>
      </w:r>
      <m:oMath>
        <m:sSub>
          <m:e>
            <m:r>
              <m:t>t</m:t>
            </m:r>
          </m:e>
          <m:sub>
            <m:r>
              <m:t>ui</m:t>
            </m:r>
          </m:sub>
        </m:sSub>
      </m:oMath>
      <w:r>
        <w:rPr>
          <w:rFonts w:ascii="Times New Roman" w:hAnsi="Times New Roman"/>
          <w:sz w:val="24"/>
        </w:rPr>
        <w:t>.</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 xml:space="preserve">Given a partially observed, potentially poisoned bipartite user-item graph </w:t>
      </w:r>
      <m:oMath>
        <m:limUpp>
          <m:e>
            <m:r>
              <m:t>𝒢</m:t>
            </m:r>
          </m:e>
          <m:lim>
            <m:r>
              <m:t>~</m:t>
            </m:r>
          </m:lim>
        </m:limUpp>
        <m:r>
          <m:t>=(𝒰,ℐ,</m:t>
        </m:r>
        <m:limUpp>
          <m:e>
            <m:r>
              <m:t>ℰ</m:t>
            </m:r>
          </m:e>
          <m:lim>
            <m:r>
              <m:t>~</m:t>
            </m:r>
          </m:lim>
        </m:limUpp>
        <m:r>
          <m:t>)</m:t>
        </m:r>
      </m:oMath>
      <w:r>
        <w:rPr>
          <w:rFonts w:ascii="Times New Roman" w:hAnsi="Times New Roman"/>
          <w:sz w:val="24"/>
        </w:rPr>
        <w:t xml:space="preserve">, where </w:t>
      </w:r>
      <m:oMath>
        <m:limUpp>
          <m:e>
            <m:r>
              <m:t>ℰ</m:t>
            </m:r>
          </m:e>
          <m:lim>
            <m:r>
              <m:t>~</m:t>
            </m:r>
          </m:lim>
        </m:limUpp>
      </m:oMath>
      <w:r>
        <w:rPr>
          <w:rFonts w:ascii="Times New Roman" w:hAnsi="Times New Roman"/>
          <w:sz w:val="24"/>
        </w:rPr>
        <w:t xml:space="preserve"> contains an unobserved mixture of authentic clean interactions </w:t>
      </w:r>
      <m:oMath>
        <m:sSup>
          <m:e>
            <m:r>
              <m:t>ℰ</m:t>
            </m:r>
          </m:e>
          <m:sup>
            <m:r>
              <m:t>*</m:t>
            </m:r>
          </m:sup>
        </m:sSup>
      </m:oMath>
      <w:r>
        <w:rPr>
          <w:rFonts w:ascii="Times New Roman" w:hAnsi="Times New Roman"/>
          <w:sz w:val="24"/>
        </w:rPr>
        <w:t xml:space="preserve"> and malicious adversarial injection edges </w:t>
      </w:r>
      <m:oMath>
        <m:sSub>
          <m:e>
            <m:r>
              <m:t>ℰ</m:t>
            </m:r>
          </m:e>
          <m:sub>
            <m:r>
              <m:rPr>
                <m:sty m:val="p"/>
              </m:rPr>
              <m:t>attack</m:t>
            </m:r>
          </m:sub>
        </m:sSub>
      </m:oMath>
      <w:r>
        <w:rPr>
          <w:rFonts w:ascii="Times New Roman" w:hAnsi="Times New Roman"/>
          <w:sz w:val="24"/>
        </w:rPr>
        <w:t>,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to guarantee Lipschitz gradient stability, and establish asymptotic excess risk consistency bounds </w:t>
      </w:r>
      <m:oMath>
        <m:r>
          <m:t>𝒪(δ+1/</m:t>
        </m:r>
        <m:rad>
          <m:radPr>
            <m:degHide m:val="on"/>
          </m:radPr>
          <m:deg/>
          <m:e>
            <m:r>
              <m:t>N</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 xml:space="preserve">Integrate risk-aware Graph Contrastive Learning (GCL) across modern neural backbones (SimGCL with latent uniform perturbations and SGL with structural edge dropout), modulating contrastive alignment through sample reliability weights </w:t>
      </w:r>
      <m:oMath>
        <m:sSub>
          <m:e>
            <m:r>
              <m:t>w</m:t>
            </m:r>
          </m:e>
          <m:sub>
            <m:r>
              <m:t>ui</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w:t>
      </w:r>
      <m:oMath>
        <m:sSub>
          <m:e>
            <m:r>
              <m:t>ℳ</m:t>
            </m:r>
          </m:e>
          <m:sub>
            <m:r>
              <m:rPr>
                <m:sty m:val="p"/>
              </m:rPr>
              <m:t>pop</m:t>
            </m:r>
          </m:sub>
        </m:sSub>
      </m:oMath>
      <w:r>
        <w:rPr>
          <w:rFonts w:ascii="Times New Roman" w:hAnsi="Times New Roman"/>
          <w:sz w:val="24"/>
        </w:rPr>
        <w:t>) and niche 'Tail' items (</w:t>
      </w:r>
      <m:oMath>
        <m:sSub>
          <m:e>
            <m:r>
              <m:t>ℳ</m:t>
            </m:r>
          </m:e>
          <m:sub>
            <m:r>
              <m:rPr>
                <m:sty m:val="p"/>
              </m:rPr>
              <m:t>tail</m:t>
            </m:r>
          </m:sub>
        </m:sSub>
      </m:oMath>
      <w:r>
        <w:rPr>
          <w:rFonts w:ascii="Times New Roman" w:hAnsi="Times New Roman"/>
          <w:sz w:val="24"/>
        </w:rPr>
        <w:t xml:space="preserve">). During recommendation inference, SUPER calculates each individual user's historical tail preference inclination </w:t>
      </w:r>
      <m:oMath>
        <m:sSub>
          <m:e>
            <m:r>
              <m:t>α</m:t>
            </m:r>
          </m:e>
          <m:sub>
            <m:r>
              <m:t>u</m:t>
            </m:r>
          </m:sub>
        </m:sSub>
        <m:r>
          <m:t>∈[0,1]</m:t>
        </m:r>
      </m:oMath>
      <w:r>
        <w:rPr>
          <w:rFonts w:ascii="Times New Roman" w:hAnsi="Times New Roman"/>
          <w:sz w:val="24"/>
        </w:rPr>
        <w:t xml:space="preserve"> based on their past interaction 'blueprint'. It then assembles a top-</w:t>
      </w:r>
      <m:oMath>
        <m:r>
          <m:t>K</m:t>
        </m:r>
      </m:oMath>
      <w:r>
        <w:rPr>
          <w:rFonts w:ascii="Times New Roman" w:hAnsi="Times New Roman"/>
          <w:sz w:val="24"/>
        </w:rPr>
        <w:t xml:space="preserve"> recommendation list by soft-merging candidates from </w:t>
      </w:r>
      <m:oMath>
        <m:sSub>
          <m:e>
            <m:r>
              <m:t>ℳ</m:t>
            </m:r>
          </m:e>
          <m:sub>
            <m:r>
              <m:rPr>
                <m:sty m:val="p"/>
              </m:rPr>
              <m:t>pop</m:t>
            </m:r>
          </m:sub>
        </m:sSub>
      </m:oMath>
      <w:r>
        <w:rPr>
          <w:rFonts w:ascii="Times New Roman" w:hAnsi="Times New Roman"/>
          <w:sz w:val="24"/>
        </w:rPr>
        <w:t xml:space="preserve"> and </w:t>
      </w:r>
      <m:oMath>
        <m:sSub>
          <m:e>
            <m:r>
              <m:t>ℳ</m:t>
            </m:r>
          </m:e>
          <m:sub>
            <m:r>
              <m:rPr>
                <m:sty m:val="p"/>
              </m:rPr>
              <m:t>tail</m:t>
            </m:r>
          </m:sub>
        </m:sSub>
      </m:oMath>
      <w:r>
        <w:rPr>
          <w:rFonts w:ascii="Times New Roman" w:hAnsi="Times New Roman"/>
          <w:sz w:val="24"/>
        </w:rPr>
        <w:t xml:space="preserve"> to ensure the recommended list's popularity distribution closely matches the user's historical profile.</w:t>
      </w:r>
    </w:p>
    <w:p>
      <w:pPr>
        <w:spacing w:line="360" w:lineRule="auto" w:before="0" w:after="120"/>
        <w:jc w:val="both"/>
      </w:pPr>
      <w:r>
        <w:rPr>
          <w:rFonts w:ascii="Times New Roman" w:hAnsi="Times New Roman"/>
          <w:sz w:val="24"/>
        </w:rPr>
        <w:t xml:space="preserve">Crucial Vulnerability of Standalone SUP: Standalone SUPER inherently presupposes that the user's historical interaction blueprint is clean and honest. When an adversarial bot injects fake interactions, SUPER faithfully ingests the poisoned edges into the blueprint, skewing </w:t>
      </w:r>
      <m:oMath>
        <m:sSub>
          <m:e>
            <m:r>
              <m:t>α</m:t>
            </m:r>
          </m:e>
          <m:sub>
            <m:r>
              <m:t>u</m:t>
            </m:r>
          </m:sub>
        </m:sSub>
      </m:oMath>
      <w:r>
        <w:rPr>
          <w:rFonts w:ascii="Times New Roman" w:hAnsi="Times New Roman"/>
          <w:sz w:val="24"/>
        </w:rPr>
        <w:t xml:space="preserve">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 xml:space="preserve">RRFN stands for the Robust Risk-consistent Fusion Network. RRFN is a noise-transition modeling framework that acknowledges that observed ratings </w:t>
      </w:r>
      <m:oMath>
        <m:limUpp>
          <m:e>
            <m:r>
              <m:t>Y</m:t>
            </m:r>
          </m:e>
          <m:lim>
            <m:r>
              <m:t>~</m:t>
            </m:r>
          </m:lim>
        </m:limUpp>
      </m:oMath>
      <w:r>
        <w:rPr>
          <w:rFonts w:ascii="Times New Roman" w:hAnsi="Times New Roman"/>
          <w:sz w:val="24"/>
        </w:rPr>
        <w:t xml:space="preserve"> are noisy realizations of unobserved ground-truth clean ratings </w:t>
      </w:r>
      <m:oMath>
        <m:sSup>
          <m:e>
            <m:r>
              <m:t>Y</m:t>
            </m:r>
          </m:e>
          <m:sup>
            <m:r>
              <m:t>*</m:t>
            </m:r>
          </m:sup>
        </m:sSup>
      </m:oMath>
      <w:r>
        <w:rPr>
          <w:rFonts w:ascii="Times New Roman" w:hAnsi="Times New Roman"/>
          <w:sz w:val="24"/>
        </w:rPr>
        <w:t xml:space="preserve">. RRFN identifies high-confidence anchor items in the catalog to estimate a </w:t>
      </w:r>
      <m:oMath>
        <m:r>
          <m:t>K×K</m:t>
        </m:r>
      </m:oMath>
      <w:r>
        <w:rPr>
          <w:rFonts w:ascii="Times New Roman" w:hAnsi="Times New Roman"/>
          <w:sz w:val="24"/>
        </w:rPr>
        <w:t xml:space="preserve"> stochastic rating transition matrix </w:t>
      </w:r>
      <m:oMath>
        <m:sSub>
          <m:e>
            <m:r>
              <m:t>T</m:t>
            </m:r>
          </m:e>
          <m:sub>
            <m:r>
              <m:t>ij</m:t>
            </m:r>
          </m:sub>
        </m:sSub>
        <m:r>
          <m:t>=P(</m:t>
        </m:r>
        <m:limUpp>
          <m:e>
            <m:r>
              <m:t>Y</m:t>
            </m:r>
          </m:e>
          <m:lim>
            <m:r>
              <m:t>~</m:t>
            </m:r>
          </m:lim>
        </m:limUpp>
        <m:r>
          <m:t>=j∣</m:t>
        </m:r>
        <m:sSup>
          <m:e>
            <m:r>
              <m:t>Y</m:t>
            </m:r>
          </m:e>
          <m:sup>
            <m:r>
              <m:t>*</m:t>
            </m:r>
          </m:sup>
        </m:sSup>
        <m:r>
          <m:t>=i)</m:t>
        </m:r>
      </m:oMath>
      <w:r>
        <w:rPr>
          <w:rFonts w:ascii="Times New Roman" w:hAnsi="Times New Roman"/>
          <w:sz w:val="24"/>
        </w:rPr>
        <w:t xml:space="preserve">. By inverting this matrix using Tikhonov regularization and optimizing a forward-corrected surrogate cross-entropy loss </w:t>
      </w:r>
      <m:oMath>
        <m:sSub>
          <m:e>
            <m:r>
              <m:t>ℒ</m:t>
            </m:r>
          </m:e>
          <m:sub>
            <m:r>
              <m:rPr>
                <m:sty m:val="p"/>
              </m:rPr>
              <m:t>risk</m:t>
            </m:r>
          </m:sub>
        </m:sSub>
      </m:oMath>
      <w:r>
        <w:rPr>
          <w:rFonts w:ascii="Times New Roman" w:hAnsi="Times New Roman"/>
          <w:sz w:val="24"/>
        </w:rPr>
        <w:t>,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 xml:space="preserve">MIRF stands for the Multi-view Interaction Reliability Filter. MIRF is our novel tri-view ensemble layer that audits the authenticity of every graph edge </w:t>
      </w:r>
      <m:oMath>
        <m:d>
          <m:dPr>
            <m:sepChr m:val=","/>
          </m:dPr>
          <m:e>
            <m:r>
              <m:t>u</m:t>
            </m:r>
          </m:e>
          <m:e>
            <m:r>
              <m:t>i</m:t>
            </m:r>
          </m:e>
        </m:d>
      </m:oMath>
      <w:r>
        <w:rPr>
          <w:rFonts w:ascii="Times New Roman" w:hAnsi="Times New Roman"/>
          <w:sz w:val="24"/>
        </w:rPr>
        <w:t xml:space="preserve">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w:t>
      </w:r>
      <m:oMath>
        <m:sSub>
          <m:e>
            <m:r>
              <m:t>R</m:t>
            </m:r>
          </m:e>
          <m:sub>
            <m:r>
              <m:rPr>
                <m:sty m:val="p"/>
              </m:rPr>
              <m:t>RRFN</m:t>
            </m:r>
          </m:sub>
        </m:sSub>
      </m:oMath>
      <w:r>
        <w:rPr>
          <w:rFonts w:ascii="Times New Roman" w:hAnsi="Times New Roman"/>
          <w:sz w:val="24"/>
        </w:rPr>
        <w:t xml:space="preserve">): Measures whether the observed rating aligns with the model's expected rating under the estimated transition matrix </w:t>
      </w:r>
      <m:oMath>
        <m:r>
          <m:t>T</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w:t>
      </w:r>
      <m:oMath>
        <m:sSub>
          <m:e>
            <m:r>
              <m:t>R</m:t>
            </m:r>
          </m:e>
          <m:sub>
            <m:r>
              <m:rPr>
                <m:sty m:val="p"/>
              </m:rPr>
              <m:t>LLM</m:t>
            </m:r>
          </m:sub>
        </m:sSub>
      </m:oMath>
      <w:r>
        <w:rPr>
          <w:rFonts w:ascii="Times New Roman" w:hAnsi="Times New Roman"/>
          <w:sz w:val="24"/>
        </w:rPr>
        <w:t xml:space="preserve">): Analyzes natural language review text </w:t>
      </w:r>
      <m:oMath>
        <m:sSub>
          <m:e>
            <m:r>
              <m:t>S</m:t>
            </m:r>
          </m:e>
          <m:sub>
            <m:r>
              <m:t>ui</m:t>
            </m:r>
          </m:sub>
        </m:sSub>
      </m:oMath>
      <w:r>
        <w:rPr>
          <w:rFonts w:ascii="Times New Roman" w:hAnsi="Times New Roman"/>
          <w:sz w:val="24"/>
        </w:rPr>
        <w:t xml:space="preserve">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w:t>
      </w:r>
      <m:oMath>
        <m:sSub>
          <m:e>
            <m:r>
              <m:t>R</m:t>
            </m:r>
          </m:e>
          <m:sub>
            <m:r>
              <m:rPr>
                <m:sty m:val="p"/>
              </m:rPr>
              <m:t>bomb</m:t>
            </m:r>
          </m:sub>
        </m:sSub>
      </m:oMath>
      <w:r>
        <w:rPr>
          <w:rFonts w:ascii="Times New Roman" w:hAnsi="Times New Roman"/>
          <w:sz w:val="24"/>
        </w:rPr>
        <w:t>): Simultaneously scores sudden temporal acceleration (</w:t>
      </w:r>
      <m:oMath>
        <m:sSub>
          <m:e>
            <m:r>
              <m:t>Z</m:t>
            </m:r>
          </m:e>
          <m:sub>
            <m:r>
              <m:rPr>
                <m:sty m:val="p"/>
              </m:rPr>
              <m:t>temp</m:t>
            </m:r>
          </m:sub>
        </m:sSub>
      </m:oMath>
      <w:r>
        <w:rPr>
          <w:rFonts w:ascii="Times New Roman" w:hAnsi="Times New Roman"/>
          <w:sz w:val="24"/>
        </w:rPr>
        <w:t>) and polarity skew (</w:t>
      </w:r>
      <m:oMath>
        <m:sSub>
          <m:e>
            <m:r>
              <m:t>S</m:t>
            </m:r>
          </m:e>
          <m:sub>
            <m:r>
              <m:rPr>
                <m:sty m:val="p"/>
              </m:rPr>
              <m:t>pol</m:t>
            </m:r>
          </m:sub>
        </m:sSub>
      </m:oMath>
      <w:r>
        <w:rPr>
          <w:rFonts w:ascii="Times New Roman" w:hAnsi="Times New Roman"/>
          <w:sz w:val="24"/>
        </w:rPr>
        <w:t>) via 2D BLAS matrix operations in sub-5ms runtime.</w:t>
      </w:r>
    </w:p>
    <w:p>
      <w:pPr>
        <w:spacing w:line="360" w:lineRule="auto" w:before="0" w:after="120"/>
        <w:jc w:val="both"/>
      </w:pPr>
      <w:r>
        <w:rPr>
          <w:rFonts w:ascii="Times New Roman" w:hAnsi="Times New Roman"/>
          <w:sz w:val="24"/>
        </w:rPr>
        <w:t xml:space="preserve">MIRF synthesizes these three views into a unified continuous sample reliability weight </w:t>
      </w:r>
      <m:oMath>
        <m:sSub>
          <m:e>
            <m:r>
              <m:t>w</m:t>
            </m:r>
          </m:e>
          <m:sub>
            <m:r>
              <m:t>ui</m:t>
            </m:r>
          </m:sub>
        </m:sSub>
        <m:r>
          <m:t>∈[0,1]</m:t>
        </m:r>
      </m:oMath>
      <w:r>
        <w:rPr>
          <w:rFonts w:ascii="Times New Roman" w:hAnsi="Times New Roman"/>
          <w:sz w:val="24"/>
        </w:rPr>
        <w:t xml:space="preserve">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 xml:space="preserve">Proven Theorem 3.1 (Tikhonov operator norm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19"/>
              </w:rPr>
              <w:t xml:space="preserve">), Theorem 3.2 (excess clean risk consistency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δ+𝒪(1/</m:t>
              </m:r>
              <m:rad>
                <m:radPr>
                  <m:degHide m:val="on"/>
                </m:radPr>
                <m:deg/>
                <m:e>
                  <m:r>
                    <m:t>N</m:t>
                  </m:r>
                </m:e>
              </m:rad>
              <m:r>
                <m:t>)</m:t>
              </m:r>
            </m:oMath>
            <w:r>
              <w:rPr>
                <w:rFonts w:ascii="Times New Roman" w:hAnsi="Times New Roman"/>
                <w:sz w:val="19"/>
              </w:rPr>
              <w:t>),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w:t>
            </w:r>
            <m:oMath>
              <m:sSub>
                <m:e>
                  <m:r>
                    <m:t>R</m:t>
                  </m:r>
                </m:e>
                <m:sub>
                  <m:r>
                    <m:rPr>
                      <m:sty m:val="p"/>
                    </m:rPr>
                    <m:t>bomb</m:t>
                  </m:r>
                </m:sub>
              </m:sSub>
            </m:oMath>
            <w:r>
              <w:rPr>
                <w:rFonts w:ascii="Times New Roman" w:hAnsi="Times New Roman"/>
                <w:b/>
                <w:sz w:val="19"/>
              </w:rPr>
              <w:t>),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ADVAIT RAVINDRAKUMAR VARHADE (23BCE5098) in fulfillment of the BCSE497J Project I requirements. While this report provides an end-to-end exposition of the complete RRFN-LLM-SUPER framework to preserve architectural coherence, the candidate's primary specialized contribution and engineering leadership lies in Mathematical Noise-Transition Modeling, Tikhonov Operator Inversion, Risk-Consistent Optimization &amp; Theoretical Proofs.</w:t>
              <w:br/>
              <w:br/>
              <w:t>Specific Responsibilities of ADVAIT RAVINDRAKUMAR VARHADE:</w:t>
              <w:br/>
              <w:t xml:space="preserve">Formulation and mathematical proof of Theorem 3.1 (Tikhonov spectral operator norm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1"/>
              </w:rPr>
              <w:t xml:space="preserve">), Theorem 3.2 (surrogate excess clean risk consistency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δ+𝒪(1/</m:t>
              </m:r>
              <m:rad>
                <m:radPr>
                  <m:degHide m:val="on"/>
                </m:radPr>
                <m:deg/>
                <m:e>
                  <m:r>
                    <m:t>N</m:t>
                  </m:r>
                </m:e>
              </m:rad>
              <m:r>
                <m:t>)</m:t>
              </m:r>
            </m:oMath>
            <w:r>
              <w:rPr>
                <w:rFonts w:ascii="Times New Roman" w:hAnsi="Times New Roman"/>
                <w:sz w:val="21"/>
              </w:rPr>
              <w:t>), consensus anchor selection, Riesz-Thorin Lipschitz gradient bounds, and overall system theoretical stability.</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 xml:space="preserve">During the Netflix Prize competition (2006–2009), latent factor models based on Matrix Factorization (MF) demonstrated decisive superiority over neighborhood methods (Koren et al., 2009). Matrix factorization projects users and items into a shared low-dimensional latent embedding space </w:t>
      </w:r>
      <m:oMath>
        <m:sSup>
          <m:e>
            <m:r>
              <m:t>ℝ</m:t>
            </m:r>
          </m:e>
          <m:sup>
            <m:r>
              <m:t>d</m:t>
            </m:r>
          </m:sup>
        </m:sSup>
      </m:oMath>
      <w:r>
        <w:rPr>
          <w:rFonts w:ascii="Times New Roman" w:hAnsi="Times New Roman"/>
          <w:sz w:val="24"/>
        </w:rPr>
        <w:t xml:space="preserve">, approximating the observed rating </w:t>
      </w:r>
      <m:oMath>
        <m:sSub>
          <m:e>
            <m:r>
              <m:t>r</m:t>
            </m:r>
          </m:e>
          <m:sub>
            <m:r>
              <m:t>ui</m:t>
            </m:r>
          </m:sub>
        </m:sSub>
      </m:oMath>
      <w:r>
        <w:rPr>
          <w:rFonts w:ascii="Times New Roman" w:hAnsi="Times New Roman"/>
          <w:sz w:val="24"/>
        </w:rPr>
        <w:t xml:space="preserve"> through the inner product of user latent vector </w:t>
      </w:r>
      <m:oMath>
        <m:sSub>
          <m:e>
            <m:r>
              <m:t>𝐩</m:t>
            </m:r>
          </m:e>
          <m:sub>
            <m:r>
              <m:t>u</m:t>
            </m:r>
          </m:sub>
        </m:sSub>
      </m:oMath>
      <w:r>
        <w:rPr>
          <w:rFonts w:ascii="Times New Roman" w:hAnsi="Times New Roman"/>
          <w:sz w:val="24"/>
        </w:rPr>
        <w:t xml:space="preserve"> and item latent vector </w:t>
      </w:r>
      <m:oMath>
        <m:sSub>
          <m:e>
            <m:r>
              <m:t>𝐪</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acc>
                    <m:accPr>
                      <m:chr m:val="̂"/>
                    </m:accPr>
                    <m:e>
                      <m:r>
                        <m:t>r</m:t>
                      </m:r>
                    </m:e>
                  </m:acc>
                </m:e>
                <m:sub>
                  <m:r>
                    <m:t>ui</m:t>
                  </m:r>
                </m:sub>
              </m:sSub>
              <m:r>
                <m:t>=μ+</m:t>
              </m:r>
              <m:sSub>
                <m:e>
                  <m:r>
                    <m:t>b</m:t>
                  </m:r>
                </m:e>
                <m:sub>
                  <m:r>
                    <m:t>u</m:t>
                  </m:r>
                </m:sub>
              </m:sSub>
              <m:r>
                <m:t>+</m:t>
              </m:r>
              <m:sSub>
                <m:e>
                  <m:r>
                    <m:t>b</m:t>
                  </m:r>
                </m:e>
                <m:sub>
                  <m:r>
                    <m:t>i</m:t>
                  </m:r>
                </m:sub>
              </m:sSub>
              <m:r>
                <m:t>+</m:t>
              </m:r>
              <m:sSubSup>
                <m:e>
                  <m:r>
                    <m:t>𝐩</m:t>
                  </m:r>
                </m:e>
                <m:sub>
                  <m:r>
                    <m:t>u</m:t>
                  </m:r>
                </m:sub>
                <m:sup>
                  <m:r>
                    <m:t>T</m:t>
                  </m:r>
                </m:sup>
              </m:sSubSup>
              <m:sSub>
                <m:e>
                  <m:r>
                    <m:t>𝐪</m:t>
                  </m:r>
                </m:e>
                <m:sub>
                  <m:r>
                    <m:t>i</m:t>
                  </m:r>
                </m:sub>
              </m:sSub>
            </m:oMath>
          </w:p>
        </w:tc>
        <w:tc>
          <w:tcPr>
            <w:tcW w:type="dxa" w:w="1134"/>
            <w:vAlign w:val="center"/>
            <w:shd w:fill="F8F9FA"/>
          </w:tcPr>
          <w:p>
            <w:pPr>
              <w:spacing w:line="276" w:lineRule="auto" w:before="80" w:after="80"/>
              <w:jc w:val="right"/>
            </w:pPr>
            <w:r>
              <w:rPr>
                <w:rFonts w:ascii="Times New Roman" w:hAnsi="Times New Roman"/>
                <w:b/>
                <w:sz w:val="22"/>
              </w:rPr>
              <w:t>(2.1)</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μ</m:t>
        </m:r>
      </m:oMath>
      <w:r>
        <w:rPr>
          <w:rFonts w:ascii="Times New Roman" w:hAnsi="Times New Roman"/>
          <w:sz w:val="24"/>
        </w:rPr>
        <w:t xml:space="preserve"> represents the global bias, and </w:t>
      </w:r>
      <m:oMath>
        <m:sSub>
          <m:e>
            <m:r>
              <m:t>b</m:t>
            </m:r>
          </m:e>
          <m:sub>
            <m:r>
              <m:t>u</m:t>
            </m:r>
          </m:sub>
        </m:sSub>
        <m:r>
          <m:t>,</m:t>
        </m:r>
        <m:sSub>
          <m:e>
            <m:r>
              <m:t>b</m:t>
            </m:r>
          </m:e>
          <m:sub>
            <m:r>
              <m:t>i</m:t>
            </m:r>
          </m:sub>
        </m:sSub>
      </m:oMath>
      <w:r>
        <w:rPr>
          <w:rFonts w:ascii="Times New Roman" w:hAnsi="Times New Roman"/>
          <w:sz w:val="24"/>
        </w:rPr>
        <w:t xml:space="preserve"> denote the user-specific and item-specific bias parameters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 xml:space="preserve">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w:t>
      </w:r>
      <m:oMath>
        <m:r>
          <m:t>𝒢=(𝒰,ℐ,ℰ)</m:t>
        </m:r>
      </m:oMath>
      <w:r>
        <w:rPr>
          <w:rFonts w:ascii="Times New Roman" w:hAnsi="Times New Roman"/>
          <w:sz w:val="24"/>
        </w:rPr>
        <w:t>.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𝐞</m:t>
                  </m:r>
                </m:e>
                <m:sub>
                  <m:r>
                    <m:t>u</m:t>
                  </m:r>
                </m:sub>
                <m:sup>
                  <m:d>
                    <m:dPr>
                      <m:sepChr m:val="+"/>
                    </m:dPr>
                    <m:e>
                      <m:r>
                        <m:t>l</m:t>
                      </m:r>
                    </m:e>
                    <m:e>
                      <m:r>
                        <m:t>1</m:t>
                      </m:r>
                    </m:e>
                  </m:d>
                </m:sup>
              </m:sSubSup>
              <m:r>
                <m:t>=</m:t>
              </m:r>
              <m:nary>
                <m:naryPr>
                  <m:chr m:val="∑"/>
                  <m:limLoc m:val="subSup"/>
                  <m:grow m:val="1"/>
                  <m:subHide m:val="off"/>
                  <m:supHide m:val="on"/>
                </m:naryPr>
                <m:sub>
                  <m:r>
                    <m:t>i∈</m:t>
                  </m:r>
                  <m:sSub>
                    <m:e>
                      <m:r>
                        <m:t>𝒩</m:t>
                      </m:r>
                    </m:e>
                    <m:sub>
                      <m:r>
                        <m:t>u</m:t>
                      </m:r>
                    </m:sub>
                  </m:sSub>
                </m:sub>
                <m:sup/>
                <m:e>
                  <m:f>
                    <m:fPr>
                      <m:type m:val="bar"/>
                    </m:fPr>
                    <m:num>
                      <m:r>
                        <m:t>1</m:t>
                      </m:r>
                    </m:num>
                    <m:den>
                      <m:rad>
                        <m:radPr>
                          <m:degHide m:val="on"/>
                        </m:radPr>
                        <m:deg/>
                        <m:e>
                          <m:d>
                            <m:dPr>
                              <m:begChr m:val="|"/>
                              <m:sepChr m:val=""/>
                              <m:endChr m:val="|"/>
                            </m:dPr>
                            <m:e>
                              <m:sSub>
                                <m:e>
                                  <m:r>
                                    <m:t>𝒩</m:t>
                                  </m:r>
                                </m:e>
                                <m:sub>
                                  <m:r>
                                    <m:t>u</m:t>
                                  </m:r>
                                </m:sub>
                              </m:sSub>
                              <m:r>
                                <m:t>|</m:t>
                              </m:r>
                              <m:r>
                                <m:t>·</m:t>
                              </m:r>
                              <m:r>
                                <m:t>|</m:t>
                              </m:r>
                              <m:sSub>
                                <m:e>
                                  <m:r>
                                    <m:t>𝒩</m:t>
                                  </m:r>
                                </m:e>
                                <m:sub>
                                  <m:r>
                                    <m:t>i</m:t>
                                  </m:r>
                                </m:sub>
                              </m:sSub>
                            </m:e>
                          </m:d>
                        </m:e>
                      </m:rad>
                    </m:den>
                  </m:f>
                </m:e>
              </m:nary>
              <m:sSubSup>
                <m:e>
                  <m:r>
                    <m:t>𝐞</m:t>
                  </m:r>
                </m:e>
                <m:sub>
                  <m:r>
                    <m:t>i</m:t>
                  </m:r>
                </m:sub>
                <m:sup>
                  <m:d>
                    <m:dPr>
                      <m:sepChr m:val=""/>
                    </m:dPr>
                    <m:e>
                      <m:r>
                        <m:t>l</m:t>
                      </m:r>
                    </m:e>
                  </m:d>
                </m:sup>
              </m:sSubSup>
            </m:oMath>
          </w:p>
        </w:tc>
        <w:tc>
          <w:tcPr>
            <w:tcW w:type="dxa" w:w="1134"/>
            <w:vAlign w:val="center"/>
            <w:shd w:fill="F8F9FA"/>
          </w:tcPr>
          <w:p>
            <w:pPr>
              <w:spacing w:line="276" w:lineRule="auto" w:before="80" w:after="80"/>
              <w:jc w:val="right"/>
            </w:pPr>
            <w:r>
              <w:rPr>
                <w:rFonts w:ascii="Times New Roman" w:hAnsi="Times New Roman"/>
                <w:b/>
                <w:sz w:val="22"/>
              </w:rPr>
              <w:t>(2.2)</w:t>
            </w:r>
          </w:p>
        </w:tc>
      </w:tr>
    </w:tbl>
    <w:p>
      <w:pPr>
        <w:spacing w:before="40" w:after="80" w:line="240" w:lineRule="auto"/>
      </w:pPr>
    </w:p>
    <w:p>
      <w:pPr>
        <w:spacing w:line="360" w:lineRule="auto" w:before="0" w:after="120"/>
        <w:jc w:val="both"/>
      </w:pPr>
      <w:r>
        <w:rPr>
          <w:rFonts w:ascii="Times New Roman" w:hAnsi="Times New Roman"/>
          <w:sz w:val="24"/>
        </w:rPr>
        <w:t>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 xml:space="preserve">In statistical machine learning, learning with noisy labels has been extensively studied within supervised computer vision (Patrini et al., 2017; Natarajan et al., 2013). The central premise models observed labels </w:t>
      </w:r>
      <m:oMath>
        <m:limUpp>
          <m:e>
            <m:r>
              <m:t>Y</m:t>
            </m:r>
          </m:e>
          <m:lim>
            <m:r>
              <m:t>~</m:t>
            </m:r>
          </m:lim>
        </m:limUpp>
      </m:oMath>
      <w:r>
        <w:rPr>
          <w:rFonts w:ascii="Times New Roman" w:hAnsi="Times New Roman"/>
          <w:sz w:val="24"/>
        </w:rPr>
        <w:t xml:space="preserve"> as probabilistic corruptions of true clean labels </w:t>
      </w:r>
      <m:oMath>
        <m:sSup>
          <m:e>
            <m:r>
              <m:t>Y</m:t>
            </m:r>
          </m:e>
          <m:sup>
            <m:r>
              <m:t>*</m:t>
            </m:r>
          </m:sup>
        </m:sSup>
      </m:oMath>
      <w:r>
        <w:rPr>
          <w:rFonts w:ascii="Times New Roman" w:hAnsi="Times New Roman"/>
          <w:sz w:val="24"/>
        </w:rPr>
        <w:t xml:space="preserve"> governed by a class-conditional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(2.3)</w:t>
            </w:r>
          </w:p>
        </w:tc>
      </w:tr>
    </w:tbl>
    <w:p>
      <w:pPr>
        <w:spacing w:before="40" w:after="80" w:line="240" w:lineRule="auto"/>
      </w:pPr>
    </w:p>
    <w:p>
      <w:pPr>
        <w:spacing w:line="360" w:lineRule="auto" w:before="0" w:after="120"/>
        <w:jc w:val="both"/>
      </w:pPr>
      <w:r>
        <w:rPr>
          <w:rFonts w:ascii="Times New Roman" w:hAnsi="Times New Roman"/>
          <w:sz w:val="24"/>
        </w:rPr>
        <w:t>Loss correction techniques generally follow two paradigms: Backward Correction, which multiplies the empirical loss vector by the inverse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backward</m:t>
                  </m:r>
                </m:sub>
              </m:sSub>
              <m:r>
                <m:t>=</m:t>
              </m:r>
              <m:sSup>
                <m:e>
                  <m:r>
                    <m:t>T</m:t>
                  </m:r>
                </m:e>
                <m:sup>
                  <m:r>
                    <m:t>−1</m:t>
                  </m:r>
                </m:sup>
              </m:sSup>
              <m:r>
                <m:t>ℓ(𝐩,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(2.4)</w:t>
            </w:r>
          </w:p>
        </w:tc>
      </w:tr>
    </w:tbl>
    <w:p>
      <w:pPr>
        <w:spacing w:before="40" w:after="80" w:line="240" w:lineRule="auto"/>
      </w:pPr>
    </w:p>
    <w:p>
      <w:pPr>
        <w:spacing w:line="360" w:lineRule="auto" w:before="0" w:after="120"/>
        <w:jc w:val="both"/>
      </w:pPr>
      <w:r>
        <w:rPr>
          <w:rFonts w:ascii="Times New Roman" w:hAnsi="Times New Roman"/>
          <w:sz w:val="24"/>
        </w:rPr>
        <w:t>and Forward Correction, which projects model prediction probabilities through the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forward</m:t>
                  </m:r>
                </m:sub>
              </m:sSub>
              <m:r>
                <m:t>=</m:t>
              </m:r>
              <m:sSub>
                <m:e>
                  <m:r>
                    <m:t>ℓ</m:t>
                  </m:r>
                </m:e>
                <m:sub>
                  <m:r>
                    <m:rPr>
                      <m:sty m:val="p"/>
                    </m:rPr>
                    <m:t>CE</m:t>
                  </m:r>
                </m:sub>
              </m:sSub>
              <m:r>
                <m:t>(</m:t>
              </m:r>
              <m:sSup>
                <m:e>
                  <m:r>
                    <m:t>T</m:t>
                  </m:r>
                </m:e>
                <m:sup>
                  <m:r>
                    <m:t>T</m:t>
                  </m:r>
                </m:sup>
              </m:sSup>
              <m:r>
                <m:t>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(2.5)</w:t>
            </w:r>
          </w:p>
        </w:tc>
      </w:tr>
    </w:tbl>
    <w:p>
      <w:pPr>
        <w:spacing w:before="40" w:after="80" w:line="240" w:lineRule="auto"/>
      </w:pP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 xml:space="preserve">Spectral Instability: When the estimated transition matrix </w:t>
      </w:r>
      <m:oMath>
        <m:r>
          <m:t>T</m:t>
        </m:r>
      </m:oMath>
      <w:r>
        <w:rPr>
          <w:rFonts w:ascii="Times New Roman" w:hAnsi="Times New Roman"/>
          <w:sz w:val="24"/>
        </w:rPr>
        <w:t xml:space="preserve"> is ill-conditioned or nearly singular (which occurs frequently in sparse recommendation data), naive matrix inversion </w:t>
      </w:r>
      <m:oMath>
        <m:sSup>
          <m:e>
            <m:r>
              <m:t>T</m:t>
            </m:r>
          </m:e>
          <m:sup>
            <m:r>
              <m:t>−1</m:t>
            </m:r>
          </m:sup>
        </m:sSup>
      </m:oMath>
      <w:r>
        <w:rPr>
          <w:rFonts w:ascii="Times New Roman" w:hAnsi="Times New Roman"/>
          <w:sz w:val="24"/>
        </w:rPr>
        <w:t xml:space="preserve">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 xml:space="preserve">Inverse Propensity Scoring (IPS): Weights training instances by the inverse probability of item exposure, </w:t>
      </w:r>
      <m:oMath>
        <m:r>
          <m:t>P(</m:t>
        </m:r>
        <m:sSub>
          <m:e>
            <m:r>
              <m:t>O</m:t>
            </m:r>
          </m:e>
          <m:sub>
            <m:r>
              <m:t>ui</m:t>
            </m:r>
          </m:sub>
        </m:sSub>
        <m:r>
          <m:t>=1</m:t>
        </m:r>
        <m:sSup>
          <m:e>
            <m:r>
              <m:t>)</m:t>
            </m:r>
          </m:e>
          <m:sup>
            <m:r>
              <m:t>−1</m:t>
            </m:r>
          </m:sup>
        </m:sSup>
      </m:oMath>
      <w:r>
        <w:rPr>
          <w:rFonts w:ascii="Times New Roman" w:hAnsi="Times New Roman"/>
          <w:sz w:val="24"/>
        </w:rPr>
        <w:t>.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 xml:space="preserve">The catalog </w:t>
      </w:r>
      <m:oMath>
        <m:r>
          <m:t>ℐ</m:t>
        </m:r>
      </m:oMath>
      <w:r>
        <w:rPr>
          <w:rFonts w:ascii="Times New Roman" w:hAnsi="Times New Roman"/>
          <w:sz w:val="24"/>
        </w:rPr>
        <w:t xml:space="preserve"> is partitioned at a Pareto cut-off (e.g., </w:t>
      </w:r>
      <m:oMath>
        <m:r>
          <m:t>ρ=0.20</m:t>
        </m:r>
      </m:oMath>
      <w:r>
        <w:rPr>
          <w:rFonts w:ascii="Times New Roman" w:hAnsi="Times New Roman"/>
          <w:sz w:val="24"/>
        </w:rPr>
        <w:t xml:space="preserve">) into popular Head items </w:t>
      </w:r>
      <m:oMath>
        <m:sSub>
          <m:e>
            <m:r>
              <m:t>ℐ</m:t>
            </m:r>
          </m:e>
          <m:sub>
            <m:r>
              <m:rPr>
                <m:sty m:val="p"/>
              </m:rPr>
              <m:t>head</m:t>
            </m:r>
          </m:sub>
        </m:sSub>
      </m:oMath>
      <w:r>
        <w:rPr>
          <w:rFonts w:ascii="Times New Roman" w:hAnsi="Times New Roman"/>
          <w:sz w:val="24"/>
        </w:rPr>
        <w:t xml:space="preserve"> and long-tail Tail items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 xml:space="preserve">Two specialized sub-models are trained independently: a Head Model </w:t>
      </w:r>
      <m:oMath>
        <m:sSub>
          <m:e>
            <m:r>
              <m:t>M</m:t>
            </m:r>
          </m:e>
          <m:sub>
            <m:r>
              <m:rPr>
                <m:sty m:val="p"/>
              </m:rPr>
              <m:t>pop</m:t>
            </m:r>
          </m:sub>
        </m:sSub>
      </m:oMath>
      <w:r>
        <w:rPr>
          <w:rFonts w:ascii="Times New Roman" w:hAnsi="Times New Roman"/>
          <w:sz w:val="24"/>
        </w:rPr>
        <w:t xml:space="preserve"> trained exclusively on head interactions, and a Tail Model </w:t>
      </w:r>
      <m:oMath>
        <m:sSub>
          <m:e>
            <m:r>
              <m:t>M</m:t>
            </m:r>
          </m:e>
          <m:sub>
            <m:r>
              <m:rPr>
                <m:sty m:val="p"/>
              </m:rPr>
              <m:t>tail</m:t>
            </m:r>
          </m:sub>
        </m:sSub>
      </m:oMath>
      <w:r>
        <w:rPr>
          <w:rFonts w:ascii="Times New Roman" w:hAnsi="Times New Roman"/>
          <w:sz w:val="24"/>
        </w:rPr>
        <w:t xml:space="preserve">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 xml:space="preserve">For each user </w:t>
      </w:r>
      <m:oMath>
        <m:r>
          <m:t>u</m:t>
        </m:r>
      </m:oMath>
      <w:r>
        <w:rPr>
          <w:rFonts w:ascii="Times New Roman" w:hAnsi="Times New Roman"/>
          <w:sz w:val="24"/>
        </w:rPr>
        <w:t xml:space="preserve">, a personalized tail preference inclination </w:t>
      </w:r>
      <m:oMath>
        <m:sSub>
          <m:e>
            <m:r>
              <m:t>α</m:t>
            </m:r>
          </m:e>
          <m:sub>
            <m:r>
              <m:t>u</m:t>
            </m:r>
          </m:sub>
        </m:sSub>
        <m:r>
          <m:t>∈[0,1]</m:t>
        </m:r>
      </m:oMath>
      <w:r>
        <w:rPr>
          <w:rFonts w:ascii="Times New Roman" w:hAnsi="Times New Roman"/>
          <w:sz w:val="24"/>
        </w:rPr>
        <w:t xml:space="preserve"> is computed from their historical interaction blueprint </w:t>
      </w:r>
      <m:oMath>
        <m:sSub>
          <m:e>
            <m:r>
              <m:t>ℬ</m:t>
            </m:r>
          </m:e>
          <m:sub>
            <m:r>
              <m:t>u</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d>
                    <m:dPr>
                      <m:begChr m:val="|"/>
                      <m:sepChr m:val="∩"/>
                      <m:endChr m:val="|"/>
                    </m:dPr>
                    <m:e>
                      <m:sSub>
                        <m:e>
                          <m:r>
                            <m:t>ℬ</m:t>
                          </m:r>
                        </m:e>
                        <m:sub>
                          <m:r>
                            <m:t>u</m:t>
                          </m:r>
                        </m:sub>
                      </m:sSub>
                    </m:e>
                    <m:e>
                      <m:sSub>
                        <m:e>
                          <m:r>
                            <m:t>ℐ</m:t>
                          </m:r>
                        </m:e>
                        <m:sub>
                          <m:r>
                            <m:rPr>
                              <m:sty m:val="p"/>
                            </m:rPr>
                            <m:t>tail</m:t>
                          </m:r>
                        </m:sub>
                      </m:sSub>
                    </m:e>
                  </m:d>
                </m:num>
                <m:den>
                  <m:d>
                    <m:dPr>
                      <m:begChr m:val="|"/>
                      <m:sepChr m:val=""/>
                      <m:endChr m:val="|"/>
                    </m:dPr>
                    <m:e>
                      <m:sSub>
                        <m:e>
                          <m:r>
                            <m:t>ℬ</m:t>
                          </m:r>
                        </m:e>
                        <m:sub>
                          <m:r>
                            <m:t>u</m:t>
                          </m:r>
                        </m:sub>
                      </m:sSub>
                    </m:e>
                  </m:d>
                </m:den>
              </m:f>
            </m:oMath>
          </w:p>
        </w:tc>
        <w:tc>
          <w:tcPr>
            <w:tcW w:type="dxa" w:w="1134"/>
            <w:vAlign w:val="center"/>
            <w:shd w:fill="F8F9FA"/>
          </w:tcPr>
          <w:p>
            <w:pPr>
              <w:spacing w:line="276" w:lineRule="auto" w:before="80" w:after="80"/>
              <w:jc w:val="right"/>
            </w:pPr>
            <w:r>
              <w:rPr>
                <w:rFonts w:ascii="Times New Roman" w:hAnsi="Times New Roman"/>
                <w:b/>
                <w:sz w:val="22"/>
              </w:rPr>
              <w:t>(2.6)</w:t>
            </w:r>
          </w:p>
        </w:tc>
      </w:tr>
    </w:tbl>
    <w:p>
      <w:pPr>
        <w:spacing w:before="40" w:after="80" w:line="240" w:lineRule="auto"/>
      </w:pP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 xml:space="preserve">During inference, candidate recommendation lists from </w:t>
      </w:r>
      <m:oMath>
        <m:sSub>
          <m:e>
            <m:r>
              <m:t>M</m:t>
            </m:r>
          </m:e>
          <m:sub>
            <m:r>
              <m:rPr>
                <m:sty m:val="p"/>
              </m:rPr>
              <m:t>pop</m:t>
            </m:r>
          </m:sub>
        </m:sSub>
      </m:oMath>
      <w:r>
        <w:rPr>
          <w:rFonts w:ascii="Times New Roman" w:hAnsi="Times New Roman"/>
          <w:sz w:val="24"/>
        </w:rPr>
        <w:t xml:space="preserve"> and </w:t>
      </w:r>
      <m:oMath>
        <m:sSub>
          <m:e>
            <m:r>
              <m:t>M</m:t>
            </m:r>
          </m:e>
          <m:sub>
            <m:r>
              <m:rPr>
                <m:sty m:val="p"/>
              </m:rPr>
              <m:t>tail</m:t>
            </m:r>
          </m:sub>
        </m:sSub>
      </m:oMath>
      <w:r>
        <w:rPr>
          <w:rFonts w:ascii="Times New Roman" w:hAnsi="Times New Roman"/>
          <w:sz w:val="24"/>
        </w:rPr>
        <w:t xml:space="preserve"> are soft-merged by dynamically interleaving items to satisfy each user's personalized tail quota </w:t>
      </w:r>
      <m:oMath>
        <m:sSub>
          <m:e>
            <m:r>
              <m:t>α</m:t>
            </m:r>
          </m:e>
          <m:sub>
            <m:r>
              <m:t>u</m:t>
            </m:r>
          </m:sub>
        </m:sSub>
        <m:r>
          <m:t>·K</m:t>
        </m:r>
      </m:oMath>
      <w:r>
        <w:rPr>
          <w:rFonts w:ascii="Times New Roman" w:hAnsi="Times New Roman"/>
          <w:sz w:val="24"/>
        </w:rPr>
        <w:t>.</w:t>
      </w:r>
    </w:p>
    <w:p>
      <w:pPr>
        <w:spacing w:line="360" w:lineRule="auto" w:before="0" w:after="120"/>
        <w:jc w:val="both"/>
      </w:pPr>
      <w:r>
        <w:rPr>
          <w:rFonts w:ascii="Times New Roman" w:hAnsi="Times New Roman"/>
          <w:sz w:val="24"/>
        </w:rPr>
        <w:t xml:space="preserve">The Critical Vulnerability of Standalone SUP: Despite its mathematical elegance, standalone SUPER is completely defenceless against adversarial data injection. SUPER treats the historical user blueprint </w:t>
      </w:r>
      <m:oMath>
        <m:sSub>
          <m:e>
            <m:r>
              <m:t>ℬ</m:t>
            </m:r>
          </m:e>
          <m:sub>
            <m:r>
              <m:t>u</m:t>
            </m:r>
          </m:sub>
        </m:sSub>
      </m:oMath>
      <w:r>
        <w:rPr>
          <w:rFonts w:ascii="Times New Roman" w:hAnsi="Times New Roman"/>
          <w:sz w:val="24"/>
        </w:rPr>
        <w:t xml:space="preserve"> as an immaculate ground-truth oracle. When adversarial bot accounts inject fake ratings on bandwagon tail targets, SUPER incorporates these fake interactions into the blueprints </w:t>
      </w:r>
      <m:oMath>
        <m:sSub>
          <m:e>
            <m:r>
              <m:t>ℬ</m:t>
            </m:r>
          </m:e>
          <m:sub>
            <m:r>
              <m:t>u</m:t>
            </m:r>
          </m:sub>
        </m:sSub>
      </m:oMath>
      <w:r>
        <w:rPr>
          <w:rFonts w:ascii="Times New Roman" w:hAnsi="Times New Roman"/>
          <w:sz w:val="24"/>
        </w:rPr>
        <w:t xml:space="preserve">. This corrupts </w:t>
      </w:r>
      <m:oMath>
        <m:sSub>
          <m:e>
            <m:r>
              <m:t>α</m:t>
            </m:r>
          </m:e>
          <m:sub>
            <m:r>
              <m:t>u</m:t>
            </m:r>
          </m:sub>
        </m:sSub>
      </m:oMath>
      <w:r>
        <w:rPr>
          <w:rFonts w:ascii="Times New Roman" w:hAnsi="Times New Roman"/>
          <w:sz w:val="24"/>
        </w:rPr>
        <w:t>,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 xml:space="preserve">Wu et al. (2021) introduced Self-supervised Graph Learning (SGL), generating contrastive views via structural graph augmentations: Node Dropout (randomly removing vertices), Edge Dropout (randomly masking edges with probability </w:t>
      </w:r>
      <m:oMath>
        <m:sSub>
          <m:e>
            <m:r>
              <m:t>p</m:t>
            </m:r>
          </m:e>
          <m:sub>
            <m:r>
              <m:rPr>
                <m:sty m:val="p"/>
              </m:rPr>
              <m:t>drop</m:t>
            </m:r>
          </m:sub>
        </m:sSub>
      </m:oMath>
      <w:r>
        <w:rPr>
          <w:rFonts w:ascii="Times New Roman" w:hAnsi="Times New Roman"/>
          <w:sz w:val="24"/>
        </w:rPr>
        <w:t>),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p>
        </w:tc>
        <w:tc>
          <w:tcPr>
            <w:tcW w:type="dxa" w:w="1134"/>
            <w:vAlign w:val="center"/>
            <w:shd w:fill="F8F9FA"/>
          </w:tcPr>
          <w:p>
            <w:pPr>
              <w:spacing w:line="276" w:lineRule="auto" w:before="80" w:after="80"/>
              <w:jc w:val="right"/>
            </w:pPr>
            <w:r>
              <w:rPr>
                <w:rFonts w:ascii="Times New Roman" w:hAnsi="Times New Roman"/>
                <w:b/>
                <w:sz w:val="22"/>
              </w:rPr>
              <w:t>(2.7)</w:t>
            </w:r>
          </w:p>
        </w:tc>
      </w:tr>
    </w:tbl>
    <w:p>
      <w:pPr>
        <w:spacing w:before="40" w:after="80" w:line="240" w:lineRule="auto"/>
      </w:pPr>
    </w:p>
    <w:p>
      <w:pPr>
        <w:spacing w:line="360" w:lineRule="auto" w:before="0" w:after="120"/>
        <w:jc w:val="both"/>
      </w:pPr>
      <w:r>
        <w:rPr>
          <w:rFonts w:ascii="Times New Roman" w:hAnsi="Times New Roman"/>
          <w:sz w:val="24"/>
        </w:rPr>
        <w:t>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w:t>
      </w:r>
      <m:oMath>
        <m:sSub>
          <m:e>
            <m:r>
              <m:t>R</m:t>
            </m:r>
          </m:e>
          <m:sub>
            <m:r>
              <m:rPr>
                <m:sty m:val="p"/>
              </m:rPr>
              <m:t>RRFN</m:t>
            </m:r>
          </m:sub>
        </m:sSub>
      </m:oMath>
      <w:r>
        <w:rPr>
          <w:rFonts w:ascii="Times New Roman" w:hAnsi="Times New Roman"/>
          <w:sz w:val="24"/>
        </w:rPr>
        <w:t>), semantic natural language review audits via LLMs (</w:t>
      </w:r>
      <m:oMath>
        <m:sSub>
          <m:e>
            <m:r>
              <m:t>R</m:t>
            </m:r>
          </m:e>
          <m:sub>
            <m:r>
              <m:rPr>
                <m:sty m:val="p"/>
              </m:rPr>
              <m:t>LLM</m:t>
            </m:r>
          </m:sub>
        </m:sSub>
      </m:oMath>
      <w:r>
        <w:rPr>
          <w:rFonts w:ascii="Times New Roman" w:hAnsi="Times New Roman"/>
          <w:sz w:val="24"/>
        </w:rPr>
        <w:t>), and high-performance 2D BLAS temporal-polarity burst detection (</w:t>
      </w:r>
      <m:oMath>
        <m:sSub>
          <m:e>
            <m:r>
              <m:t>R</m:t>
            </m:r>
          </m:e>
          <m:sub>
            <m:r>
              <m:rPr>
                <m:sty m:val="p"/>
              </m:rPr>
              <m:t>bomb</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 xml:space="preserve">Multi-View Interaction Reliability Filter (MIRF) — Tri-view auditing layer synthesizing statistical noise-transition estimation (Tikhonov-regularized inverse </w:t>
      </w:r>
      <m:oMath>
        <m:sSubSup>
          <m:e>
            <m:r>
              <m:t>T</m:t>
            </m:r>
          </m:e>
          <m:sub>
            <m:r>
              <m:t>λ</m:t>
            </m:r>
          </m:sub>
          <m:sup>
            <m:r>
              <m:t>†</m:t>
            </m:r>
          </m:sup>
        </m:sSubSup>
      </m:oMath>
      <w:r>
        <w:rPr>
          <w:rFonts w:ascii="Times New Roman" w:hAnsi="Times New Roman"/>
          <w:sz w:val="24"/>
        </w:rPr>
        <w:t xml:space="preserve">), asynchronous LLM review verification with thread-safe SQLite WAL caching, and 2D Level-3 BLAS vectorized burst scoring (4.95 ms for 42,000 edges) into continuous sample trust weights </w:t>
      </w:r>
      <m:oMath>
        <m:sSub>
          <m:e>
            <m:r>
              <m:t>w</m:t>
            </m:r>
          </m:e>
          <m:sub>
            <m:r>
              <m:t>ui</m:t>
            </m:r>
          </m:sub>
        </m:sSub>
        <m:r>
          <m:t>∈[0,1]</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 xml:space="preserve">Risk-Aware Graph Contrastive Learning (GCL) — GNN neighborhood smoothing (LightGCN, NeuMF) and dual stochastic augmentations (SimGCL uniform noise </w:t>
      </w:r>
      <m:oMath>
        <m:sSup>
          <m:e>
            <m:r>
              <m:t>𝐳</m:t>
            </m:r>
          </m:e>
          <m:sup>
            <m:r>
              <m:t>′</m:t>
            </m:r>
          </m:sup>
        </m:sSup>
      </m:oMath>
      <w:r>
        <w:rPr>
          <w:rFonts w:ascii="Times New Roman" w:hAnsi="Times New Roman"/>
          <w:sz w:val="24"/>
        </w:rPr>
        <w:t xml:space="preserve"> and SGL edge dropout </w:t>
      </w:r>
      <m:oMath>
        <m:sSup>
          <m:e>
            <m:r>
              <m:t>𝐀</m:t>
            </m:r>
          </m:e>
          <m:sup>
            <m:r>
              <m:t>″</m:t>
            </m:r>
          </m:sup>
        </m:sSup>
      </m:oMath>
      <w:r>
        <w:rPr>
          <w:rFonts w:ascii="Times New Roman" w:hAnsi="Times New Roman"/>
          <w:sz w:val="24"/>
        </w:rPr>
        <w:t>)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w:t>
      </w:r>
      <m:oMath>
        <m:sSub>
          <m:e>
            <m:r>
              <m:t>ℳ</m:t>
            </m:r>
          </m:e>
          <m:sub>
            <m:r>
              <m:rPr>
                <m:sty m:val="p"/>
              </m:rPr>
              <m:t>pop</m:t>
            </m:r>
          </m:sub>
        </m:sSub>
      </m:oMath>
      <w:r>
        <w:rPr>
          <w:rFonts w:ascii="Times New Roman" w:hAnsi="Times New Roman"/>
          <w:sz w:val="24"/>
        </w:rPr>
        <w:t>) and Tail expert (</w:t>
      </w:r>
      <m:oMath>
        <m:sSub>
          <m:e>
            <m:r>
              <m:t>ℳ</m:t>
            </m:r>
          </m:e>
          <m:sub>
            <m:r>
              <m:rPr>
                <m:sty m:val="p"/>
              </m:rPr>
              <m:t>tail</m:t>
            </m:r>
          </m:sub>
        </m:sSub>
      </m:oMath>
      <w:r>
        <w:rPr>
          <w:rFonts w:ascii="Times New Roman" w:hAnsi="Times New Roman"/>
          <w:sz w:val="24"/>
        </w:rPr>
        <w:t>)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w:t>
      </w:r>
      <m:oMath>
        <m:sSub>
          <m:e>
            <m:r>
              <m:t>ℬ</m:t>
            </m:r>
          </m:e>
          <m:sub>
            <m:r>
              <m:t>u</m:t>
            </m:r>
          </m:sub>
        </m:sSub>
      </m:oMath>
      <w:r>
        <w:rPr>
          <w:rFonts w:ascii="Times New Roman" w:hAnsi="Times New Roman"/>
          <w:sz w:val="24"/>
        </w:rPr>
        <w:t xml:space="preserve">) by pruning edges below </w:t>
      </w:r>
      <m:oMath>
        <m:sSub>
          <m:e>
            <m:r>
              <m:t>θ</m:t>
            </m:r>
          </m:e>
          <m:sub>
            <m:r>
              <m:rPr>
                <m:sty m:val="p"/>
              </m:rPr>
              <m:t>trust</m:t>
            </m:r>
          </m:sub>
        </m:sSub>
      </m:oMath>
      <w:r>
        <w:rPr>
          <w:rFonts w:ascii="Times New Roman" w:hAnsi="Times New Roman"/>
          <w:sz w:val="24"/>
        </w:rPr>
        <w:t>, calculates personalized tail inclination quotas (</w:t>
      </w:r>
      <m:oMath>
        <m:sSub>
          <m:e>
            <m:r>
              <m:t>α</m:t>
            </m:r>
          </m:e>
          <m:sub>
            <m:r>
              <m:t>u</m:t>
            </m:r>
          </m:sub>
        </m:sSub>
      </m:oMath>
      <w:r>
        <w:rPr>
          <w:rFonts w:ascii="Times New Roman" w:hAnsi="Times New Roman"/>
          <w:sz w:val="24"/>
        </w:rPr>
        <w:t>),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 xml:space="preserve">None. Assumes interaction graph </w:t>
            </w:r>
            <m:oMath>
              <m:r>
                <m:t>𝒢</m:t>
              </m:r>
            </m:oMath>
            <w:r>
              <w:rPr>
                <w:rFonts w:ascii="Times New Roman" w:hAnsi="Times New Roman"/>
                <w:sz w:val="19"/>
              </w:rPr>
              <w:t xml:space="preserve"> is completely clean.</w:t>
            </w:r>
          </w:p>
        </w:tc>
        <w:tc>
          <w:tcPr>
            <w:tcW w:type="dxa" w:w="3231"/>
          </w:tcPr>
          <w:p>
            <w:pPr>
              <w:spacing w:line="252" w:lineRule="auto" w:before="50" w:after="50"/>
              <w:jc w:val="center"/>
            </w:pPr>
            <w:r>
              <w:rPr>
                <w:rFonts w:ascii="Times New Roman" w:hAnsi="Times New Roman"/>
                <w:sz w:val="19"/>
              </w:rPr>
              <w:t xml:space="preserve">Robust. Corrects rating shifts via </w:t>
            </w:r>
            <m:oMath>
              <m:r>
                <m:t>T</m:t>
              </m:r>
            </m:oMath>
            <w:r>
              <w:rPr>
                <w:rFonts w:ascii="Times New Roman" w:hAnsi="Times New Roman"/>
                <w:sz w:val="19"/>
              </w:rPr>
              <w:t xml:space="preserve">, downweights poisoned edges via MIRF </w:t>
            </w:r>
            <m:oMath>
              <m:sSub>
                <m:e>
                  <m:r>
                    <m:t>w</m:t>
                  </m:r>
                </m:e>
                <m:sub>
                  <m:r>
                    <m:t>ui</m:t>
                  </m:r>
                </m:sub>
              </m:sSub>
            </m:oMath>
            <w:r>
              <w:rPr>
                <w:rFonts w:ascii="Times New Roman" w:hAnsi="Times New Roman"/>
                <w:sz w:val="19"/>
              </w:rPr>
              <w:t>,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 xml:space="preserve">Pareto item partition with unweighted blueprint tail inclination </w:t>
            </w:r>
            <m:oMath>
              <m:sSub>
                <m:e>
                  <m:r>
                    <m:t>α</m:t>
                  </m:r>
                </m:e>
                <m:sub>
                  <m:r>
                    <m:t>u</m:t>
                  </m:r>
                </m:sub>
              </m:sSub>
            </m:oMath>
            <w:r>
              <w:rPr>
                <w:rFonts w:ascii="Times New Roman" w:hAnsi="Times New Roman"/>
                <w:sz w:val="19"/>
              </w:rPr>
              <w:t>.</w:t>
            </w:r>
          </w:p>
        </w:tc>
        <w:tc>
          <w:tcPr>
            <w:tcW w:type="dxa" w:w="3231"/>
            <w:shd w:fill="F9FBFC"/>
          </w:tcPr>
          <w:p>
            <w:pPr>
              <w:spacing w:line="252" w:lineRule="auto" w:before="50" w:after="50"/>
              <w:jc w:val="center"/>
            </w:pPr>
            <w:r>
              <w:rPr>
                <w:rFonts w:ascii="Times New Roman" w:hAnsi="Times New Roman"/>
                <w:sz w:val="19"/>
              </w:rPr>
              <w:t xml:space="preserve">Denoised blueprint filtering removing fake interactions before computing calibrated user inclination </w:t>
            </w:r>
            <m:oMath>
              <m:sSub>
                <m:e>
                  <m:r>
                    <m:t>α</m:t>
                  </m:r>
                </m:e>
                <m:sub>
                  <m:r>
                    <m:t>u</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 xml:space="preserve">Core Stage 1 &amp; 2 foundation providing stochastic transition matrix </w:t>
            </w:r>
            <m:oMath>
              <m:r>
                <m:t>T</m:t>
              </m:r>
            </m:oMath>
            <w:r>
              <w:rPr>
                <w:rFonts w:ascii="Times New Roman" w:hAnsi="Times New Roman"/>
                <w:sz w:val="19"/>
              </w:rPr>
              <w:t xml:space="preserve"> and fused MIRF sample weights </w:t>
            </w:r>
            <m:oMath>
              <m:sSub>
                <m:e>
                  <m:r>
                    <m:t>w</m:t>
                  </m:r>
                </m:e>
                <m:sub>
                  <m:r>
                    <m:t>ui</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w:t>
            </w:r>
            <m:oMath>
              <m:sSub>
                <m:e>
                  <m:r>
                    <m:t>ℒ</m:t>
                  </m:r>
                </m:e>
                <m:sub>
                  <m:r>
                    <m:rPr>
                      <m:sty m:val="p"/>
                    </m:rPr>
                    <m:t>risk</m:t>
                  </m:r>
                </m:sub>
              </m:sSub>
            </m:oMath>
            <w:r>
              <w:rPr>
                <w:rFonts w:ascii="Times New Roman" w:hAnsi="Times New Roman"/>
                <w:sz w:val="19"/>
              </w:rPr>
              <w:t>) combined with contrastive InfoNCE (</w:t>
            </w:r>
            <m:oMath>
              <m:sSub>
                <m:e>
                  <m:r>
                    <m:t>ℒ</m:t>
                  </m:r>
                </m:e>
                <m:sub>
                  <m:r>
                    <m:rPr>
                      <m:sty m:val="p"/>
                    </m:rPr>
                    <m:t>cl</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m:oMath>
              <m:r>
                <m:t>𝒪(</m:t>
              </m:r>
              <m:sSub>
                <m:e>
                  <m:r>
                    <m:t>E</m:t>
                  </m:r>
                </m:e>
                <m:sub>
                  <m:r>
                    <m:rPr>
                      <m:sty m:val="p"/>
                    </m:rPr>
                    <m:t>epochs</m:t>
                  </m:r>
                </m:sub>
              </m:sSub>
              <m:r>
                <m:t>·|ℰ|·d+|𝒰|·|ℐ|·</m:t>
              </m:r>
              <m:r>
                <m:rPr>
                  <m:sty m:val="p"/>
                </m:rPr>
                <m:t>log</m:t>
              </m:r>
              <m:r>
                <m:t>K)</m:t>
              </m:r>
            </m:oMath>
            <w:r>
              <w:rPr>
                <w:rFonts w:ascii="Times New Roman" w:hAnsi="Times New Roman"/>
                <w:sz w:val="19"/>
              </w:rPr>
              <w:t>.</w:t>
            </w:r>
          </w:p>
        </w:tc>
        <w:tc>
          <w:tcPr>
            <w:tcW w:type="dxa" w:w="3231"/>
          </w:tcPr>
          <w:p>
            <w:pPr>
              <w:spacing w:line="252" w:lineRule="auto" w:before="50" w:after="50"/>
              <w:jc w:val="center"/>
            </w:pPr>
            <m:oMath>
              <m:r>
                <m:t>𝒪(</m:t>
              </m:r>
              <m:sSub>
                <m:e>
                  <m:r>
                    <m:t>E</m:t>
                  </m:r>
                </m:e>
                <m:sub>
                  <m:r>
                    <m:rPr>
                      <m:sty m:val="p"/>
                    </m:rPr>
                    <m:t>epochs</m:t>
                  </m:r>
                </m:sub>
              </m:sSub>
              <m:r>
                <m:t>·(L·|ℰ|·d+</m:t>
              </m:r>
              <m:sSup>
                <m:e>
                  <m:r>
                    <m:t>B</m:t>
                  </m:r>
                </m:e>
                <m:sup>
                  <m:r>
                    <m:t>2</m:t>
                  </m:r>
                </m:sup>
              </m:sSup>
              <m:r>
                <m:t>·d)+|𝒰|·|ℐ|·</m:t>
              </m:r>
              <m:r>
                <m:rPr>
                  <m:sty m:val="p"/>
                </m:rPr>
                <m:t>log</m:t>
              </m:r>
              <m:r>
                <m:t>K)</m:t>
              </m:r>
            </m:oMath>
            <w:r>
              <w:rPr>
                <w:rFonts w:ascii="Times New Roman" w:hAnsi="Times New Roman"/>
                <w:sz w:val="19"/>
              </w:rPr>
              <w:t xml:space="preserve">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m:oMath>
              <m:r>
                <m:t>𝒪((|𝒰|+|ℐ|)·d+|ℰ|)</m:t>
              </m:r>
            </m:oMath>
            <w:r>
              <w:rPr>
                <w:rFonts w:ascii="Times New Roman" w:hAnsi="Times New Roman"/>
                <w:sz w:val="19"/>
              </w:rPr>
              <w:t>.</w:t>
            </w:r>
          </w:p>
        </w:tc>
        <w:tc>
          <w:tcPr>
            <w:tcW w:type="dxa" w:w="3231"/>
            <w:shd w:fill="F9FBFC"/>
          </w:tcPr>
          <w:p>
            <w:pPr>
              <w:spacing w:line="252" w:lineRule="auto" w:before="50" w:after="50"/>
              <w:jc w:val="center"/>
            </w:pPr>
            <m:oMath>
              <m:r>
                <m:t>𝒪((|𝒰|+|ℐ|)·d+|ℰ|)</m:t>
              </m:r>
            </m:oMath>
            <w:r>
              <w:rPr>
                <w:rFonts w:ascii="Times New Roman" w:hAnsi="Times New Roman"/>
                <w:sz w:val="19"/>
              </w:rPr>
              <w:t xml:space="preserv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 xml:space="preserve">High. Bandwagon attacks corrupt </w:t>
            </w:r>
            <m:oMath>
              <m:sSub>
                <m:e>
                  <m:r>
                    <m:t>α</m:t>
                  </m:r>
                </m:e>
                <m:sub>
                  <m:r>
                    <m:t>u</m:t>
                  </m:r>
                </m:sub>
              </m:sSub>
            </m:oMath>
            <w:r>
              <w:rPr>
                <w:rFonts w:ascii="Times New Roman" w:hAnsi="Times New Roman"/>
                <w:sz w:val="19"/>
              </w:rPr>
              <w:t xml:space="preserve">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w:t>
            </w:r>
            <m:oMath>
              <m:sSub>
                <m:e>
                  <m:r>
                    <m:t>R</m:t>
                  </m:r>
                </m:e>
                <m:sub>
                  <m:r>
                    <m:rPr>
                      <m:sty m:val="p"/>
                    </m:rPr>
                    <m:t>bomb</m:t>
                  </m:r>
                </m:sub>
              </m:sSub>
              <m:r>
                <m:t>≈0</m:t>
              </m:r>
            </m:oMath>
            <w:r>
              <w:rPr>
                <w:rFonts w:ascii="Times New Roman" w:hAnsi="Times New Roman"/>
                <w:sz w:val="19"/>
              </w:rPr>
              <w:t xml:space="preserve">) and purged from blueprints </w:t>
            </w:r>
            <m:oMath>
              <m:sSub>
                <m:e>
                  <m:r>
                    <m:t>ℬ</m:t>
                  </m:r>
                </m:e>
                <m:sub>
                  <m:r>
                    <m:t>u</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 xml:space="preserve">Unprotected against singular matrix inversion and </w:t>
            </w:r>
            <m:oMath>
              <m:r>
                <m:t>k=0</m:t>
              </m:r>
            </m:oMath>
            <w:r>
              <w:rPr>
                <w:rFonts w:ascii="Times New Roman" w:hAnsi="Times New Roman"/>
                <w:sz w:val="19"/>
              </w:rPr>
              <w:t xml:space="preserve">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w:t>
            </w:r>
            <m:oMath>
              <m:r>
                <m:t>k</m:t>
              </m:r>
            </m:oMath>
            <w:r>
              <w:rPr>
                <w:rFonts w:ascii="Times New Roman" w:hAnsi="Times New Roman"/>
                <w:sz w:val="19"/>
              </w:rPr>
              <w:t xml:space="preserve">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 xml:space="preserve">We formalize explicit ratings as a multiclass categorization problem over </w:t>
      </w:r>
      <m:oMath>
        <m:r>
          <m:t>K</m:t>
        </m:r>
      </m:oMath>
      <w:r>
        <w:rPr>
          <w:rFonts w:ascii="Times New Roman" w:hAnsi="Times New Roman"/>
          <w:sz w:val="24"/>
        </w:rPr>
        <w:t xml:space="preserve"> discrete ordinal classes </w:t>
      </w:r>
      <m:oMath>
        <m:d>
          <m:dPr>
            <m:begChr m:val="{"/>
            <m:sepChr m:val=""/>
            <m:endChr m:val="}"/>
          </m:dPr>
          <m:e>
            <m:r>
              <m:t>1</m:t>
            </m:r>
            <m:r>
              <m:t>,</m:t>
            </m:r>
            <m:r>
              <m:t>2</m:t>
            </m:r>
            <m:r>
              <m:t>,</m:t>
            </m:r>
            <m:r>
              <m:t>…</m:t>
            </m:r>
            <m:r>
              <m:t>,</m:t>
            </m:r>
            <m:r>
              <m:t>K</m:t>
            </m:r>
          </m:e>
        </m:d>
      </m:oMath>
      <w:r>
        <w:rPr>
          <w:rFonts w:ascii="Times New Roman" w:hAnsi="Times New Roman"/>
          <w:sz w:val="24"/>
        </w:rPr>
        <w:t xml:space="preserve"> (where </w:t>
      </w:r>
      <m:oMath>
        <m:r>
          <m:t>K=5</m:t>
        </m:r>
      </m:oMath>
      <w:r>
        <w:rPr>
          <w:rFonts w:ascii="Times New Roman" w:hAnsi="Times New Roman"/>
          <w:sz w:val="24"/>
        </w:rPr>
        <w:t xml:space="preserve"> for standard 1-to-5 star platforms). Let </w:t>
      </w:r>
      <m:oMath>
        <m:sSup>
          <m:e>
            <m:r>
              <m:t>Y</m:t>
            </m:r>
          </m:e>
          <m:sup>
            <m:r>
              <m:t>*</m:t>
            </m:r>
          </m:sup>
        </m:sSup>
        <m:r>
          <m:t>∈{1,…,K}</m:t>
        </m:r>
      </m:oMath>
      <w:r>
        <w:rPr>
          <w:rFonts w:ascii="Times New Roman" w:hAnsi="Times New Roman"/>
          <w:sz w:val="24"/>
        </w:rPr>
        <w:t xml:space="preserve"> denote the unobserved true clean rating reflecting authentic user affinity, and let </w:t>
      </w:r>
      <m:oMath>
        <m:limUpp>
          <m:e>
            <m:r>
              <m:t>Y</m:t>
            </m:r>
          </m:e>
          <m:lim>
            <m:r>
              <m:t>~</m:t>
            </m:r>
          </m:lim>
        </m:limUpp>
        <m:r>
          <m:t>∈{1,…,K}</m:t>
        </m:r>
      </m:oMath>
      <w:r>
        <w:rPr>
          <w:rFonts w:ascii="Times New Roman" w:hAnsi="Times New Roman"/>
          <w:sz w:val="24"/>
        </w:rPr>
        <w:t xml:space="preserve"> represent the observed, potentially corrupted rating in the poisoned training graph. The stochastic label noise process is governed by a 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 xml:space="preserve">Let </w:t>
      </w:r>
      <m:oMath>
        <m:r>
          <m:t>𝐳(u,i)∈</m:t>
        </m:r>
        <m:sSup>
          <m:e>
            <m:r>
              <m:t>ℝ</m:t>
            </m:r>
          </m:e>
          <m:sup>
            <m:r>
              <m:t>K</m:t>
            </m:r>
          </m:sup>
        </m:sSup>
      </m:oMath>
      <w:r>
        <w:rPr>
          <w:rFonts w:ascii="Times New Roman" w:hAnsi="Times New Roman"/>
          <w:sz w:val="24"/>
        </w:rPr>
        <w:t xml:space="preserve"> denote the neural model's output logits for user-item pair </w:t>
      </w:r>
      <m:oMath>
        <m:d>
          <m:dPr>
            <m:sepChr m:val=","/>
          </m:dPr>
          <m:e>
            <m:r>
              <m:t>u</m:t>
            </m:r>
          </m:e>
          <m:e>
            <m:r>
              <m:t>i</m:t>
            </m:r>
          </m:e>
        </m:d>
      </m:oMath>
      <w:r>
        <w:rPr>
          <w:rFonts w:ascii="Times New Roman" w:hAnsi="Times New Roman"/>
          <w:sz w:val="24"/>
        </w:rPr>
        <w:t xml:space="preserve">. The predicted probability distribution over clean rating classes is parameterized via the Softmax activation function: </w:t>
      </w:r>
      <m:oMath>
        <m:r>
          <m:t>𝐩(u,i)=</m:t>
        </m:r>
        <m:r>
          <m:rPr>
            <m:sty m:val="p"/>
          </m:rPr>
          <m:t>Softmax</m:t>
        </m:r>
        <m:r>
          <m:t>(𝐳(u,i))∈</m:t>
        </m:r>
        <m:sSup>
          <m:e>
            <m:r>
              <m:t>Δ</m:t>
            </m:r>
          </m:e>
          <m:sup>
            <m:r>
              <m:t>K−1</m:t>
            </m:r>
          </m:sup>
        </m:sSup>
      </m:oMath>
      <w:r>
        <w:rPr>
          <w:rFonts w:ascii="Times New Roman" w:hAnsi="Times New Roman"/>
          <w:sz w:val="24"/>
        </w:rPr>
        <w:t xml:space="preserve">, where </w:t>
      </w:r>
      <m:oMath>
        <m:sSup>
          <m:e>
            <m:r>
              <m:t>Δ</m:t>
            </m:r>
          </m:e>
          <m:sup>
            <m:r>
              <m:t>K−1</m:t>
            </m:r>
          </m:sup>
        </m:sSup>
      </m:oMath>
      <w:r>
        <w:rPr>
          <w:rFonts w:ascii="Times New Roman" w:hAnsi="Times New Roman"/>
          <w:sz w:val="24"/>
        </w:rPr>
        <w:t xml:space="preserve">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 xml:space="preserve">Assumption 3.1 (Anchor Separability and Prior Consistency): For each rating class </w:t>
      </w:r>
      <m:oMath>
        <m:r>
          <m:t>k∈{1,…,K}</m:t>
        </m:r>
      </m:oMath>
      <w:r>
        <w:rPr>
          <w:rFonts w:ascii="Times New Roman" w:hAnsi="Times New Roman"/>
          <w:sz w:val="24"/>
        </w:rPr>
        <w:t xml:space="preserve">, there exists a subset of consensus anchor items </w:t>
      </w:r>
      <m:oMath>
        <m:sSub>
          <m:e>
            <m:r>
              <m:t>𝒜</m:t>
            </m:r>
          </m:e>
          <m:sub>
            <m:r>
              <m:t>k</m:t>
            </m:r>
          </m:sub>
        </m:sSub>
        <m:r>
          <m:t>⊂ℐ</m:t>
        </m:r>
      </m:oMath>
      <w:r>
        <w:rPr>
          <w:rFonts w:ascii="Times New Roman" w:hAnsi="Times New Roman"/>
          <w:sz w:val="24"/>
        </w:rPr>
        <w:t xml:space="preserve"> identified via cross-user rating agreement such that </w:t>
      </w:r>
      <m:oMath>
        <m:r>
          <m:t>P(</m:t>
        </m:r>
        <m:sSup>
          <m:e>
            <m:r>
              <m:t>Y</m:t>
            </m:r>
          </m:e>
          <m:sup>
            <m:r>
              <m:t>*</m:t>
            </m:r>
          </m:sup>
        </m:sSup>
        <m:r>
          <m:t>=k∣i∈</m:t>
        </m:r>
        <m:sSub>
          <m:e>
            <m:r>
              <m:t>𝒜</m:t>
            </m:r>
          </m:e>
          <m:sub>
            <m:r>
              <m:t>k</m:t>
            </m:r>
          </m:sub>
        </m:sSub>
        <m:r>
          <m:t>)≥1−</m:t>
        </m:r>
        <m:sSub>
          <m:e>
            <m:r>
              <m:t>ϵ</m:t>
            </m:r>
          </m:e>
          <m:sub>
            <m:r>
              <m:rPr>
                <m:sty m:val="p"/>
              </m:rPr>
              <m:t>anchor</m:t>
            </m:r>
          </m:sub>
        </m:sSub>
      </m:oMath>
      <w:r>
        <w:rPr>
          <w:rFonts w:ascii="Times New Roman" w:hAnsi="Times New Roman"/>
          <w:sz w:val="24"/>
        </w:rPr>
        <w:t xml:space="preserve">. This enables consistent empirical estimation of the anchor transition prior </w:t>
      </w:r>
      <m:oMath>
        <m:sSub>
          <m:e>
            <m:acc>
              <m:accPr>
                <m:chr m:val="̂"/>
              </m:accPr>
              <m:e>
                <m:r>
                  <m:t>T</m:t>
                </m:r>
              </m:e>
            </m:acc>
          </m:e>
          <m:sub>
            <m:r>
              <m:t>kj</m:t>
            </m:r>
          </m:sub>
        </m:sSub>
        <m:r>
          <m:t>=</m:t>
        </m:r>
        <m:f>
          <m:fPr>
            <m:type m:val="bar"/>
          </m:fPr>
          <m:num>
            <m:r>
              <m:t>1</m:t>
            </m:r>
          </m:num>
          <m:den>
            <m:d>
              <m:dPr>
                <m:begChr m:val="|"/>
                <m:sepChr m:val=""/>
                <m:endChr m:val="|"/>
              </m:dPr>
              <m:e>
                <m:sSub>
                  <m:e>
                    <m:r>
                      <m:t>𝒜</m:t>
                    </m:r>
                  </m:e>
                  <m:sub>
                    <m:r>
                      <m:t>k</m:t>
                    </m:r>
                  </m:sub>
                </m:sSub>
              </m:e>
            </m:d>
          </m:den>
        </m:f>
        <m:nary>
          <m:naryPr>
            <m:chr m:val="∑"/>
            <m:limLoc m:val="subSup"/>
            <m:grow m:val="1"/>
            <m:subHide m:val="off"/>
            <m:supHide m:val="on"/>
          </m:naryPr>
          <m:sub>
            <m:r>
              <m:t>i∈</m:t>
            </m:r>
            <m:sSub>
              <m:e>
                <m:r>
                  <m:t>𝒜</m:t>
                </m:r>
              </m:e>
              <m:sub>
                <m:r>
                  <m:t>k</m:t>
                </m:r>
              </m:sub>
            </m:sSub>
          </m:sub>
          <m:sup/>
          <m:e>
            <m:r>
              <m:t>P(</m:t>
            </m:r>
          </m:e>
        </m:nary>
        <m:sSub>
          <m:e>
            <m:limUpp>
              <m:e>
                <m:r>
                  <m:t>r</m:t>
                </m:r>
              </m:e>
              <m:lim>
                <m:r>
                  <m:t>~</m:t>
                </m:r>
              </m:lim>
            </m:limUpp>
          </m:e>
          <m:sub>
            <m:r>
              <m:t>ui</m:t>
            </m:r>
          </m:sub>
        </m:sSub>
        <m:r>
          <m:t>=j)</m:t>
        </m:r>
      </m:oMath>
      <w:r>
        <w:rPr>
          <w:rFonts w:ascii="Times New Roman" w:hAnsi="Times New Roman"/>
          <w:sz w:val="24"/>
        </w:rPr>
        <w:t xml:space="preserve">,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 xml:space="preserve">Assumption 3.2 (Bounded Logits and Non-Singular Transition Spectrum): The neural model logits satisfy </w:t>
      </w:r>
      <m:oMath>
        <m:r>
          <m:t>‖𝐳(u,i)</m:t>
        </m:r>
        <m:sSub>
          <m:e>
            <m:r>
              <m:t>‖</m:t>
            </m:r>
          </m:e>
          <m:sub>
            <m:r>
              <m:t>∞</m:t>
            </m:r>
          </m:sub>
        </m:sSub>
        <m:r>
          <m:t>≤C&lt;∞</m:t>
        </m:r>
      </m:oMath>
      <w:r>
        <w:rPr>
          <w:rFonts w:ascii="Times New Roman" w:hAnsi="Times New Roman"/>
          <w:sz w:val="24"/>
        </w:rPr>
        <w:t xml:space="preserve"> for a universal constant </w:t>
      </w:r>
      <m:oMath>
        <m:r>
          <m:t>C</m:t>
        </m:r>
      </m:oMath>
      <w:r>
        <w:rPr>
          <w:rFonts w:ascii="Times New Roman" w:hAnsi="Times New Roman"/>
          <w:sz w:val="24"/>
        </w:rPr>
        <w:t xml:space="preserve">, and the ground-truth transition matrix </w:t>
      </w:r>
      <m:oMath>
        <m:sSup>
          <m:e>
            <m:r>
              <m:t>T</m:t>
            </m:r>
          </m:e>
          <m:sup>
            <m:r>
              <m:t>*</m:t>
            </m:r>
          </m:sup>
        </m:sSup>
      </m:oMath>
      <w:r>
        <w:rPr>
          <w:rFonts w:ascii="Times New Roman" w:hAnsi="Times New Roman"/>
          <w:sz w:val="24"/>
        </w:rPr>
        <w:t xml:space="preserve"> is regular with strictly positive minimum singular value: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 xml:space="preserve">In practical recommender systems, empirical transition matrices estimated from sparse interaction subsets frequently suffer from near-singularity, high condition numbers </w:t>
      </w:r>
      <m:oMath>
        <m:r>
          <m:t>κ(T)=</m:t>
        </m:r>
        <m:f>
          <m:fPr>
            <m:type m:val="bar"/>
          </m:fPr>
          <m:num>
            <m:sSub>
              <m:e>
                <m:r>
                  <m:t>σ</m:t>
                </m:r>
              </m:e>
              <m:sub>
                <m:r>
                  <m:t>max</m:t>
                </m:r>
              </m:sub>
            </m:sSub>
            <m:r>
              <m:t>(T)</m:t>
            </m:r>
          </m:num>
          <m:den>
            <m:sSub>
              <m:e>
                <m:r>
                  <m:t>σ</m:t>
                </m:r>
              </m:e>
              <m:sub>
                <m:r>
                  <m:t>min</m:t>
                </m:r>
              </m:sub>
            </m:sSub>
            <m:r>
              <m:t>(T)</m:t>
            </m:r>
          </m:den>
        </m:f>
        <m:r>
          <m:t>≫1</m:t>
        </m:r>
      </m:oMath>
      <w:r>
        <w:rPr>
          <w:rFonts w:ascii="Times New Roman" w:hAnsi="Times New Roman"/>
          <w:sz w:val="24"/>
        </w:rPr>
        <w:t xml:space="preserve">, and numerical ill-conditioning. If backward loss correction or confidence inversion is attempted via naive matrix inversion </w:t>
      </w:r>
      <m:oMath>
        <m:sSup>
          <m:e>
            <m:r>
              <m:t>T</m:t>
            </m:r>
          </m:e>
          <m:sup>
            <m:r>
              <m:t>−1</m:t>
            </m:r>
          </m:sup>
        </m:sSup>
      </m:oMath>
      <w:r>
        <w:rPr>
          <w:rFonts w:ascii="Times New Roman" w:hAnsi="Times New Roman"/>
          <w:sz w:val="24"/>
        </w:rPr>
        <w:t xml:space="preserve">, small estimation perturbations </w:t>
      </w:r>
      <m:oMath>
        <m:r>
          <m:t>δ</m:t>
        </m:r>
      </m:oMath>
      <w:r>
        <w:rPr>
          <w:rFonts w:ascii="Times New Roman" w:hAnsi="Times New Roman"/>
          <w:sz w:val="24"/>
        </w:rPr>
        <w:t xml:space="preserve"> in </w:t>
      </w:r>
      <m:oMath>
        <m:r>
          <m:t>T</m:t>
        </m:r>
      </m:oMath>
      <w:r>
        <w:rPr>
          <w:rFonts w:ascii="Times New Roman" w:hAnsi="Times New Roman"/>
          <w:sz w:val="24"/>
        </w:rPr>
        <w:t xml:space="preserve"> are amplified by </w:t>
      </w:r>
      <m:oMath>
        <m:r>
          <m:t>κ(T)</m:t>
        </m:r>
      </m:oMath>
      <w:r>
        <w:rPr>
          <w:rFonts w:ascii="Times New Roman" w:hAnsi="Times New Roman"/>
          <w:sz w:val="24"/>
        </w:rPr>
        <w:t>, causing explosive gradient updates that collapse neural training.</w:t>
      </w:r>
    </w:p>
    <w:p>
      <w:pPr>
        <w:spacing w:line="360" w:lineRule="auto" w:before="0" w:after="120"/>
        <w:jc w:val="both"/>
      </w:pPr>
      <w:r>
        <w:rPr>
          <w:rFonts w:ascii="Times New Roman" w:hAnsi="Times New Roman"/>
          <w:sz w:val="24"/>
        </w:rPr>
        <w:t xml:space="preserve">To guarantee unconditional spectral stability, we introduce Tikhonov regularization into the noise inversion operator. For a regularization parameter </w:t>
      </w:r>
      <m:oMath>
        <m:r>
          <m:t>λ&gt;0</m:t>
        </m:r>
      </m:oMath>
      <w:r>
        <w:rPr>
          <w:rFonts w:ascii="Times New Roman" w:hAnsi="Times New Roman"/>
          <w:sz w:val="24"/>
        </w:rPr>
        <w:t>,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 xml:space="preserve">Rather than relying on backward loss division, we implement a forward-corrected surrogate loss regularized against the consensus anchor prior </w:t>
      </w:r>
      <m:oMath>
        <m:acc>
          <m:accPr>
            <m:chr m:val="̂"/>
          </m:accPr>
          <m:e>
            <m:r>
              <m:t>T</m:t>
            </m:r>
          </m:e>
        </m:acc>
      </m:oMath>
      <w:r>
        <w:rPr>
          <w:rFonts w:ascii="Times New Roman" w:hAnsi="Times New Roman"/>
          <w:sz w:val="24"/>
        </w:rPr>
        <w:t xml:space="preserve">. Given a mini-batch of interactions </w:t>
      </w:r>
      <m:oMath>
        <m:r>
          <m:t>ℬ</m:t>
        </m:r>
      </m:oMath>
      <w:r>
        <w:rPr>
          <w:rFonts w:ascii="Times New Roman" w:hAnsi="Times New Roman"/>
          <w:sz w:val="24"/>
        </w:rPr>
        <w:t xml:space="preserve"> with sample reliability weights </w:t>
      </w:r>
      <m:oMath>
        <m:sSub>
          <m:e>
            <m:r>
              <m:t>w</m:t>
            </m:r>
          </m:e>
          <m:sub>
            <m:r>
              <m:t>i</m:t>
            </m:r>
          </m:sub>
        </m:sSub>
      </m:oMath>
      <w:r>
        <w:rPr>
          <w:rFonts w:ascii="Times New Roman" w:hAnsi="Times New Roman"/>
          <w:sz w:val="24"/>
        </w:rPr>
        <w:t>,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ℓ</m:t>
            </m:r>
          </m:e>
          <m:sub>
            <m:r>
              <m:rPr>
                <m:sty m:val="p"/>
              </m:rPr>
              <m:t>CE</m:t>
            </m:r>
          </m:sub>
        </m:sSub>
        <m:r>
          <m:t>(</m:t>
        </m:r>
        <m:limUpp>
          <m:e>
            <m:r>
              <m:t>𝐩</m:t>
            </m:r>
          </m:e>
          <m:lim>
            <m:r>
              <m:t>~</m:t>
            </m:r>
          </m:lim>
        </m:limUpp>
        <m:r>
          <m:t>,</m:t>
        </m:r>
        <m:limUpp>
          <m:e>
            <m:r>
              <m:t>𝐲</m:t>
            </m:r>
          </m:e>
          <m:lim>
            <m:r>
              <m:t>~</m:t>
            </m:r>
          </m:lim>
        </m:limUpp>
        <m:r>
          <m:t>)=−</m:t>
        </m:r>
        <m:nary>
          <m:naryPr>
            <m:chr m:val="∑"/>
            <m:limLoc m:val="subSup"/>
            <m:grow m:val="1"/>
            <m:subHide m:val="off"/>
            <m:supHide m:val="off"/>
          </m:naryPr>
          <m:sub>
            <m:r>
              <m:t>k=1</m:t>
            </m:r>
          </m:sub>
          <m:sup>
            <m:r>
              <m:t>K</m:t>
            </m:r>
          </m:sup>
          <m:e>
            <m:sSub>
              <m:e>
                <m:limUpp>
                  <m:e>
                    <m:r>
                      <m:t>y</m:t>
                    </m:r>
                  </m:e>
                  <m:lim>
                    <m:r>
                      <m:t>~</m:t>
                    </m:r>
                  </m:lim>
                </m:limUpp>
              </m:e>
              <m:sub>
                <m:r>
                  <m:t>k</m:t>
                </m:r>
              </m:sub>
            </m:sSub>
          </m:e>
        </m:nary>
        <m:r>
          <m:rPr>
            <m:sty m:val="p"/>
          </m:rPr>
          <m:t>log</m:t>
        </m:r>
        <m:r>
          <m:t>(</m:t>
        </m:r>
        <m:sSub>
          <m:e>
            <m:limUpp>
              <m:e>
                <m:r>
                  <m:t>p</m:t>
                </m:r>
              </m:e>
              <m:lim>
                <m:r>
                  <m:t>~</m:t>
                </m:r>
              </m:lim>
            </m:limUpp>
          </m:e>
          <m:sub>
            <m:r>
              <m:t>k</m:t>
            </m:r>
          </m:sub>
        </m:sSub>
        <m:r>
          <m:t>)</m:t>
        </m:r>
      </m:oMath>
      <w:r>
        <w:rPr>
          <w:rFonts w:ascii="Times New Roman" w:hAnsi="Times New Roman"/>
          <w:sz w:val="24"/>
        </w:rPr>
        <w:t xml:space="preserve"> is the categorical cross-entropy loss, and </w:t>
      </w:r>
      <m:oMath>
        <m:sSub>
          <m:e>
            <m:r>
              <m:t>β</m:t>
            </m:r>
          </m:e>
          <m:sub>
            <m:r>
              <m:rPr>
                <m:sty m:val="p"/>
              </m:rPr>
              <m:t>reg</m:t>
            </m:r>
          </m:sub>
        </m:sSub>
      </m:oMath>
      <w:r>
        <w:rPr>
          <w:rFonts w:ascii="Times New Roman" w:hAnsi="Times New Roman"/>
          <w:sz w:val="24"/>
        </w:rPr>
        <w:t xml:space="preserve">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 xml:space="preserve">The first signal view evaluates whether the observed numeric rating </w:t>
      </w:r>
      <m:oMath>
        <m:sSub>
          <m:e>
            <m:limUpp>
              <m:e>
                <m:r>
                  <m:t>r</m:t>
                </m:r>
              </m:e>
              <m:lim>
                <m:r>
                  <m:t>~</m:t>
                </m:r>
              </m:lim>
            </m:limUpp>
          </m:e>
          <m:sub>
            <m:r>
              <m:t>ui</m:t>
            </m:r>
          </m:sub>
        </m:sSub>
      </m:oMath>
      <w:r>
        <w:rPr>
          <w:rFonts w:ascii="Times New Roman" w:hAnsi="Times New Roman"/>
          <w:sz w:val="24"/>
        </w:rPr>
        <w:t xml:space="preserve"> deviates abnormally from the expected clean rating predicted by the neural backbone. Given model prediction distribution </w:t>
      </w:r>
      <m:oMath>
        <m:r>
          <m:t>𝐩(u,i)</m:t>
        </m:r>
      </m:oMath>
      <w:r>
        <w:rPr>
          <w:rFonts w:ascii="Times New Roman" w:hAnsi="Times New Roman"/>
          <w:sz w:val="24"/>
        </w:rPr>
        <w:t xml:space="preserve">, the expected clean rating is </w:t>
      </w:r>
      <m:oMath>
        <m:sSub>
          <m:e>
            <m:r>
              <m:t>𝔼</m:t>
            </m:r>
          </m:e>
          <m:sub>
            <m:r>
              <m:t>𝐩</m:t>
            </m:r>
          </m:sub>
        </m:sSub>
        <m:r>
          <m:t>[</m:t>
        </m:r>
        <m:sSup>
          <m:e>
            <m:r>
              <m:t>Y</m:t>
            </m:r>
          </m:e>
          <m:sup>
            <m:r>
              <m:t>*</m:t>
            </m:r>
          </m:sup>
        </m:sSup>
        <m:r>
          <m:t>]=</m:t>
        </m:r>
        <m:nary>
          <m:naryPr>
            <m:chr m:val="∑"/>
            <m:limLoc m:val="subSup"/>
            <m:grow m:val="1"/>
            <m:subHide m:val="off"/>
            <m:supHide m:val="off"/>
          </m:naryPr>
          <m:sub>
            <m:r>
              <m:t>k=1</m:t>
            </m:r>
          </m:sub>
          <m:sup>
            <m:r>
              <m:t>K</m:t>
            </m:r>
          </m:sup>
          <m:e>
            <m:r>
              <m:t>k·</m:t>
            </m:r>
          </m:e>
        </m:nary>
        <m:sSub>
          <m:e>
            <m:r>
              <m:t>p</m:t>
            </m:r>
          </m:e>
          <m:sub>
            <m:r>
              <m:t>k</m:t>
            </m:r>
          </m:sub>
        </m:sSub>
        <m:r>
          <m:t>(u,i)</m:t>
        </m:r>
      </m:oMath>
      <w:r>
        <w:rPr>
          <w:rFonts w:ascii="Times New Roman" w:hAnsi="Times New Roman"/>
          <w:sz w:val="24"/>
        </w:rPr>
        <w:t>.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σ</m:t>
            </m:r>
          </m:e>
          <m:sub>
            <m:r>
              <m:rPr>
                <m:sty m:val="p"/>
              </m:rPr>
              <m:t>RRFN</m:t>
            </m:r>
          </m:sub>
        </m:sSub>
      </m:oMath>
      <w:r>
        <w:rPr>
          <w:rFonts w:ascii="Times New Roman" w:hAnsi="Times New Roman"/>
          <w:sz w:val="24"/>
        </w:rPr>
        <w:t xml:space="preserve"> controls the sensitivity bandwidth. Interactions with high prediction residual (e.g., a bot injecting a 5-star rating on an item whose collaborative representation strongly indicates low preference) receive low reliability </w:t>
      </w:r>
      <m:oMath>
        <m:sSub>
          <m:e>
            <m:r>
              <m:t>R</m:t>
            </m:r>
          </m:e>
          <m:sub>
            <m:r>
              <m:rPr>
                <m:sty m:val="p"/>
              </m:rPr>
              <m:t>RRFN</m:t>
            </m:r>
          </m:sub>
        </m:sSub>
        <m:r>
          <m:t>→0</m:t>
        </m:r>
      </m:oMath>
      <w:r>
        <w:rPr>
          <w:rFonts w:ascii="Times New Roman" w:hAnsi="Times New Roman"/>
          <w:sz w:val="24"/>
        </w:rPr>
        <w:t>.</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 xml:space="preserve">When an interaction edge includes natural language review text </w:t>
      </w:r>
      <m:oMath>
        <m:sSub>
          <m:e>
            <m:r>
              <m:t>S</m:t>
            </m:r>
          </m:e>
          <m:sub>
            <m:r>
              <m:t>ui</m:t>
            </m:r>
          </m:sub>
        </m:sSub>
      </m:oMath>
      <w:r>
        <w:rPr>
          <w:rFonts w:ascii="Times New Roman" w:hAnsi="Times New Roman"/>
          <w:sz w:val="24"/>
        </w:rPr>
        <w:t xml:space="preserve">, MIRF deploys a Large Language Model audit query. The LLM evaluates two crucial authenticity criteria: (1) Sentiment Polarity Consistency (does the semantic sentiment expressed in the text align with numeric score </w:t>
      </w:r>
      <m:oMath>
        <m:sSub>
          <m:e>
            <m:limUpp>
              <m:e>
                <m:r>
                  <m:t>r</m:t>
                </m:r>
              </m:e>
              <m:lim>
                <m:r>
                  <m:t>~</m:t>
                </m:r>
              </m:lim>
            </m:limUpp>
          </m:e>
          <m:sub>
            <m:r>
              <m:t>ui</m:t>
            </m:r>
          </m:sub>
        </m:sSub>
      </m:oMath>
      <w:r>
        <w:rPr>
          <w:rFonts w:ascii="Times New Roman" w:hAnsi="Times New Roman"/>
          <w:sz w:val="24"/>
        </w:rPr>
        <w:t>?),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 xml:space="preserve">For datasets devoid of review text (such as MovieLens-1M), </w:t>
      </w:r>
      <m:oMath>
        <m:r>
          <m:t>β</m:t>
        </m:r>
      </m:oMath>
      <w:r>
        <w:rPr>
          <w:rFonts w:ascii="Times New Roman" w:hAnsi="Times New Roman"/>
          <w:sz w:val="24"/>
        </w:rPr>
        <w:t xml:space="preserve">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 xml:space="preserve">For each item </w:t>
      </w:r>
      <m:oMath>
        <m:r>
          <m:t>i</m:t>
        </m:r>
      </m:oMath>
      <w:r>
        <w:rPr>
          <w:rFonts w:ascii="Times New Roman" w:hAnsi="Times New Roman"/>
          <w:sz w:val="24"/>
        </w:rPr>
        <w:t xml:space="preserve"> at timestamp </w:t>
      </w:r>
      <m:oMath>
        <m:r>
          <m:t>t</m:t>
        </m:r>
      </m:oMath>
      <w:r>
        <w:rPr>
          <w:rFonts w:ascii="Times New Roman" w:hAnsi="Times New Roman"/>
          <w:sz w:val="24"/>
        </w:rPr>
        <w:t xml:space="preserve">, we compute the temporal acceleration </w:t>
      </w:r>
      <m:oMath>
        <m:sSub>
          <m:e>
            <m:r>
              <m:t>Z</m:t>
            </m:r>
          </m:e>
          <m:sub>
            <m:r>
              <m:rPr>
                <m:sty m:val="p"/>
              </m:rPr>
              <m:t>temp</m:t>
            </m:r>
          </m:sub>
        </m:sSub>
      </m:oMath>
      <w:r>
        <w:rPr>
          <w:rFonts w:ascii="Times New Roman" w:hAnsi="Times New Roman"/>
          <w:sz w:val="24"/>
        </w:rPr>
        <w:t xml:space="preserve"> and polarity skew </w:t>
      </w:r>
      <m:oMath>
        <m:sSub>
          <m:e>
            <m:r>
              <m:t>S</m:t>
            </m:r>
          </m:e>
          <m:sub>
            <m:r>
              <m:rPr>
                <m:sty m:val="p"/>
              </m:rPr>
              <m:t>pol</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D</m:t>
            </m:r>
          </m:e>
          <m:sub>
            <m:r>
              <m:rPr>
                <m:sty m:val="p"/>
              </m:rPr>
              <m:t>recent</m:t>
            </m:r>
          </m:sub>
        </m:sSub>
        <m:r>
          <m:t>(i,t)</m:t>
        </m:r>
      </m:oMath>
      <w:r>
        <w:rPr>
          <w:rFonts w:ascii="Times New Roman" w:hAnsi="Times New Roman"/>
          <w:sz w:val="24"/>
        </w:rPr>
        <w:t xml:space="preserve"> denotes the rolling 7-day interaction density, </w:t>
      </w:r>
      <m:oMath>
        <m:sSub>
          <m:e>
            <m:r>
              <m:t>μ</m:t>
            </m:r>
          </m:e>
          <m:sub>
            <m:r>
              <m:t>D</m:t>
            </m:r>
          </m:sub>
        </m:sSub>
      </m:oMath>
      <w:r>
        <w:rPr>
          <w:rFonts w:ascii="Times New Roman" w:hAnsi="Times New Roman"/>
          <w:sz w:val="24"/>
        </w:rPr>
        <w:t xml:space="preserve"> and </w:t>
      </w:r>
      <m:oMath>
        <m:sSub>
          <m:e>
            <m:r>
              <m:t>σ</m:t>
            </m:r>
          </m:e>
          <m:sub>
            <m:r>
              <m:t>D</m:t>
            </m:r>
          </m:sub>
        </m:sSub>
      </m:oMath>
      <w:r>
        <w:rPr>
          <w:rFonts w:ascii="Times New Roman" w:hAnsi="Times New Roman"/>
          <w:sz w:val="24"/>
        </w:rPr>
        <w:t xml:space="preserve"> denote historical density baseline parameters, and </w:t>
      </w:r>
      <m:oMath>
        <m:sSub>
          <m:e>
            <m:r>
              <m:t>N</m:t>
            </m:r>
          </m:e>
          <m:sub>
            <m:r>
              <m:t>1</m:t>
            </m:r>
          </m:sub>
        </m:sSub>
        <m:r>
          <m:t>,</m:t>
        </m:r>
        <m:sSub>
          <m:e>
            <m:r>
              <m:t>N</m:t>
            </m:r>
          </m:e>
          <m:sub>
            <m:r>
              <m:t>5</m:t>
            </m:r>
          </m:sub>
        </m:sSub>
      </m:oMath>
      <w:r>
        <w:rPr>
          <w:rFonts w:ascii="Times New Roman" w:hAnsi="Times New Roman"/>
          <w:sz w:val="24"/>
        </w:rPr>
        <w:t xml:space="preserve">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 xml:space="preserve">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 xml:space="preserve">The unified sample reliability weight </w:t>
      </w:r>
      <m:oMath>
        <m:sSub>
          <m:e>
            <m:r>
              <m:t>w</m:t>
            </m:r>
          </m:e>
          <m:sub>
            <m:r>
              <m:t>ui</m:t>
            </m:r>
          </m:sub>
        </m:sSub>
        <m:r>
          <m:t>=</m:t>
        </m:r>
        <m:sSub>
          <m:e>
            <m:r>
              <m:t>R</m:t>
            </m:r>
          </m:e>
          <m:sub>
            <m:r>
              <m:rPr>
                <m:sty m:val="p"/>
              </m:rPr>
              <m:t>MIRF</m:t>
            </m:r>
          </m:sub>
        </m:sSub>
        <m:r>
          <m:t>(u,i)∈[0,1]</m:t>
        </m:r>
      </m:oMath>
      <w:r>
        <w:rPr>
          <w:rFonts w:ascii="Times New Roman" w:hAnsi="Times New Roman"/>
          <w:sz w:val="24"/>
        </w:rPr>
        <w:t xml:space="preserve">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 xml:space="preserve">To prevent malicious interaction edges from corrupting high-order graph representations, we integrate Graph Contrastive Learning (GCL) backbones with our reliability weights. For SimGCL, augmented representations </w:t>
      </w:r>
      <m:oMath>
        <m:sSubSup>
          <m:e>
            <m:r>
              <m:t>𝐳</m:t>
            </m:r>
          </m:e>
          <m:sub>
            <m:r>
              <m:t>i</m:t>
            </m:r>
          </m:sub>
          <m:sup>
            <m:r>
              <m:t>′</m:t>
            </m:r>
          </m:sup>
        </m:sSubSup>
        <m:r>
          <m:t>,</m:t>
        </m:r>
        <m:sSup>
          <m:e>
            <m:sSubSup>
              <m:e>
                <m:r>
                  <m:t>𝐳</m:t>
                </m:r>
              </m:e>
              <m:sub>
                <m:r>
                  <m:t>i</m:t>
                </m:r>
              </m:sub>
              <m:sup>
                <m:r>
                  <m:t>′</m:t>
                </m:r>
              </m:sup>
            </m:sSubSup>
          </m:e>
          <m:sup>
            <m:r>
              <m:t>′</m:t>
            </m:r>
          </m:sup>
        </m:sSup>
      </m:oMath>
      <w:r>
        <w:rPr>
          <w:rFonts w:ascii="Times New Roman" w:hAnsi="Times New Roman"/>
          <w:sz w:val="24"/>
        </w:rPr>
        <w:t xml:space="preserve"> are generated by injecting latent uniform noise: </w:t>
      </w: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r>
        <w:rPr>
          <w:rFonts w:ascii="Times New Roman" w:hAnsi="Times New Roman"/>
          <w:sz w:val="24"/>
        </w:rPr>
        <w:t xml:space="preserve">. For SGL, augmented views are constructed via structural edge dropout: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w:t>
      </w:r>
    </w:p>
    <w:p>
      <w:pPr>
        <w:spacing w:line="360" w:lineRule="auto" w:before="0" w:after="120"/>
        <w:jc w:val="both"/>
      </w:pPr>
      <w:r>
        <w:rPr>
          <w:rFonts w:ascii="Times New Roman" w:hAnsi="Times New Roman"/>
          <w:sz w:val="24"/>
        </w:rPr>
        <w:t xml:space="preserve">Standard GCL minimizes an unweighted InfoNCE loss over all batch items. Under our framework, we formulate the Risk-Aware InfoNCE Loss, directly modulated by the MIRF sample reliability weights </w:t>
      </w:r>
      <m:oMath>
        <m:sSub>
          <m:e>
            <m:r>
              <m:t>w</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 xml:space="preserve">Notice the crucial mathematical mechanism: when an interaction edge is poisoned or injected by a bot, MIRF assigns </w:t>
      </w:r>
      <m:oMath>
        <m:sSub>
          <m:e>
            <m:r>
              <m:t>w</m:t>
            </m:r>
          </m:e>
          <m:sub>
            <m:r>
              <m:t>i</m:t>
            </m:r>
          </m:sub>
        </m:sSub>
        <m:r>
          <m:t>→0</m:t>
        </m:r>
      </m:oMath>
      <w:r>
        <w:rPr>
          <w:rFonts w:ascii="Times New Roman" w:hAnsi="Times New Roman"/>
          <w:sz w:val="24"/>
        </w:rPr>
        <w:t xml:space="preserve">. Consequently, the contrastive pull force for that edge vanishes entirely from </w:t>
      </w:r>
      <m:oMath>
        <m:sSub>
          <m:e>
            <m:r>
              <m:t>ℒ</m:t>
            </m:r>
          </m:e>
          <m:sub>
            <m:r>
              <m:rPr>
                <m:sty m:val="p"/>
              </m:rPr>
              <m:t>cl</m:t>
            </m:r>
          </m:sub>
        </m:sSub>
      </m:oMath>
      <w:r>
        <w:rPr>
          <w:rFonts w:ascii="Times New Roman" w:hAnsi="Times New Roman"/>
          <w:sz w:val="24"/>
        </w:rPr>
        <w:t>, preventing poisoned representations from distorting the self-supervised embedding geometry.</w:t>
      </w:r>
    </w:p>
    <w:p>
      <w:pPr>
        <w:spacing w:line="360" w:lineRule="auto" w:before="0" w:after="120"/>
        <w:jc w:val="both"/>
      </w:pPr>
      <w:r>
        <w:rPr>
          <w:rFonts w:ascii="Times New Roman" w:hAnsi="Times New Roman"/>
          <w:sz w:val="24"/>
        </w:rPr>
        <w:t xml:space="preserve">Dual Partition Training: The catalog </w:t>
      </w:r>
      <m:oMath>
        <m:r>
          <m:t>ℐ</m:t>
        </m:r>
      </m:oMath>
      <w:r>
        <w:rPr>
          <w:rFonts w:ascii="Times New Roman" w:hAnsi="Times New Roman"/>
          <w:sz w:val="24"/>
        </w:rPr>
        <w:t xml:space="preserve"> is partitioned at Pareto ratio </w:t>
      </w:r>
      <m:oMath>
        <m:sSub>
          <m:e>
            <m:r>
              <m:t>ρ</m:t>
            </m:r>
          </m:e>
          <m:sub>
            <m:r>
              <m:rPr>
                <m:sty m:val="p"/>
              </m:rPr>
              <m:t>pareto</m:t>
            </m:r>
          </m:sub>
        </m:sSub>
        <m:r>
          <m:t>=0.20</m:t>
        </m:r>
      </m:oMath>
      <w:r>
        <w:rPr>
          <w:rFonts w:ascii="Times New Roman" w:hAnsi="Times New Roman"/>
          <w:sz w:val="24"/>
        </w:rPr>
        <w:t xml:space="preserve"> into Head catalog </w:t>
      </w:r>
      <m:oMath>
        <m:sSub>
          <m:e>
            <m:r>
              <m:t>ℐ</m:t>
            </m:r>
          </m:e>
          <m:sub>
            <m:r>
              <m:rPr>
                <m:sty m:val="p"/>
              </m:rPr>
              <m:t>head</m:t>
            </m:r>
          </m:sub>
        </m:sSub>
      </m:oMath>
      <w:r>
        <w:rPr>
          <w:rFonts w:ascii="Times New Roman" w:hAnsi="Times New Roman"/>
          <w:sz w:val="24"/>
        </w:rPr>
        <w:t xml:space="preserve"> and Tail catalog </w:t>
      </w:r>
      <m:oMath>
        <m:sSub>
          <m:e>
            <m:r>
              <m:t>ℐ</m:t>
            </m:r>
          </m:e>
          <m:sub>
            <m:r>
              <m:rPr>
                <m:sty m:val="p"/>
              </m:rPr>
              <m:t>tail</m:t>
            </m:r>
          </m:sub>
        </m:sSub>
      </m:oMath>
      <w:r>
        <w:rPr>
          <w:rFonts w:ascii="Times New Roman" w:hAnsi="Times New Roman"/>
          <w:sz w:val="24"/>
        </w:rPr>
        <w:t>.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 xml:space="preserve">During recommendation inference, the system purifies each user's historical interaction blueprint by discarding edges whose reliability falls below trust threshold </w:t>
      </w:r>
      <m:oMath>
        <m:sSub>
          <m:e>
            <m:r>
              <m:t>θ</m:t>
            </m:r>
          </m:e>
          <m:sub>
            <m:r>
              <m:rPr>
                <m:sty m:val="p"/>
              </m:rPr>
              <m:t>trust</m:t>
            </m:r>
          </m:sub>
        </m:sSub>
      </m:oMath>
      <w:r>
        <w:rPr>
          <w:rFonts w:ascii="Times New Roman" w:hAnsi="Times New Roman"/>
          <w:sz w:val="24"/>
        </w:rPr>
        <w:t xml:space="preserve"> (e.g., </w:t>
      </w:r>
      <m:oMath>
        <m:sSub>
          <m:e>
            <m:r>
              <m:t>θ</m:t>
            </m:r>
          </m:e>
          <m:sub>
            <m:r>
              <m:rPr>
                <m:sty m:val="p"/>
              </m:rPr>
              <m:t>trust</m:t>
            </m:r>
          </m:sub>
        </m:sSub>
        <m:r>
          <m:t>=0.50</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 xml:space="preserve">The personalized tail inclination </w:t>
      </w:r>
      <m:oMath>
        <m:sSub>
          <m:e>
            <m:r>
              <m:t>α</m:t>
            </m:r>
          </m:e>
          <m:sub>
            <m:r>
              <m:t>u</m:t>
            </m:r>
          </m:sub>
        </m:sSub>
        <m:r>
          <m:t>∈[0,1]</m:t>
        </m:r>
      </m:oMath>
      <w:r>
        <w:rPr>
          <w:rFonts w:ascii="Times New Roman" w:hAnsi="Times New Roman"/>
          <w:sz w:val="24"/>
        </w:rPr>
        <w:t xml:space="preserve">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sz w:val="21"/>
        </w:rPr>
        <w:t>SUPER Denoised Blueprint and Calibrated Quota Merging Workflow, illustrating the purification of user history via MIRF trust filtering (</w:t>
      </w:r>
      <m:oMath>
        <m:sSub>
          <m:e>
            <m:r>
              <m:t>w</m:t>
            </m:r>
          </m:e>
          <m:sub>
            <m:r>
              <m:t>ui</m:t>
            </m:r>
          </m:sub>
        </m:sSub>
        <m:r>
          <m:t>≥</m:t>
        </m:r>
        <m:sSub>
          <m:e>
            <m:r>
              <m:t>θ</m:t>
            </m:r>
          </m:e>
          <m:sub>
            <m:r>
              <m:rPr>
                <m:sty m:val="p"/>
              </m:rPr>
              <m:t>trust</m:t>
            </m:r>
          </m:sub>
        </m:sSub>
      </m:oMath>
      <w:r>
        <w:rPr>
          <w:rFonts w:ascii="Times New Roman" w:hAnsi="Times New Roman"/>
          <w:sz w:val="21"/>
        </w:rPr>
        <w:t xml:space="preserve">) to compute honest personalized tail inclination </w:t>
      </w:r>
      <m:oMath>
        <m:sSub>
          <m:e>
            <m:r>
              <m:t>α</m:t>
            </m:r>
          </m:e>
          <m:sub>
            <m:r>
              <m:t>u</m:t>
            </m:r>
          </m:sub>
        </m:sSub>
      </m:oMath>
      <w:r>
        <w:rPr>
          <w:rFonts w:ascii="Times New Roman" w:hAnsi="Times New Roman"/>
          <w:sz w:val="21"/>
        </w:rPr>
        <w:t xml:space="preserve"> and assemble top-</w:t>
      </w:r>
      <m:oMath>
        <m:r>
          <m:t>K</m:t>
        </m:r>
      </m:oMath>
      <w:r>
        <w:rPr>
          <w:rFonts w:ascii="Times New Roman" w:hAnsi="Times New Roman"/>
          <w:sz w:val="21"/>
        </w:rPr>
        <w:t xml:space="preserve"> recommendations via rank-calibrated trajectory interleaving.</w:t>
      </w:r>
    </w:p>
    <w:p>
      <w:pPr>
        <w:spacing w:line="360" w:lineRule="auto" w:before="0" w:after="120"/>
        <w:jc w:val="both"/>
      </w:pPr>
      <w:r>
        <w:rPr>
          <w:rFonts w:ascii="Times New Roman" w:hAnsi="Times New Roman"/>
          <w:sz w:val="24"/>
        </w:rPr>
        <w:t xml:space="preserve">Top-K Assembly via Rank-Calibrated Trajectory Interleaving: Rather than applying fixed quota splitting, the recommendation list is assembled greedily rank-by-rank across ranks </w:t>
      </w:r>
      <m:oMath>
        <m:r>
          <m:t>k∈{1,…,K}</m:t>
        </m:r>
      </m:oMath>
      <w:r>
        <w:rPr>
          <w:rFonts w:ascii="Times New Roman" w:hAnsi="Times New Roman"/>
          <w:sz w:val="24"/>
        </w:rPr>
        <w:t xml:space="preserve">. Let </w:t>
      </w:r>
      <m:oMath>
        <m:sSub>
          <m:e>
            <m:r>
              <m:t>c</m:t>
            </m:r>
          </m:e>
          <m:sub>
            <m:r>
              <m:rPr>
                <m:sty m:val="p"/>
              </m:rPr>
              <m:t>tail</m:t>
            </m:r>
          </m:sub>
        </m:sSub>
        <m:r>
          <m:t>(k−1)</m:t>
        </m:r>
      </m:oMath>
      <w:r>
        <w:rPr>
          <w:rFonts w:ascii="Times New Roman" w:hAnsi="Times New Roman"/>
          <w:sz w:val="24"/>
        </w:rPr>
        <w:t xml:space="preserve"> denote the cumulative count of tail items selected up to rank </w:t>
      </w:r>
      <m:oMath>
        <m:r>
          <m:t>k−1</m:t>
        </m:r>
      </m:oMath>
      <w:r>
        <w:rPr>
          <w:rFonts w:ascii="Times New Roman" w:hAnsi="Times New Roman"/>
          <w:sz w:val="24"/>
        </w:rPr>
        <w:t xml:space="preserve">. At rank </w:t>
      </w:r>
      <m:oMath>
        <m:r>
          <m:t>k</m:t>
        </m:r>
      </m:oMath>
      <w:r>
        <w:rPr>
          <w:rFonts w:ascii="Times New Roman" w:hAnsi="Times New Roman"/>
          <w:sz w:val="24"/>
        </w:rPr>
        <w:t xml:space="preserve">, if </w:t>
      </w:r>
      <m:oMath>
        <m:f>
          <m:fPr>
            <m:type m:val="bar"/>
          </m:fPr>
          <m:num>
            <m:sSub>
              <m:e>
                <m:r>
                  <m:t>c</m:t>
                </m:r>
              </m:e>
              <m:sub>
                <m:r>
                  <m:rPr>
                    <m:sty m:val="p"/>
                  </m:rPr>
                  <m:t>tail</m:t>
                </m:r>
              </m:sub>
            </m:sSub>
            <m:r>
              <m:t>(k−1)+1</m:t>
            </m:r>
          </m:num>
          <m:den>
            <m:r>
              <m:t>k</m:t>
            </m:r>
          </m:den>
        </m:f>
        <m:r>
          <m:t>≤</m:t>
        </m:r>
        <m:sSub>
          <m:e>
            <m:r>
              <m:t>α</m:t>
            </m:r>
          </m:e>
          <m:sub>
            <m:r>
              <m:t>u</m:t>
            </m:r>
          </m:sub>
        </m:sSub>
      </m:oMath>
      <w:r>
        <w:rPr>
          <w:rFonts w:ascii="Times New Roman" w:hAnsi="Times New Roman"/>
          <w:sz w:val="24"/>
        </w:rPr>
        <w:t xml:space="preserve">, the top unselected candidate from the Tail model queue </w:t>
      </w:r>
      <m:oMath>
        <m:sSub>
          <m:e>
            <m:r>
              <m:t>𝒞</m:t>
            </m:r>
          </m:e>
          <m:sub>
            <m:r>
              <m:rPr>
                <m:sty m:val="p"/>
              </m:rPr>
              <m:t>tail</m:t>
            </m:r>
          </m:sub>
        </m:sSub>
        <m:r>
          <m:t>⧵</m:t>
        </m:r>
        <m:sSub>
          <m:e>
            <m:r>
              <m:t>ℬ</m:t>
            </m:r>
          </m:e>
          <m:sub>
            <m:r>
              <m:t>u</m:t>
            </m:r>
          </m:sub>
        </m:sSub>
      </m:oMath>
      <w:r>
        <w:rPr>
          <w:rFonts w:ascii="Times New Roman" w:hAnsi="Times New Roman"/>
          <w:sz w:val="24"/>
        </w:rPr>
        <w:t xml:space="preserve"> is appended; otherwise, the top candidate from the Head model queue </w:t>
      </w:r>
      <m:oMath>
        <m:sSub>
          <m:e>
            <m:r>
              <m:t>𝒞</m:t>
            </m:r>
          </m:e>
          <m:sub>
            <m:r>
              <m:rPr>
                <m:sty m:val="p"/>
              </m:rPr>
              <m:t>head</m:t>
            </m:r>
          </m:sub>
        </m:sSub>
        <m:r>
          <m:t>⧵</m:t>
        </m:r>
        <m:sSub>
          <m:e>
            <m:r>
              <m:t>ℬ</m:t>
            </m:r>
          </m:e>
          <m:sub>
            <m:r>
              <m:t>u</m:t>
            </m:r>
          </m:sub>
        </m:sSub>
      </m:oMath>
      <w:r>
        <w:rPr>
          <w:rFonts w:ascii="Times New Roman" w:hAnsi="Times New Roman"/>
          <w:sz w:val="24"/>
        </w:rPr>
        <w:t xml:space="preserve">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 xml:space="preserve">Theorem 3.1 (Spectral Operator Norm Bound and Gradient Stability): Let </w:t>
      </w:r>
      <m:oMath>
        <m:r>
          <m:t>T∈</m:t>
        </m:r>
        <m:sSup>
          <m:e>
            <m:r>
              <m:t>ℝ</m:t>
            </m:r>
          </m:e>
          <m:sup>
            <m:r>
              <m:t>K×K</m:t>
            </m:r>
          </m:sup>
        </m:sSup>
      </m:oMath>
      <w:r>
        <w:rPr>
          <w:rFonts w:ascii="Times New Roman" w:hAnsi="Times New Roman"/>
          <w:sz w:val="24"/>
        </w:rPr>
        <w:t xml:space="preserve"> have singular value decomposition </w:t>
      </w:r>
      <m:oMath>
        <m:r>
          <m:t>T=UΣ</m:t>
        </m:r>
        <m:sSup>
          <m:e>
            <m:r>
              <m:t>V</m:t>
            </m:r>
          </m:e>
          <m:sup>
            <m:r>
              <m:t>T</m:t>
            </m:r>
          </m:sup>
        </m:sSup>
      </m:oMath>
      <w:r>
        <w:rPr>
          <w:rFonts w:ascii="Times New Roman" w:hAnsi="Times New Roman"/>
          <w:sz w:val="24"/>
        </w:rPr>
        <w:t xml:space="preserve"> with singular values </w:t>
      </w:r>
      <m:oMath>
        <m:sSub>
          <m:e>
            <m:r>
              <m:t>σ</m:t>
            </m:r>
          </m:e>
          <m:sub>
            <m:r>
              <m:t>1</m:t>
            </m:r>
          </m:sub>
        </m:sSub>
        <m:r>
          <m:t>≥</m:t>
        </m:r>
        <m:sSub>
          <m:e>
            <m:r>
              <m:t>σ</m:t>
            </m:r>
          </m:e>
          <m:sub>
            <m:r>
              <m:t>2</m:t>
            </m:r>
          </m:sub>
        </m:sSub>
        <m:r>
          <m:t>≥…≥</m:t>
        </m:r>
        <m:sSub>
          <m:e>
            <m:r>
              <m:t>σ</m:t>
            </m:r>
          </m:e>
          <m:sub>
            <m:r>
              <m:t>K</m:t>
            </m:r>
          </m:sub>
        </m:sSub>
        <m:r>
          <m:t>≥0</m:t>
        </m:r>
      </m:oMath>
      <w:r>
        <w:rPr>
          <w:rFonts w:ascii="Times New Roman" w:hAnsi="Times New Roman"/>
          <w:sz w:val="24"/>
        </w:rPr>
        <w:t xml:space="preserve">. For any Tikhonov regularization parameter </w:t>
      </w:r>
      <m:oMath>
        <m:r>
          <m:t>λ&gt;0</m:t>
        </m:r>
      </m:oMath>
      <w:r>
        <w:rPr>
          <w:rFonts w:ascii="Times New Roman" w:hAnsi="Times New Roman"/>
          <w:sz w:val="24"/>
        </w:rPr>
        <w:t xml:space="preserve">, the spectral operator norm of the regularized pseudo-inverse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 xml:space="preserve">Furthermore, for the forward-corrected surrogate loss </w:t>
      </w:r>
      <m:oMath>
        <m:sSub>
          <m:e>
            <m:r>
              <m:t>ℒ</m:t>
            </m:r>
          </m:e>
          <m:sub>
            <m:r>
              <m:rPr>
                <m:sty m:val="p"/>
              </m:rPr>
              <m:t>risk</m:t>
            </m:r>
          </m:sub>
        </m:sSub>
        <m:r>
          <m:t>=</m:t>
        </m:r>
        <m:sSub>
          <m:e>
            <m:r>
              <m:t>ℓ</m:t>
            </m:r>
          </m:e>
          <m:sub>
            <m:r>
              <m:rPr>
                <m:sty m:val="p"/>
              </m:rPr>
              <m:t>CE</m:t>
            </m:r>
          </m:sub>
        </m:sSub>
        <m:r>
          <m:t>(</m:t>
        </m:r>
        <m:sSup>
          <m:e>
            <m:r>
              <m:t>T</m:t>
            </m:r>
          </m:e>
          <m:sup>
            <m:r>
              <m:t>T</m:t>
            </m:r>
          </m:sup>
        </m:sSup>
        <m:r>
          <m:t>𝐩(X),</m:t>
        </m:r>
        <m:limUpp>
          <m:e>
            <m:r>
              <m:t>y</m:t>
            </m:r>
          </m:e>
          <m:lim>
            <m:r>
              <m:t>~</m:t>
            </m:r>
          </m:lim>
        </m:limUpp>
        <m:r>
          <m:t>)</m:t>
        </m:r>
      </m:oMath>
      <w:r>
        <w:rPr>
          <w:rFonts w:ascii="Times New Roman" w:hAnsi="Times New Roman"/>
          <w:sz w:val="24"/>
        </w:rPr>
        <w:t xml:space="preserve"> with </w:t>
      </w:r>
      <m:oMath>
        <m:sSub>
          <m:e>
            <m:r>
              <m:t>L</m:t>
            </m:r>
          </m:e>
          <m:sub>
            <m:r>
              <m:rPr>
                <m:sty m:val="p"/>
              </m:rPr>
              <m:t>loss</m:t>
            </m:r>
          </m:sub>
        </m:sSub>
      </m:oMath>
      <w:r>
        <w:rPr>
          <w:rFonts w:ascii="Times New Roman" w:hAnsi="Times New Roman"/>
          <w:sz w:val="24"/>
        </w:rPr>
        <w:t xml:space="preserve">-Lipschitz cross-entropy, the parameter gradient satisfies: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
              <m:t>‖</m:t>
            </m:r>
            <m:r>
              <m:t>T</m:t>
            </m:r>
            <m:sSub>
              <m:e>
                <m:r>
                  <m:t>‖</m:t>
                </m:r>
              </m:e>
              <m:sub>
                <m:r>
                  <m:t>2</m:t>
                </m:r>
              </m:sub>
            </m:sSub>
            <m:r>
              <m:t>‖</m:t>
            </m:r>
            <m:sSub>
              <m:e>
                <m:r>
                  <m:t>∇</m:t>
                </m:r>
              </m:e>
              <m:sub>
                <m:r>
                  <m:t>θ</m:t>
                </m:r>
              </m:sub>
            </m:sSub>
            <m:r>
              <m:t>𝐩</m:t>
            </m:r>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xml:space="preserve">, since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m:t>
            </m:r>
          </m:e>
        </m:rad>
      </m:oMath>
      <w:r>
        <w:rPr>
          <w:rFonts w:ascii="Times New Roman" w:hAnsi="Times New Roman"/>
          <w:sz w:val="24"/>
        </w:rPr>
        <w:t xml:space="preserve"> for any </w:t>
      </w:r>
      <m:oMath>
        <m:r>
          <m:t>K×K</m:t>
        </m:r>
      </m:oMath>
      <w:r>
        <w:rPr>
          <w:rFonts w:ascii="Times New Roman" w:hAnsi="Times New Roman"/>
          <w:sz w:val="24"/>
        </w:rPr>
        <w:t xml:space="preserve"> row-stochastic transition matrix by the Riesz-Thorin interpolation theorem. Moreover, inverting predicted ratings for confidence estimation and sample reliability </w:t>
      </w:r>
      <m:oMath>
        <m:sSub>
          <m:e>
            <m:r>
              <m:t>R</m:t>
            </m:r>
          </m:e>
          <m:sub>
            <m:r>
              <m:rPr>
                <m:sty m:val="p"/>
              </m:rPr>
              <m:t>RRFN</m:t>
            </m:r>
          </m:sub>
        </m:sSub>
      </m:oMath>
      <w:r>
        <w:rPr>
          <w:rFonts w:ascii="Times New Roman" w:hAnsi="Times New Roman"/>
          <w:sz w:val="24"/>
        </w:rPr>
        <w:t xml:space="preserve"> via </w:t>
      </w:r>
      <m:oMath>
        <m:sSubSup>
          <m:e>
            <m:r>
              <m:t>T</m:t>
            </m:r>
          </m:e>
          <m:sub>
            <m:r>
              <m:t>λ</m:t>
            </m:r>
          </m:sub>
          <m:sup>
            <m:r>
              <m:t>†</m:t>
            </m:r>
          </m:sup>
        </m:sSubSup>
      </m:oMath>
      <w:r>
        <w:rPr>
          <w:rFonts w:ascii="Times New Roman" w:hAnsi="Times New Roman"/>
          <w:sz w:val="24"/>
        </w:rPr>
        <w:t xml:space="preserve"> is strictly protected against gradient explosion and noise amplification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independently of the matrix condition number </w:t>
      </w:r>
      <m:oMath>
        <m:r>
          <m:t>κ(T)</m:t>
        </m:r>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3.1: Substituting the Singular Value Decomposition </w:t>
      </w:r>
      <m:oMath>
        <m:r>
          <m:t>T=UΣ</m:t>
        </m:r>
        <m:sSup>
          <m:e>
            <m:r>
              <m:t>V</m:t>
            </m:r>
          </m:e>
          <m:sup>
            <m:r>
              <m:t>T</m:t>
            </m:r>
          </m:sup>
        </m:sSup>
      </m:oMath>
      <w:r>
        <w:rPr>
          <w:rFonts w:ascii="Times New Roman" w:hAnsi="Times New Roman"/>
          <w:sz w:val="24"/>
        </w:rPr>
        <w:t xml:space="preserve"> into the definition of </w:t>
      </w:r>
      <m:oMath>
        <m:sSubSup>
          <m:e>
            <m:r>
              <m:t>T</m:t>
            </m:r>
          </m:e>
          <m:sub>
            <m:r>
              <m:t>λ</m:t>
            </m:r>
          </m:sub>
          <m:sup>
            <m:r>
              <m:t>†</m:t>
            </m:r>
          </m:sup>
        </m:sSub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 xml:space="preserve">Because </w:t>
      </w:r>
      <m:oMath>
        <m:r>
          <m:t>U</m:t>
        </m:r>
      </m:oMath>
      <w:r>
        <w:rPr>
          <w:rFonts w:ascii="Times New Roman" w:hAnsi="Times New Roman"/>
          <w:sz w:val="24"/>
        </w:rPr>
        <w:t xml:space="preserve"> and </w:t>
      </w:r>
      <m:oMath>
        <m:r>
          <m:t>V</m:t>
        </m:r>
      </m:oMath>
      <w:r>
        <w:rPr>
          <w:rFonts w:ascii="Times New Roman" w:hAnsi="Times New Roman"/>
          <w:sz w:val="24"/>
        </w:rPr>
        <w:t xml:space="preserve"> are orthonormal unitary matrices, the singular values of </w:t>
      </w:r>
      <m:oMath>
        <m:sSubSup>
          <m:e>
            <m:r>
              <m:t>T</m:t>
            </m:r>
          </m:e>
          <m:sub>
            <m:r>
              <m:t>λ</m:t>
            </m:r>
          </m:sub>
          <m:sup>
            <m:r>
              <m:t>†</m:t>
            </m:r>
          </m:sup>
        </m:sSubSup>
      </m:oMath>
      <w:r>
        <w:rPr>
          <w:rFonts w:ascii="Times New Roman" w:hAnsi="Times New Roman"/>
          <w:sz w:val="24"/>
        </w:rPr>
        <w:t xml:space="preserve"> correspond to the diagonal elements of </w:t>
      </w:r>
      <m:oMath>
        <m:d>
          <m:dPr>
            <m:sepChr m:val="+"/>
            <m:endChr m:val=""/>
          </m:dPr>
          <m:e>
            <m:sSup>
              <m:e>
                <m:r>
                  <m:t>Σ</m:t>
                </m:r>
              </m:e>
              <m:sup>
                <m:r>
                  <m:t>2</m:t>
                </m:r>
              </m:sup>
            </m:sSup>
          </m:e>
          <m:e>
            <m:r>
              <m:t>λ</m:t>
            </m:r>
            <m:r>
              <m:t>I</m:t>
            </m:r>
            <m:sSup>
              <m:e>
                <m:r>
                  <m:t>)</m:t>
                </m:r>
              </m:e>
              <m:sup>
                <m:r>
                  <m:t>−1</m:t>
                </m:r>
              </m:sup>
            </m:sSup>
            <m:r>
              <m:t>Σ</m:t>
            </m:r>
          </m:e>
        </m:d>
      </m:oMath>
      <w:r>
        <w:rPr>
          <w:rFonts w:ascii="Times New Roman" w:hAnsi="Times New Roman"/>
          <w:sz w:val="24"/>
        </w:rPr>
        <w:t xml:space="preserve">. These singular values are governed by the continuous scalar function </w:t>
      </w:r>
      <m:oMath>
        <m:r>
          <m:t>f(σ)=</m:t>
        </m:r>
        <m:f>
          <m:fPr>
            <m:type m:val="bar"/>
          </m:fPr>
          <m:num>
            <m:r>
              <m:t>σ</m:t>
            </m:r>
          </m:num>
          <m:den>
            <m:sSup>
              <m:e>
                <m:r>
                  <m:t>σ</m:t>
                </m:r>
              </m:e>
              <m:sup>
                <m:r>
                  <m:t>2</m:t>
                </m:r>
              </m:sup>
            </m:sSup>
            <m:r>
              <m:t>+λ</m:t>
            </m:r>
          </m:den>
        </m:f>
      </m:oMath>
      <w:r>
        <w:rPr>
          <w:rFonts w:ascii="Times New Roman" w:hAnsi="Times New Roman"/>
          <w:sz w:val="24"/>
        </w:rPr>
        <w:t xml:space="preserve"> for </w:t>
      </w:r>
      <m:oMath>
        <m:r>
          <m:t>σ≥0</m:t>
        </m:r>
      </m:oMath>
      <w:r>
        <w:rPr>
          <w:rFonts w:ascii="Times New Roman" w:hAnsi="Times New Roman"/>
          <w:sz w:val="24"/>
        </w:rPr>
        <w:t xml:space="preserve">. Differentiating </w:t>
      </w:r>
      <m:oMath>
        <m:r>
          <m:t>f(σ)</m:t>
        </m:r>
      </m:oMath>
      <w:r>
        <w:rPr>
          <w:rFonts w:ascii="Times New Roman" w:hAnsi="Times New Roman"/>
          <w:sz w:val="24"/>
        </w:rPr>
        <w:t xml:space="preserve"> with respect to </w:t>
      </w:r>
      <m:oMath>
        <m:r>
          <m:t>σ</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 xml:space="preserve">Setting the first derivative to zero </w:t>
      </w:r>
      <m:oMath>
        <m:sSup>
          <m:e>
            <m:r>
              <m:t>f</m:t>
            </m:r>
          </m:e>
          <m:sup>
            <m:r>
              <m:t>′</m:t>
            </m:r>
          </m:sup>
        </m:sSup>
        <m:r>
          <m:t>(σ)=0</m:t>
        </m:r>
      </m:oMath>
      <w:r>
        <w:rPr>
          <w:rFonts w:ascii="Times New Roman" w:hAnsi="Times New Roman"/>
          <w:sz w:val="24"/>
        </w:rPr>
        <w:t xml:space="preserve"> yields the unique stationary critical point at </w:t>
      </w:r>
      <m:oMath>
        <m:sSup>
          <m:e>
            <m:r>
              <m:t>σ</m:t>
            </m:r>
          </m:e>
          <m:sup>
            <m:r>
              <m:t>*</m:t>
            </m:r>
          </m:sup>
        </m:sSup>
        <m:r>
          <m:t>=</m:t>
        </m:r>
        <m:rad>
          <m:radPr>
            <m:degHide m:val="on"/>
          </m:radPr>
          <m:deg/>
          <m:e>
            <m:r>
              <m:t>λ</m:t>
            </m:r>
          </m:e>
        </m:rad>
      </m:oMath>
      <w:r>
        <w:rPr>
          <w:rFonts w:ascii="Times New Roman" w:hAnsi="Times New Roman"/>
          <w:sz w:val="24"/>
        </w:rPr>
        <w:t xml:space="preserve">. Evaluating </w:t>
      </w:r>
      <m:oMath>
        <m:r>
          <m:t>f</m:t>
        </m:r>
      </m:oMath>
      <w:r>
        <w:rPr>
          <w:rFonts w:ascii="Times New Roman" w:hAnsi="Times New Roman"/>
          <w:sz w:val="24"/>
        </w:rPr>
        <w:t xml:space="preserve"> at </w:t>
      </w:r>
      <m:oMath>
        <m:sSup>
          <m:e>
            <m:r>
              <m:t>σ</m:t>
            </m:r>
          </m:e>
          <m:sup>
            <m:r>
              <m:t>*</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 xml:space="preserve">Evaluating the boundary limits: </w:t>
      </w:r>
      <m:oMath>
        <m:r>
          <m:t>f(0)=0</m:t>
        </m:r>
      </m:oMath>
      <w:r>
        <w:rPr>
          <w:rFonts w:ascii="Times New Roman" w:hAnsi="Times New Roman"/>
          <w:sz w:val="24"/>
        </w:rPr>
        <w:t xml:space="preserve">, and </w:t>
      </w:r>
      <m:oMath>
        <m:sSub>
          <m:e>
            <m:r>
              <m:t>lim</m:t>
            </m:r>
          </m:e>
          <m:sub>
            <m:r>
              <m:t>σ→∞</m:t>
            </m:r>
          </m:sub>
        </m:sSub>
        <m:r>
          <m:t>f(σ)=0</m:t>
        </m:r>
      </m:oMath>
      <w:r>
        <w:rPr>
          <w:rFonts w:ascii="Times New Roman" w:hAnsi="Times New Roman"/>
          <w:sz w:val="24"/>
        </w:rPr>
        <w:t xml:space="preserve">. Since </w:t>
      </w:r>
      <m:oMath>
        <m:sSup>
          <m:e>
            <m:r>
              <m:t>f</m:t>
            </m:r>
          </m:e>
          <m:sup>
            <m:r>
              <m:t>′</m:t>
            </m:r>
          </m:sup>
        </m:sSup>
        <m:r>
          <m:t>(σ)&gt;0</m:t>
        </m:r>
      </m:oMath>
      <w:r>
        <w:rPr>
          <w:rFonts w:ascii="Times New Roman" w:hAnsi="Times New Roman"/>
          <w:sz w:val="24"/>
        </w:rPr>
        <w:t xml:space="preserve"> for </w:t>
      </w:r>
      <m:oMath>
        <m:d>
          <m:dPr>
            <m:begChr m:val=""/>
            <m:sepChr m:val=""/>
          </m:dPr>
          <m:e>
            <m:r>
              <m:t>σ</m:t>
            </m:r>
            <m:r>
              <m:t>∈</m:t>
            </m:r>
            <m:r>
              <m:t>[</m:t>
            </m:r>
            <m:r>
              <m:t>0</m:t>
            </m:r>
            <m:r>
              <m:t>,</m:t>
            </m:r>
            <m:rad>
              <m:radPr>
                <m:degHide m:val="on"/>
              </m:radPr>
              <m:deg/>
              <m:e>
                <m:r>
                  <m:t>λ</m:t>
                </m:r>
              </m:e>
            </m:rad>
          </m:e>
        </m:d>
      </m:oMath>
      <w:r>
        <w:rPr>
          <w:rFonts w:ascii="Times New Roman" w:hAnsi="Times New Roman"/>
          <w:sz w:val="24"/>
        </w:rPr>
        <w:t xml:space="preserve"> and </w:t>
      </w:r>
      <m:oMath>
        <m:sSup>
          <m:e>
            <m:r>
              <m:t>f</m:t>
            </m:r>
          </m:e>
          <m:sup>
            <m:r>
              <m:t>′</m:t>
            </m:r>
          </m:sup>
        </m:sSup>
        <m:r>
          <m:t>(σ)&lt;0</m:t>
        </m:r>
      </m:oMath>
      <w:r>
        <w:rPr>
          <w:rFonts w:ascii="Times New Roman" w:hAnsi="Times New Roman"/>
          <w:sz w:val="24"/>
        </w:rPr>
        <w:t xml:space="preserve"> for </w:t>
      </w:r>
      <m:oMath>
        <m:r>
          <m:t>σ&gt;</m:t>
        </m:r>
        <m:rad>
          <m:radPr>
            <m:degHide m:val="on"/>
          </m:radPr>
          <m:deg/>
          <m:e>
            <m:r>
              <m:t>λ</m:t>
            </m:r>
          </m:e>
        </m:rad>
      </m:oMath>
      <w:r>
        <w:rPr>
          <w:rFonts w:ascii="Times New Roman" w:hAnsi="Times New Roman"/>
          <w:sz w:val="24"/>
        </w:rPr>
        <w:t xml:space="preserve">, </w:t>
      </w:r>
      <m:oMath>
        <m:sSup>
          <m:e>
            <m:r>
              <m:t>σ</m:t>
            </m:r>
          </m:e>
          <m:sup>
            <m:r>
              <m:t>*</m:t>
            </m:r>
          </m:sup>
        </m:sSup>
        <m:r>
          <m:t>=</m:t>
        </m:r>
        <m:rad>
          <m:radPr>
            <m:degHide m:val="on"/>
          </m:radPr>
          <m:deg/>
          <m:e>
            <m:r>
              <m:t>λ</m:t>
            </m:r>
          </m:e>
        </m:rad>
      </m:oMath>
      <w:r>
        <w:rPr>
          <w:rFonts w:ascii="Times New Roman" w:hAnsi="Times New Roman"/>
          <w:sz w:val="24"/>
        </w:rPr>
        <w:t xml:space="preserve"> represents the unique global maximum of </w:t>
      </w:r>
      <m:oMath>
        <m:r>
          <m:t>f(σ)</m:t>
        </m:r>
      </m:oMath>
      <w:r>
        <w:rPr>
          <w:rFonts w:ascii="Times New Roman" w:hAnsi="Times New Roman"/>
          <w:sz w:val="24"/>
        </w:rPr>
        <w:t xml:space="preserve"> on </w:t>
      </w:r>
      <m:oMath>
        <m:r>
          <m:t>[0,∞)</m:t>
        </m:r>
      </m:oMath>
      <w:r>
        <w:rPr>
          <w:rFonts w:ascii="Times New Roman" w:hAnsi="Times New Roman"/>
          <w:sz w:val="24"/>
        </w:rPr>
        <w:t xml:space="preserve">. Consequently, for any matrix </w:t>
      </w:r>
      <m:oMath>
        <m:r>
          <m:t>T</m:t>
        </m:r>
      </m:oMath>
      <w:r>
        <w:rPr>
          <w:rFonts w:ascii="Times New Roman" w:hAnsi="Times New Roman"/>
          <w:sz w:val="24"/>
        </w:rPr>
        <w:t xml:space="preserve">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 xml:space="preserve">For forward-corrected loss </w:t>
      </w:r>
      <m:oMath>
        <m:sSub>
          <m:e>
            <m:r>
              <m:t>ℒ</m:t>
            </m:r>
          </m:e>
          <m:sub>
            <m:r>
              <m:rPr>
                <m:sty m:val="p"/>
              </m:rPr>
              <m:t>risk</m:t>
            </m:r>
          </m:sub>
        </m:sSub>
      </m:oMath>
      <w:r>
        <w:rPr>
          <w:rFonts w:ascii="Times New Roman" w:hAnsi="Times New Roman"/>
          <w:sz w:val="24"/>
        </w:rPr>
        <w:t xml:space="preserve">, applying the multivariable chain rule gives: </w:t>
      </w:r>
      <m:oMath>
        <m:sSub>
          <m:e>
            <m:r>
              <m:t>∇</m:t>
            </m:r>
          </m:e>
          <m:sub>
            <m:r>
              <m:t>θ</m:t>
            </m:r>
          </m:sub>
        </m:sSub>
        <m:sSub>
          <m:e>
            <m:r>
              <m:t>ℒ</m:t>
            </m:r>
          </m:e>
          <m:sub>
            <m:r>
              <m:rPr>
                <m:sty m:val="p"/>
              </m:rPr>
              <m:t>risk</m:t>
            </m:r>
          </m:sub>
        </m:sSub>
        <m:r>
          <m:t>=(</m:t>
        </m:r>
        <m:sSub>
          <m:e>
            <m:r>
              <m:t>∇</m:t>
            </m:r>
          </m:e>
          <m:sub>
            <m:limUpp>
              <m:e>
                <m:r>
                  <m:t>𝐩</m:t>
                </m:r>
              </m:e>
              <m:lim>
                <m:r>
                  <m:t>~</m:t>
                </m:r>
              </m:lim>
            </m:limUpp>
          </m:sub>
        </m:sSub>
        <m:sSub>
          <m:e>
            <m:r>
              <m:t>ℓ</m:t>
            </m:r>
          </m:e>
          <m:sub>
            <m:r>
              <m:rPr>
                <m:sty m:val="p"/>
              </m:rPr>
              <m:t>CE</m:t>
            </m:r>
          </m:sub>
        </m:sSub>
        <m:r>
          <m:t>)</m:t>
        </m:r>
        <m:sSup>
          <m:e>
            <m:r>
              <m:t>T</m:t>
            </m:r>
          </m:e>
          <m:sup>
            <m:r>
              <m:t>T</m:t>
            </m:r>
          </m:sup>
        </m:sSup>
        <m:sSub>
          <m:e>
            <m:r>
              <m:t>∇</m:t>
            </m:r>
          </m:e>
          <m:sub>
            <m:r>
              <m:t>θ</m:t>
            </m:r>
          </m:sub>
        </m:sSub>
        <m:r>
          <m:t>𝐩</m:t>
        </m:r>
      </m:oMath>
      <w:r>
        <w:rPr>
          <w:rFonts w:ascii="Times New Roman" w:hAnsi="Times New Roman"/>
          <w:sz w:val="24"/>
        </w:rPr>
        <w:t xml:space="preserve">. Since </w:t>
      </w:r>
      <m:oMath>
        <m:r>
          <m:t>T∈</m:t>
        </m:r>
        <m:sSup>
          <m:e>
            <m:r>
              <m:t>ℝ</m:t>
            </m:r>
          </m:e>
          <m:sup>
            <m:r>
              <m:t>K×K</m:t>
            </m:r>
          </m:sup>
        </m:sSup>
      </m:oMath>
      <w:r>
        <w:rPr>
          <w:rFonts w:ascii="Times New Roman" w:hAnsi="Times New Roman"/>
          <w:sz w:val="24"/>
        </w:rPr>
        <w:t xml:space="preserve"> is row-stochastic, its maximum row sum satisfies </w:t>
      </w:r>
      <m:oMath>
        <m:r>
          <m:t>‖T</m:t>
        </m:r>
        <m:sSub>
          <m:e>
            <m:r>
              <m:t>‖</m:t>
            </m:r>
          </m:e>
          <m:sub>
            <m:r>
              <m:t>∞</m:t>
            </m:r>
          </m:sub>
        </m:sSub>
        <m:r>
          <m:t>=</m:t>
        </m:r>
        <m:sSub>
          <m:e>
            <m:r>
              <m:t>max</m:t>
            </m:r>
          </m:e>
          <m:sub>
            <m:r>
              <m:t>i</m:t>
            </m:r>
          </m:sub>
        </m:sSub>
        <m:nary>
          <m:naryPr>
            <m:chr m:val="∑"/>
            <m:limLoc m:val="subSup"/>
            <m:grow m:val="1"/>
            <m:subHide m:val="off"/>
            <m:supHide m:val="off"/>
          </m:naryPr>
          <m:sub>
            <m:r>
              <m:t>j=1</m:t>
            </m:r>
          </m:sub>
          <m:sup>
            <m:r>
              <m:t>K</m:t>
            </m:r>
          </m:sup>
          <m:e>
            <m:sSub>
              <m:e>
                <m:r>
                  <m:t>T</m:t>
                </m:r>
              </m:e>
              <m:sub>
                <m:r>
                  <m:t>ij</m:t>
                </m:r>
              </m:sub>
            </m:sSub>
          </m:e>
        </m:nary>
        <m:r>
          <m:t>=1</m:t>
        </m:r>
      </m:oMath>
      <w:r>
        <w:rPr>
          <w:rFonts w:ascii="Times New Roman" w:hAnsi="Times New Roman"/>
          <w:sz w:val="24"/>
        </w:rPr>
        <w:t xml:space="preserve">. Its maximum column sum satisfies </w:t>
      </w:r>
      <m:oMath>
        <m:r>
          <m:t>‖T</m:t>
        </m:r>
        <m:sSub>
          <m:e>
            <m:r>
              <m:t>‖</m:t>
            </m:r>
          </m:e>
          <m:sub>
            <m:r>
              <m:t>1</m:t>
            </m:r>
          </m:sub>
        </m:sSub>
        <m:r>
          <m:t>=</m:t>
        </m:r>
        <m:sSub>
          <m:e>
            <m:r>
              <m:t>max</m:t>
            </m:r>
          </m:e>
          <m:sub>
            <m:r>
              <m:t>j</m:t>
            </m:r>
          </m:sub>
        </m:sSub>
        <m:nary>
          <m:naryPr>
            <m:chr m:val="∑"/>
            <m:limLoc m:val="subSup"/>
            <m:grow m:val="1"/>
            <m:subHide m:val="off"/>
            <m:supHide m:val="off"/>
          </m:naryPr>
          <m:sub>
            <m:r>
              <m:t>i=1</m:t>
            </m:r>
          </m:sub>
          <m:sup>
            <m:r>
              <m:t>K</m:t>
            </m:r>
          </m:sup>
          <m:e>
            <m:sSub>
              <m:e>
                <m:r>
                  <m:t>T</m:t>
                </m:r>
              </m:e>
              <m:sub>
                <m:r>
                  <m:t>ij</m:t>
                </m:r>
              </m:sub>
            </m:sSub>
          </m:e>
        </m:nary>
        <m:r>
          <m:t>≤K</m:t>
        </m:r>
      </m:oMath>
      <w:r>
        <w:rPr>
          <w:rFonts w:ascii="Times New Roman" w:hAnsi="Times New Roman"/>
          <w:sz w:val="24"/>
        </w:rPr>
        <w:t xml:space="preserve">. By the Riesz-Thorin interpolation theorem, the operator 2-norm satisfies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K·1</m:t>
            </m:r>
          </m:e>
        </m:rad>
        <m:r>
          <m:t>=</m:t>
        </m:r>
        <m:rad>
          <m:radPr>
            <m:degHide m:val="on"/>
          </m:radPr>
          <m:deg/>
          <m:e>
            <m:r>
              <m:t>K</m:t>
            </m:r>
          </m:e>
        </m:rad>
      </m:oMath>
      <w:r>
        <w:rPr>
          <w:rFonts w:ascii="Times New Roman" w:hAnsi="Times New Roman"/>
          <w:sz w:val="24"/>
        </w:rPr>
        <w:t xml:space="preserve">. Therefore,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 xml:space="preserve">Theorem 3.2 (Forward Surrogate Risk Consistency and Excess Clean Risk Bounds): Let </w:t>
      </w:r>
      <m:oMath>
        <m:sSubSup>
          <m:e>
            <m:r>
              <m:t>R</m:t>
            </m:r>
          </m:e>
          <m:sub>
            <m:r>
              <m:rPr>
                <m:sty m:val="p"/>
              </m:rPr>
              <m:t>CE</m:t>
            </m:r>
          </m:sub>
          <m:sup>
            <m:r>
              <m:t>*</m:t>
            </m:r>
          </m:sup>
        </m:sSubSup>
        <m:r>
          <m:t>(f)=</m:t>
        </m:r>
        <m:sSub>
          <m:e>
            <m:r>
              <m:t>𝔼</m:t>
            </m:r>
          </m:e>
          <m:sub>
            <m:d>
              <m:dPr>
                <m:sepChr m:val=","/>
              </m:dPr>
              <m:e>
                <m:r>
                  <m:t>X</m:t>
                </m:r>
              </m:e>
              <m:e>
                <m:sSup>
                  <m:e>
                    <m:r>
                      <m:t>Y</m:t>
                    </m:r>
                  </m:e>
                  <m:sup>
                    <m:r>
                      <m:t>*</m:t>
                    </m:r>
                  </m:sup>
                </m:sSup>
              </m:e>
            </m:d>
          </m:sub>
        </m:sSub>
        <m:r>
          <m:t>[</m:t>
        </m:r>
        <m:sSub>
          <m:e>
            <m:r>
              <m:t>ℓ</m:t>
            </m:r>
          </m:e>
          <m:sub>
            <m:r>
              <m:rPr>
                <m:sty m:val="p"/>
              </m:rPr>
              <m:t>CE</m:t>
            </m:r>
          </m:sub>
        </m:sSub>
        <m:r>
          <m:t>(f(X),</m:t>
        </m:r>
        <m:sSup>
          <m:e>
            <m:r>
              <m:t>Y</m:t>
            </m:r>
          </m:e>
          <m:sup>
            <m:r>
              <m:t>*</m:t>
            </m:r>
          </m:sup>
        </m:sSup>
        <m:r>
          <m:t>)]</m:t>
        </m:r>
      </m:oMath>
      <w:r>
        <w:rPr>
          <w:rFonts w:ascii="Times New Roman" w:hAnsi="Times New Roman"/>
          <w:sz w:val="24"/>
        </w:rPr>
        <w:t xml:space="preserve"> denote the clean Bayes risk over distribution </w:t>
      </w:r>
      <m:oMath>
        <m:r>
          <m:t>P(X,</m:t>
        </m:r>
        <m:sSup>
          <m:e>
            <m:r>
              <m:t>Y</m:t>
            </m:r>
          </m:e>
          <m:sup>
            <m:r>
              <m:t>*</m:t>
            </m:r>
          </m:sup>
        </m:sSup>
        <m:r>
          <m:t>)</m:t>
        </m:r>
      </m:oMath>
      <w:r>
        <w:rPr>
          <w:rFonts w:ascii="Times New Roman" w:hAnsi="Times New Roman"/>
          <w:sz w:val="24"/>
        </w:rPr>
        <w:t xml:space="preserve">, and let </w:t>
      </w:r>
      <m:oMath>
        <m:acc>
          <m:accPr>
            <m:chr m:val="̂"/>
          </m:accPr>
          <m:e>
            <m:r>
              <m:t>T</m:t>
            </m:r>
          </m:e>
        </m:acc>
      </m:oMath>
      <w:r>
        <w:rPr>
          <w:rFonts w:ascii="Times New Roman" w:hAnsi="Times New Roman"/>
          <w:sz w:val="24"/>
        </w:rPr>
        <w:t xml:space="preserve"> be the estimated anchor transition matrix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 xml:space="preserve">. Let the forward-corrected surrogate loss be </w:t>
      </w:r>
      <m:oMath>
        <m:sSub>
          <m:e>
            <m:r>
              <m:t>ℓ</m:t>
            </m:r>
          </m:e>
          <m:sub>
            <m:r>
              <m:rPr>
                <m:sty m:val="p"/>
              </m:rPr>
              <m:t>forward</m:t>
            </m:r>
          </m:sub>
        </m:sSub>
        <m:r>
          <m:t>(f(X),</m:t>
        </m:r>
        <m:limUpp>
          <m:e>
            <m:r>
              <m:t>Y</m:t>
            </m:r>
          </m:e>
          <m:lim>
            <m:r>
              <m:t>~</m:t>
            </m:r>
          </m:lim>
        </m:limUpp>
        <m:r>
          <m:t>;</m:t>
        </m:r>
        <m:acc>
          <m:accPr>
            <m:chr m:val="̂"/>
          </m:accPr>
          <m:e>
            <m:r>
              <m:t>T</m:t>
            </m:r>
          </m:e>
        </m:acc>
        <m:r>
          <m:t>)=−</m:t>
        </m:r>
        <m:r>
          <m:rPr>
            <m:sty m:val="p"/>
          </m:rPr>
          <m:t>log</m:t>
        </m:r>
        <m:r>
          <m:t>(</m:t>
        </m:r>
        <m:sSup>
          <m:e>
            <m:acc>
              <m:accPr>
                <m:chr m:val="̂"/>
              </m:accPr>
              <m:e>
                <m:r>
                  <m:t>T</m:t>
                </m:r>
              </m:e>
            </m:acc>
          </m:e>
          <m:sup>
            <m:r>
              <m:t>T</m:t>
            </m:r>
          </m:sup>
        </m:sSup>
        <m:r>
          <m:t>f(X)</m:t>
        </m:r>
        <m:sSub>
          <m:e>
            <m:r>
              <m:t>)</m:t>
            </m:r>
          </m:e>
          <m:sub>
            <m:limUpp>
              <m:e>
                <m:r>
                  <m:t>Y</m:t>
                </m:r>
              </m:e>
              <m:lim>
                <m:r>
                  <m:t>~</m:t>
                </m:r>
              </m:lim>
            </m:limUpp>
          </m:sub>
        </m:sSub>
      </m:oMath>
      <w:r>
        <w:rPr>
          <w:rFonts w:ascii="Times New Roman" w:hAnsi="Times New Roman"/>
          <w:sz w:val="24"/>
        </w:rPr>
        <w:t xml:space="preserve"> with empirical risk </w:t>
      </w:r>
      <m:oMath>
        <m:sSub>
          <m:e>
            <m:acc>
              <m:accPr>
                <m:chr m:val="̂"/>
              </m:accPr>
              <m:e>
                <m:r>
                  <m:t>R</m:t>
                </m:r>
              </m:e>
            </m:acc>
          </m:e>
          <m:sub>
            <m:r>
              <m:rPr>
                <m:sty m:val="p"/>
              </m:rPr>
              <m:t>forward</m:t>
            </m:r>
          </m:sub>
        </m:sSub>
        <m:r>
          <m:t>(f;</m:t>
        </m:r>
        <m:acc>
          <m:accPr>
            <m:chr m:val="̂"/>
          </m:accPr>
          <m:e>
            <m:r>
              <m:t>T</m:t>
            </m:r>
          </m:e>
        </m:acc>
        <m:r>
          <m:t>)=</m:t>
        </m:r>
        <m:f>
          <m:fPr>
            <m:type m:val="bar"/>
          </m:fPr>
          <m:num>
            <m:r>
              <m:t>1</m:t>
            </m:r>
          </m:num>
          <m:den>
            <m:r>
              <m:t>N</m:t>
            </m:r>
          </m:den>
        </m:f>
        <m:nary>
          <m:naryPr>
            <m:chr m:val="∑"/>
            <m:limLoc m:val="subSup"/>
            <m:grow m:val="1"/>
            <m:subHide m:val="off"/>
            <m:supHide m:val="off"/>
          </m:naryPr>
          <m:sub>
            <m:r>
              <m:t>i=1</m:t>
            </m:r>
          </m:sub>
          <m:sup>
            <m:r>
              <m:t>N</m:t>
            </m:r>
          </m:sup>
          <m:e>
            <m:sSub>
              <m:e>
                <m:r>
                  <m:t>ℓ</m:t>
                </m:r>
              </m:e>
              <m:sub>
                <m:r>
                  <m:rPr>
                    <m:sty m:val="p"/>
                  </m:rPr>
                  <m:t>forward</m:t>
                </m:r>
              </m:sub>
            </m:sSub>
          </m:e>
        </m:nary>
        <m:r>
          <m:t>(f(</m:t>
        </m:r>
        <m:sSub>
          <m:e>
            <m:r>
              <m:t>X</m:t>
            </m:r>
          </m:e>
          <m:sub>
            <m:r>
              <m:t>i</m:t>
            </m:r>
          </m:sub>
        </m:sSub>
        <m:r>
          <m:t>),</m:t>
        </m:r>
        <m:sSub>
          <m:e>
            <m:limUpp>
              <m:e>
                <m:r>
                  <m:t>Y</m:t>
                </m:r>
              </m:e>
              <m:lim>
                <m:r>
                  <m:t>~</m:t>
                </m:r>
              </m:lim>
            </m:limUpp>
          </m:e>
          <m:sub>
            <m:r>
              <m:t>i</m:t>
            </m:r>
          </m:sub>
        </m:sSub>
        <m:r>
          <m:t>;</m:t>
        </m:r>
        <m:acc>
          <m:accPr>
            <m:chr m:val="̂"/>
          </m:accPr>
          <m:e>
            <m:r>
              <m:t>T</m:t>
            </m:r>
          </m:e>
        </m:acc>
        <m:r>
          <m:t>)</m:t>
        </m:r>
      </m:oMath>
      <w:r>
        <w:rPr>
          <w:rFonts w:ascii="Times New Roman" w:hAnsi="Times New Roman"/>
          <w:sz w:val="24"/>
        </w:rPr>
        <w:t xml:space="preserve">. Under Assumptions 3.1 and 3.2 with bounded logits and Rademacher complexity </w:t>
      </w:r>
      <m:oMath>
        <m:sSub>
          <m:e>
            <m:r>
              <m:t>ℛ</m:t>
            </m:r>
          </m:e>
          <m:sub>
            <m:r>
              <m:t>N</m:t>
            </m:r>
          </m:sub>
        </m:sSub>
        <m:r>
          <m:t>(ℱ)≤</m:t>
        </m:r>
        <m:f>
          <m:fPr>
            <m:type m:val="bar"/>
          </m:fPr>
          <m:num>
            <m:sSub>
              <m:e>
                <m:r>
                  <m:t>C</m:t>
                </m:r>
              </m:e>
              <m:sub>
                <m:r>
                  <m:t>F</m:t>
                </m:r>
              </m:sub>
            </m:sSub>
          </m:num>
          <m:den>
            <m:rad>
              <m:radPr>
                <m:degHide m:val="on"/>
              </m:radPr>
              <m:deg/>
              <m:e>
                <m:r>
                  <m:t>N</m:t>
                </m:r>
              </m:e>
            </m:rad>
          </m:den>
        </m:f>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 xml:space="preserve">While expected forward surrogate risk and clean Bayes risk differ by the additive label transition entropy gap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(X))]≥0</m:t>
        </m:r>
      </m:oMath>
      <w:r>
        <w:rPr>
          <w:rFonts w:ascii="Times New Roman" w:hAnsi="Times New Roman"/>
          <w:sz w:val="24"/>
        </w:rPr>
        <w:t xml:space="preserve">, their unique global minimizers coincide identically: </w:t>
      </w:r>
      <m:oMath>
        <m:sSup>
          <m:e>
            <m:r>
              <m:t>f</m:t>
            </m:r>
          </m:e>
          <m:sup>
            <m:r>
              <m:t>*</m:t>
            </m:r>
          </m:sup>
        </m:sSup>
        <m:r>
          <m:t>(X)=</m:t>
        </m:r>
        <m:sSup>
          <m:e>
            <m:r>
              <m:t>𝐩</m:t>
            </m:r>
          </m:e>
          <m:sup>
            <m:r>
              <m:t>*</m:t>
            </m:r>
          </m:sup>
        </m:sSup>
        <m:r>
          <m:t>(X)=P(</m:t>
        </m:r>
        <m:sSup>
          <m:e>
            <m:r>
              <m:t>Y</m:t>
            </m:r>
          </m:e>
          <m:sup>
            <m:r>
              <m:t>*</m:t>
            </m:r>
          </m:sup>
        </m:sSup>
        <m:r>
          <m:t>∣X)</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 xml:space="preserve">For empirical surrogate minimizer </w:t>
      </w:r>
      <m:oMath>
        <m:acc>
          <m:accPr>
            <m:chr m:val="̂"/>
          </m:accPr>
          <m:e>
            <m:r>
              <m:t>f</m:t>
            </m:r>
          </m:e>
        </m:acc>
        <m:r>
          <m:t>=</m:t>
        </m:r>
        <m:r>
          <m:rPr>
            <m:sty m:val="p"/>
          </m:rPr>
          <m:t>\arg</m:t>
        </m:r>
        <m:sSub>
          <m:e>
            <m:r>
              <m:t>min</m:t>
            </m:r>
          </m:e>
          <m:sub>
            <m:r>
              <m:t>f∈ℱ</m:t>
            </m:r>
          </m:sub>
        </m:sSub>
        <m:sSub>
          <m:e>
            <m:acc>
              <m:accPr>
                <m:chr m:val="̂"/>
              </m:accPr>
              <m:e>
                <m:r>
                  <m:t>R</m:t>
                </m:r>
              </m:e>
            </m:acc>
          </m:e>
          <m:sub>
            <m:r>
              <m:rPr>
                <m:sty m:val="p"/>
              </m:rPr>
              <m:t>forward</m:t>
            </m:r>
          </m:sub>
        </m:sSub>
        <m:r>
          <m:t>(f;</m:t>
        </m:r>
        <m:acc>
          <m:accPr>
            <m:chr m:val="̂"/>
          </m:accPr>
          <m:e>
            <m:r>
              <m:t>T</m:t>
            </m:r>
          </m:e>
        </m:acc>
        <m:r>
          <m:t>)</m:t>
        </m:r>
      </m:oMath>
      <w:r>
        <w:rPr>
          <w:rFonts w:ascii="Times New Roman" w:hAnsi="Times New Roman"/>
          <w:sz w:val="24"/>
        </w:rPr>
        <w:t xml:space="preserve">, the clean excess risk satisfies: </w:t>
      </w:r>
      <m:oMath>
        <m:sSup>
          <m:e>
            <m:r>
              <m:t>ℰ</m:t>
            </m:r>
          </m:e>
          <m:sup>
            <m:r>
              <m:t>*</m:t>
            </m:r>
          </m:sup>
        </m:sSup>
        <m:r>
          <m:t>(</m:t>
        </m:r>
        <m:acc>
          <m:accPr>
            <m:chr m:val="̂"/>
          </m:accPr>
          <m:e>
            <m:r>
              <m:t>f</m:t>
            </m:r>
          </m:e>
        </m:acc>
        <m:r>
          <m:t>)=</m:t>
        </m:r>
        <m:sSup>
          <m:e>
            <m:r>
              <m:t>R</m:t>
            </m:r>
          </m:e>
          <m:sup>
            <m:r>
              <m:t>*</m:t>
            </m:r>
          </m:sup>
        </m:sSup>
        <m:r>
          <m:t>(</m:t>
        </m:r>
        <m:acc>
          <m:accPr>
            <m:chr m:val="̂"/>
          </m:accPr>
          <m:e>
            <m:r>
              <m:t>f</m:t>
            </m:r>
          </m:e>
        </m:acc>
        <m:r>
          <m:t>)−</m:t>
        </m:r>
        <m:sSub>
          <m:e>
            <m:r>
              <m:t>min</m:t>
            </m:r>
          </m:e>
          <m:sub>
            <m:r>
              <m:t>f</m:t>
            </m:r>
          </m:sub>
        </m:sSub>
        <m:sSup>
          <m:e>
            <m:r>
              <m:t>R</m:t>
            </m:r>
          </m:e>
          <m:sup>
            <m:r>
              <m:t>*</m:t>
            </m:r>
          </m:sup>
        </m:sSup>
        <m:r>
          <m:t>(f)≤</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where </w:t>
      </w:r>
      <m:oMath>
        <m:sSub>
          <m:e>
            <m:r>
              <m:t>L</m:t>
            </m:r>
          </m:e>
          <m:sub>
            <m:r>
              <m:rPr>
                <m:sty m:val="p"/>
              </m:rPr>
              <m:t>CE</m:t>
            </m:r>
          </m:sub>
        </m:sSub>
        <m:r>
          <m:t>≤</m:t>
        </m:r>
        <m:sSup>
          <m:e>
            <m:r>
              <m:t>e</m:t>
            </m:r>
          </m:e>
          <m:sup>
            <m:r>
              <m:t>2C</m:t>
            </m:r>
          </m:sup>
        </m:sSup>
      </m:oMath>
      <w:r>
        <w:rPr>
          <w:rFonts w:ascii="Times New Roman" w:hAnsi="Times New Roman"/>
          <w:sz w:val="24"/>
        </w:rPr>
        <w:t xml:space="preserve">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 xml:space="preserve">The Tikhonov-regularized confidence inversion error for sample reliability filtering satisfies: </w:t>
      </w: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3.2: For Part 1, by the law of total expectation conditioning on input </w:t>
      </w:r>
      <m:oMath>
        <m:r>
          <m:t>X</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p>
          <m:e>
            <m:r>
              <m:t>𝐩</m:t>
            </m:r>
          </m:e>
          <m:sup>
            <m:r>
              <m:t>*</m:t>
            </m:r>
          </m:sup>
        </m:sSup>
        <m:r>
          <m:t>(X)=P(</m:t>
        </m:r>
        <m:sSup>
          <m:e>
            <m:r>
              <m:t>Y</m:t>
            </m:r>
          </m:e>
          <m:sup>
            <m:r>
              <m:t>*</m:t>
            </m:r>
          </m:sup>
        </m:sSup>
        <m:r>
          <m:t>∣X)</m:t>
        </m:r>
      </m:oMath>
      <w:r>
        <w:rPr>
          <w:rFonts w:ascii="Times New Roman" w:hAnsi="Times New Roman"/>
          <w:sz w:val="24"/>
        </w:rPr>
        <w:t xml:space="preserve">. For clean Bayes risk: </w:t>
      </w:r>
      <m:oMath>
        <m:sSup>
          <m:e>
            <m:r>
              <m:t>R</m:t>
            </m:r>
          </m:e>
          <m:sup>
            <m:r>
              <m:t>*</m:t>
            </m:r>
          </m:sup>
        </m:sSup>
        <m:r>
          <m:t>(f)=</m:t>
        </m:r>
        <m:sSub>
          <m:e>
            <m:r>
              <m:t>𝔼</m:t>
            </m:r>
          </m:e>
          <m:sub>
            <m:r>
              <m:t>X</m:t>
            </m:r>
          </m:sub>
        </m:sSub>
        <m:r>
          <m:t>[H(</m:t>
        </m:r>
        <m:sSup>
          <m:e>
            <m:r>
              <m:t>𝐩</m:t>
            </m:r>
          </m:e>
          <m:sup>
            <m:r>
              <m:t>*</m:t>
            </m:r>
          </m:sup>
        </m:sSup>
        <m:r>
          <m:t>(X))+</m:t>
        </m:r>
        <m:sSub>
          <m:e>
            <m:r>
              <m:t>D</m:t>
            </m:r>
          </m:e>
          <m:sub>
            <m:r>
              <m:rPr>
                <m:sty m:val="p"/>
              </m:rPr>
              <m:t>KL</m:t>
            </m:r>
          </m:sub>
        </m:sSub>
        <m:r>
          <m:t>(</m:t>
        </m:r>
        <m:sSup>
          <m:e>
            <m:r>
              <m:t>𝐩</m:t>
            </m:r>
          </m:e>
          <m:sup>
            <m:r>
              <m:t>*</m:t>
            </m:r>
          </m:sup>
        </m:sSup>
        <m:r>
          <m:t>(X)∥f(X))]</m:t>
        </m:r>
      </m:oMath>
      <w:r>
        <w:rPr>
          <w:rFonts w:ascii="Times New Roman" w:hAnsi="Times New Roman"/>
          <w:sz w:val="24"/>
        </w:rPr>
        <w:t xml:space="preserve">. Both risks attain their minimum when KL divergence vanishes: </w:t>
      </w:r>
      <m:oMath>
        <m:sSub>
          <m:e>
            <m:r>
              <m:t>D</m:t>
            </m:r>
          </m:e>
          <m:sub>
            <m:r>
              <m:rPr>
                <m:sty m:val="p"/>
              </m:rPr>
              <m:t>KL</m:t>
            </m:r>
          </m:sub>
        </m:sSub>
        <m:r>
          <m:t>(</m:t>
        </m:r>
        <m:sSup>
          <m:e>
            <m:r>
              <m:t>T</m:t>
            </m:r>
          </m:e>
          <m:sup>
            <m:r>
              <m:t>*T</m:t>
            </m:r>
          </m:sup>
        </m:sSup>
        <m:sSup>
          <m:e>
            <m:r>
              <m:t>𝐩</m:t>
            </m:r>
          </m:e>
          <m:sup>
            <m:r>
              <m:t>*</m:t>
            </m:r>
          </m:sup>
        </m:sSup>
        <m:r>
          <m:t>∥</m:t>
        </m:r>
        <m:sSup>
          <m:e>
            <m:r>
              <m:t>T</m:t>
            </m:r>
          </m:e>
          <m:sup>
            <m:r>
              <m:t>*T</m:t>
            </m:r>
          </m:sup>
        </m:sSup>
        <m:r>
          <m:t>f)=0⟺</m:t>
        </m:r>
        <m:sSup>
          <m:e>
            <m:r>
              <m:t>T</m:t>
            </m:r>
          </m:e>
          <m:sup>
            <m:r>
              <m:t>*T</m:t>
            </m:r>
          </m:sup>
        </m:sSup>
        <m:r>
          <m:t>f(X)=</m:t>
        </m:r>
        <m:sSup>
          <m:e>
            <m:r>
              <m:t>T</m:t>
            </m:r>
          </m:e>
          <m:sup>
            <m:r>
              <m:t>*T</m:t>
            </m:r>
          </m:sup>
        </m:sSup>
        <m:sSup>
          <m:e>
            <m:r>
              <m:t>𝐩</m:t>
            </m:r>
          </m:e>
          <m:sup>
            <m:r>
              <m:t>*</m:t>
            </m:r>
          </m:sup>
        </m:sSup>
        <m:r>
          <m:t>(X)</m:t>
        </m:r>
      </m:oMath>
      <w:r>
        <w:rPr>
          <w:rFonts w:ascii="Times New Roman" w:hAnsi="Times New Roman"/>
          <w:sz w:val="24"/>
        </w:rPr>
        <w:t xml:space="preserve">. By Assumption 3.2,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 xml:space="preserve">, so </w:t>
      </w:r>
      <m:oMath>
        <m:sSup>
          <m:e>
            <m:r>
              <m:t>T</m:t>
            </m:r>
          </m:e>
          <m:sup>
            <m:r>
              <m:t>*T</m:t>
            </m:r>
          </m:sup>
        </m:sSup>
      </m:oMath>
      <w:r>
        <w:rPr>
          <w:rFonts w:ascii="Times New Roman" w:hAnsi="Times New Roman"/>
          <w:sz w:val="24"/>
        </w:rPr>
        <w:t xml:space="preserve"> is strictly invertible, uniquely yielding </w:t>
      </w:r>
      <m:oMath>
        <m:sSup>
          <m:e>
            <m:r>
              <m:t>f</m:t>
            </m:r>
          </m:e>
          <m:sup>
            <m:r>
              <m:t>*</m:t>
            </m:r>
          </m:sup>
        </m:sSup>
        <m:r>
          <m:t>(X)=</m:t>
        </m:r>
        <m:sSup>
          <m:e>
            <m:r>
              <m:t>𝐩</m:t>
            </m:r>
          </m:e>
          <m:sup>
            <m:r>
              <m:t>*</m:t>
            </m:r>
          </m:sup>
        </m:sSup>
        <m:r>
          <m:t>(X)</m:t>
        </m:r>
      </m:oMath>
      <w:r>
        <w:rPr>
          <w:rFonts w:ascii="Times New Roman" w:hAnsi="Times New Roman"/>
          <w:sz w:val="24"/>
        </w:rPr>
        <w:t xml:space="preserve">. The baseline risks differ solely by the constant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m:t>
        </m:r>
      </m:oMath>
      <w:r>
        <w:rPr>
          <w:rFonts w:ascii="Times New Roman" w:hAnsi="Times New Roman"/>
          <w:sz w:val="24"/>
        </w:rPr>
        <w:t>, proving Part 1.</w:t>
      </w:r>
    </w:p>
    <w:p>
      <w:pPr>
        <w:spacing w:line="360" w:lineRule="auto" w:before="0" w:after="120"/>
        <w:jc w:val="both"/>
      </w:pPr>
      <w:r>
        <w:rPr>
          <w:rFonts w:ascii="Times New Roman" w:hAnsi="Times New Roman"/>
          <w:sz w:val="24"/>
        </w:rPr>
        <w:t xml:space="preserve">For Part 2, for any candidate </w:t>
      </w:r>
      <m:oMath>
        <m:r>
          <m:t>f</m:t>
        </m:r>
      </m:oMath>
      <w:r>
        <w:rPr>
          <w:rFonts w:ascii="Times New Roman" w:hAnsi="Times New Roman"/>
          <w:sz w:val="24"/>
        </w:rPr>
        <w:t xml:space="preserve">, clean excess risk is </w:t>
      </w:r>
      <m:oMath>
        <m:sSup>
          <m:e>
            <m:r>
              <m:t>ℰ</m:t>
            </m:r>
          </m:e>
          <m:sup>
            <m:r>
              <m:t>*</m:t>
            </m:r>
          </m:sup>
        </m:sSup>
        <m:r>
          <m:t>(f)=</m:t>
        </m:r>
        <m:sSub>
          <m:e>
            <m:r>
              <m:t>𝔼</m:t>
            </m:r>
          </m:e>
          <m:sub>
            <m:r>
              <m:t>X</m:t>
            </m:r>
          </m:sub>
        </m:sSub>
        <m:r>
          <m:t>[</m:t>
        </m:r>
        <m:sSub>
          <m:e>
            <m:r>
              <m:t>D</m:t>
            </m:r>
          </m:e>
          <m:sub>
            <m:r>
              <m:rPr>
                <m:sty m:val="p"/>
              </m:rPr>
              <m:t>KL</m:t>
            </m:r>
          </m:sub>
        </m:sSub>
        <m:r>
          <m:t>(</m:t>
        </m:r>
        <m:sSup>
          <m:e>
            <m:r>
              <m:t>𝐩</m:t>
            </m:r>
          </m:e>
          <m:sup>
            <m:r>
              <m:t>*</m:t>
            </m:r>
          </m:sup>
        </m:sSup>
        <m:r>
          <m:t>(X)∥f(X))]</m:t>
        </m:r>
      </m:oMath>
      <w:r>
        <w:rPr>
          <w:rFonts w:ascii="Times New Roman" w:hAnsi="Times New Roman"/>
          <w:sz w:val="24"/>
        </w:rPr>
        <w:t xml:space="preserve">. By Pinsker's inequality and the minimum singular value bound </w:t>
      </w:r>
      <m:oMath>
        <m:sSub>
          <m:e>
            <m:d>
              <m:dPr>
                <m:begChr m:val="‖"/>
                <m:sepChr m:val=""/>
                <m:endChr m:val="‖"/>
              </m:dPr>
              <m:e>
                <m:sSup>
                  <m:e>
                    <m:r>
                      <m:t>T</m:t>
                    </m:r>
                  </m:e>
                  <m:sup>
                    <m:r>
                      <m:t>*T</m:t>
                    </m:r>
                  </m:sup>
                </m:sSup>
                <m:r>
                  <m:t>𝐯</m:t>
                </m:r>
                <m:sSub>
                  <m:e>
                    <m:r>
                      <m:t>‖</m:t>
                    </m:r>
                  </m:e>
                  <m:sub>
                    <m:r>
                      <m:t>2</m:t>
                    </m:r>
                  </m:sub>
                </m:sSub>
                <m:r>
                  <m:t>≥</m:t>
                </m:r>
                <m:sSub>
                  <m:e>
                    <m:r>
                      <m:t>σ</m:t>
                    </m:r>
                  </m:e>
                  <m:sub>
                    <m:r>
                      <m:t>0</m:t>
                    </m:r>
                  </m:sub>
                </m:sSub>
                <m:r>
                  <m:t>‖𝐯</m:t>
                </m:r>
              </m:e>
            </m:d>
          </m:e>
          <m:sub>
            <m:r>
              <m:t>2</m:t>
            </m:r>
          </m:sub>
        </m:sSub>
      </m:oMath>
      <w:r>
        <w:rPr>
          <w:rFonts w:ascii="Times New Roman" w:hAnsi="Times New Roman"/>
          <w:sz w:val="24"/>
        </w:rPr>
        <w:t xml:space="preserve">: </w:t>
      </w:r>
      <m:oMath>
        <m:sSub>
          <m:e>
            <m:d>
              <m:dPr>
                <m:begChr m:val="‖"/>
                <m:sepChr m:val=""/>
                <m:endChr m:val="‖"/>
              </m:dPr>
              <m:e>
                <m:sSup>
                  <m:e>
                    <m:r>
                      <m:t>𝐩</m:t>
                    </m:r>
                  </m:e>
                  <m:sup>
                    <m:r>
                      <m:t>*</m:t>
                    </m:r>
                  </m:sup>
                </m:sSup>
                <m:r>
                  <m:t>(X)−f(X)</m:t>
                </m:r>
                <m:sSub>
                  <m:e>
                    <m:r>
                      <m:t>‖</m:t>
                    </m:r>
                  </m:e>
                  <m:sub>
                    <m:r>
                      <m:t>1</m:t>
                    </m:r>
                  </m:sub>
                </m:sSub>
                <m:r>
                  <m:t>≤</m:t>
                </m:r>
                <m:f>
                  <m:fPr>
                    <m:type m:val="bar"/>
                  </m:fPr>
                  <m:num>
                    <m:r>
                      <m:t>1</m:t>
                    </m:r>
                  </m:num>
                  <m:den>
                    <m:sSub>
                      <m:e>
                        <m:r>
                          <m:t>σ</m:t>
                        </m:r>
                      </m:e>
                      <m:sub>
                        <m:r>
                          <m:t>0</m:t>
                        </m:r>
                      </m:sub>
                    </m:sSub>
                  </m:den>
                </m:f>
                <m:r>
                  <m:t>‖</m:t>
                </m:r>
                <m:sSup>
                  <m:e>
                    <m:r>
                      <m:t>T</m:t>
                    </m:r>
                  </m:e>
                  <m:sup>
                    <m:r>
                      <m:t>*T</m:t>
                    </m:r>
                  </m:sup>
                </m:sSup>
                <m:r>
                  <m:t>(</m:t>
                </m:r>
                <m:sSup>
                  <m:e>
                    <m:r>
                      <m:t>𝐩</m:t>
                    </m:r>
                  </m:e>
                  <m:sup>
                    <m:r>
                      <m:t>*</m:t>
                    </m:r>
                  </m:sup>
                </m:sSup>
                <m:r>
                  <m:t>(X)−f(X))</m:t>
                </m:r>
              </m:e>
            </m:d>
          </m:e>
          <m:sub>
            <m:r>
              <m:t>1</m:t>
            </m:r>
          </m:sub>
        </m:sSub>
      </m:oMath>
      <w:r>
        <w:rPr>
          <w:rFonts w:ascii="Times New Roman" w:hAnsi="Times New Roman"/>
          <w:sz w:val="24"/>
        </w:rPr>
        <w:t xml:space="preserve">. Applying uniform Rademacher generalization bounds on </w:t>
      </w:r>
      <m:oMath>
        <m:r>
          <m:t>ℱ</m:t>
        </m:r>
      </m:oMath>
      <w:r>
        <w:rPr>
          <w:rFonts w:ascii="Times New Roman" w:hAnsi="Times New Roman"/>
          <w:sz w:val="24"/>
        </w:rPr>
        <w:t xml:space="preserve"> with bounded loss, with probability at least </w:t>
      </w:r>
      <m:oMath>
        <m:r>
          <m:t>1−η</m:t>
        </m:r>
      </m:oMath>
      <w:r>
        <w:rPr>
          <w:rFonts w:ascii="Times New Roman" w:hAnsi="Times New Roman"/>
          <w:sz w:val="24"/>
        </w:rPr>
        <w:t xml:space="preserve">: </w:t>
      </w:r>
      <m:oMath>
        <m:sSub>
          <m:e>
            <m:r>
              <m:t>sup</m:t>
            </m:r>
          </m:e>
          <m:sub>
            <m:r>
              <m:t>f∈ℱ</m:t>
            </m:r>
          </m:sub>
        </m:sSub>
        <m:r>
          <m:t>|</m:t>
        </m:r>
        <m:sSub>
          <m:e>
            <m:acc>
              <m:accPr>
                <m:chr m:val="̂"/>
              </m:accPr>
              <m:e>
                <m:r>
                  <m:t>R</m:t>
                </m:r>
              </m:e>
            </m:acc>
          </m:e>
          <m:sub>
            <m:r>
              <m:rPr>
                <m:sty m:val="p"/>
              </m:rPr>
              <m:t>forward</m:t>
            </m:r>
          </m:sub>
        </m:sSub>
        <m:r>
          <m:t>(f;</m:t>
        </m:r>
        <m:acc>
          <m:accPr>
            <m:chr m:val="̂"/>
          </m:accPr>
          <m:e>
            <m:r>
              <m:t>T</m:t>
            </m:r>
          </m:e>
        </m:acc>
        <m:r>
          <m:t>)−</m:t>
        </m:r>
        <m:sSub>
          <m:e>
            <m:r>
              <m:t>R</m:t>
            </m:r>
          </m:e>
          <m:sub>
            <m:r>
              <m:rPr>
                <m:sty m:val="p"/>
              </m:rPr>
              <m:t>forward</m:t>
            </m:r>
          </m:sub>
        </m:sSub>
        <m:r>
          <m:t>(f;</m:t>
        </m:r>
        <m:sSup>
          <m:e>
            <m:r>
              <m:t>T</m:t>
            </m:r>
          </m:e>
          <m:sup>
            <m:r>
              <m:t>*</m:t>
            </m:r>
          </m:sup>
        </m:sSup>
        <m:r>
          <m:t>)|≤</m:t>
        </m:r>
        <m:sSub>
          <m:e>
            <m:r>
              <m:t>L</m:t>
            </m:r>
          </m:e>
          <m:sub>
            <m:r>
              <m:rPr>
                <m:sty m:val="p"/>
              </m:rPr>
              <m:t>CE</m:t>
            </m:r>
          </m:sub>
        </m:sSub>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Evaluating at empirical minimizer </w:t>
      </w:r>
      <m:oMath>
        <m:acc>
          <m:accPr>
            <m:chr m:val="̂"/>
          </m:accPr>
          <m:e>
            <m:r>
              <m:t>f</m:t>
            </m:r>
          </m:e>
        </m:acc>
      </m:oMath>
      <w:r>
        <w:rPr>
          <w:rFonts w:ascii="Times New Roman" w:hAnsi="Times New Roman"/>
          <w:sz w:val="24"/>
        </w:rPr>
        <w:t xml:space="preserve"> yields: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f>
          <m:fPr>
            <m:type m:val="bar"/>
          </m:fPr>
          <m:num>
            <m:r>
              <m:t>1</m:t>
            </m:r>
          </m:num>
          <m:den>
            <m:rad>
              <m:radPr>
                <m:degHide m:val="on"/>
              </m:radPr>
              <m:deg/>
              <m:e>
                <m:r>
                  <m:t>λ</m:t>
                </m:r>
              </m:e>
            </m:rad>
          </m:den>
        </m:f>
        <m:r>
          <m:t>‖</m:t>
        </m:r>
        <m:acc>
          <m:accPr>
            <m:chr m:val="̂"/>
          </m:accPr>
          <m:e>
            <m:r>
              <m:t>T</m:t>
            </m:r>
          </m:e>
        </m:acc>
        <m:r>
          <m:t>−</m:t>
        </m:r>
        <m:sSup>
          <m:e>
            <m:r>
              <m:t>T</m:t>
            </m:r>
          </m:e>
          <m:sup>
            <m:r>
              <m:t>*</m:t>
            </m:r>
          </m:sup>
        </m:sSup>
        <m:sSub>
          <m:e>
            <m:r>
              <m:t>‖</m:t>
            </m:r>
          </m:e>
          <m:sub>
            <m:r>
              <m:t>2</m:t>
            </m:r>
          </m:sub>
        </m:sSub>
        <m:r>
          <m:t>≤</m:t>
        </m:r>
        <m:f>
          <m:fPr>
            <m:type m:val="bar"/>
          </m:fPr>
          <m:num>
            <m:r>
              <m:t>δ</m:t>
            </m:r>
          </m:num>
          <m:den>
            <m:rad>
              <m:radPr>
                <m:degHide m:val="on"/>
              </m:radPr>
              <m:deg/>
              <m:e>
                <m:r>
                  <m:t>λ</m:t>
                </m:r>
              </m:e>
            </m:rad>
          </m:den>
        </m:f>
      </m:oMath>
      <w:r>
        <w:rPr>
          <w:rFonts w:ascii="Times New Roman" w:hAnsi="Times New Roman"/>
          <w:sz w:val="24"/>
        </w:rPr>
        <w:t xml:space="preserve"> via the Lipschitz resolvent mapping, and </w:t>
      </w:r>
      <m:oMath>
        <m:r>
          <m:t>‖</m:t>
        </m:r>
        <m:sSubSup>
          <m:e>
            <m:r>
              <m:t>T</m:t>
            </m:r>
          </m:e>
          <m:sub>
            <m:r>
              <m:t>λ</m:t>
            </m:r>
          </m:sub>
          <m:sup>
            <m:r>
              <m:t>*†</m:t>
            </m:r>
          </m:sup>
        </m:sSubSup>
        <m:r>
          <m:t>−(</m:t>
        </m:r>
        <m:sSup>
          <m:e>
            <m:r>
              <m:t>T</m:t>
            </m:r>
          </m:e>
          <m:sup>
            <m:r>
              <m:t>*</m:t>
            </m:r>
          </m:sup>
        </m:sSup>
        <m:sSup>
          <m:e>
            <m:r>
              <m:t>)</m:t>
            </m:r>
          </m:e>
          <m:sup>
            <m:r>
              <m:t>−1</m:t>
            </m:r>
          </m:sup>
        </m:sSup>
        <m:sSub>
          <m:e>
            <m:r>
              <m:t>‖</m:t>
            </m:r>
          </m:e>
          <m:sub>
            <m:r>
              <m:t>2</m:t>
            </m:r>
          </m:sub>
        </m:sSub>
        <m:r>
          <m:t>=‖λ(</m:t>
        </m:r>
        <m:sSup>
          <m:e>
            <m:r>
              <m:t>T</m:t>
            </m:r>
          </m:e>
          <m:sup>
            <m:r>
              <m:t>*T</m:t>
            </m:r>
          </m:sup>
        </m:sSup>
        <m:sSup>
          <m:e>
            <m:r>
              <m:t>T</m:t>
            </m:r>
          </m:e>
          <m:sup>
            <m:r>
              <m:t>*</m:t>
            </m:r>
          </m:sup>
        </m:sSup>
        <m:r>
          <m:t>+λI</m:t>
        </m:r>
        <m:sSup>
          <m:e>
            <m:r>
              <m:t>)</m:t>
            </m:r>
          </m:e>
          <m:sup>
            <m:r>
              <m:t>−1</m:t>
            </m:r>
          </m:sup>
        </m:sSup>
        <m:r>
          <m:t>(</m:t>
        </m:r>
        <m:sSup>
          <m:e>
            <m:r>
              <m:t>T</m:t>
            </m:r>
          </m:e>
          <m:sup>
            <m:r>
              <m:t>*</m:t>
            </m:r>
          </m:sup>
        </m:sSup>
        <m:sSup>
          <m:e>
            <m:r>
              <m:t>)</m:t>
            </m:r>
          </m:e>
          <m:sup>
            <m:r>
              <m:t>−1</m:t>
            </m:r>
          </m:sup>
        </m:sSup>
        <m:sSub>
          <m:e>
            <m:r>
              <m:t>‖</m:t>
            </m:r>
          </m:e>
          <m:sub>
            <m:r>
              <m:t>2</m:t>
            </m:r>
          </m:sub>
        </m:sSub>
        <m:r>
          <m:t>≤</m:t>
        </m:r>
        <m:f>
          <m:fPr>
            <m:type m:val="bar"/>
          </m:fPr>
          <m:num>
            <m:r>
              <m:t>λ</m:t>
            </m:r>
          </m:num>
          <m:den>
            <m:sSubSup>
              <m:e>
                <m:r>
                  <m:t>σ</m:t>
                </m:r>
              </m:e>
              <m:sub>
                <m:r>
                  <m:t>0</m:t>
                </m:r>
              </m:sub>
              <m:sup>
                <m:r>
                  <m:t>2</m:t>
                </m:r>
              </m:sup>
            </m:sSubSup>
            <m:r>
              <m:t>+λ</m:t>
            </m:r>
          </m:den>
        </m:f>
        <m:r>
          <m:t>·</m:t>
        </m:r>
        <m:f>
          <m:fPr>
            <m:type m:val="bar"/>
          </m:fPr>
          <m:num>
            <m:r>
              <m:t>1</m:t>
            </m:r>
          </m:num>
          <m:den>
            <m:sSub>
              <m:e>
                <m:r>
                  <m:t>σ</m:t>
                </m:r>
              </m:e>
              <m:sub>
                <m:r>
                  <m:t>0</m:t>
                </m:r>
              </m:sub>
            </m:sSub>
          </m:den>
        </m:f>
      </m:oMath>
      <w:r>
        <w:rPr>
          <w:rFonts w:ascii="Times New Roman" w:hAnsi="Times New Roman"/>
          <w:sz w:val="24"/>
        </w:rPr>
        <w:t>,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 xml:space="preserve">Recall@K &amp; nDCG@K: Top-K ranking accuracy computed against held-out ground truth test interactions </w:t>
      </w:r>
      <m:oMath>
        <m:sSubSup>
          <m:e>
            <m:r>
              <m:t>ℐ</m:t>
            </m:r>
          </m:e>
          <m:sub>
            <m:r>
              <m:t>u</m:t>
            </m:r>
          </m:sub>
          <m:sup>
            <m:r>
              <m:rPr>
                <m:sty m:val="p"/>
              </m:rPr>
              <m:t>test</m:t>
            </m:r>
          </m:sup>
        </m:sSubSup>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 xml:space="preserve">Raw Long-Tail Coverage (LTC@K): The fraction of unique long-tail items recommended across all users: </w:t>
      </w:r>
      <m:oMath>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tail</m:t>
                    </m:r>
                  </m:sub>
                </m:sSub>
              </m:e>
            </m:d>
          </m:num>
          <m:den>
            <m:d>
              <m:dPr>
                <m:begChr m:val="|"/>
                <m:sepChr m:val=""/>
                <m:endChr m:val="|"/>
              </m:dPr>
              <m:e>
                <m:sSub>
                  <m:e>
                    <m:r>
                      <m:t>ℐ</m:t>
                    </m:r>
                  </m:e>
                  <m:sub>
                    <m:r>
                      <m:rPr>
                        <m:sty m:val="p"/>
                      </m:rPr>
                      <m:t>tail</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 xml:space="preserve">Genuine Long-Tail Coverage (g-LTC@K): Catalog coverage of authentic long-tail items strictly excluding injected attack targets </w:t>
      </w:r>
      <m:oMath>
        <m:sSub>
          <m:e>
            <m:r>
              <m:t>ℐ</m:t>
            </m:r>
          </m:e>
          <m:sub>
            <m:r>
              <m:rPr>
                <m:sty m:val="p"/>
              </m:rPr>
              <m:t>target</m:t>
            </m:r>
          </m:sub>
        </m:sSub>
      </m:oMath>
      <w:r>
        <w:rPr>
          <w:rFonts w:ascii="Times New Roman" w:hAnsi="Times New Roman"/>
          <w:sz w:val="24"/>
        </w:rPr>
        <w:t xml:space="preserve">: </w:t>
      </w:r>
      <m:oMath>
        <m:r>
          <m:t>g</m:t>
        </m:r>
        <m:r>
          <m:rPr>
            <m:nor/>
          </m:rPr>
          <m:t>-</m:t>
        </m:r>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r>
                  <m:t>(</m:t>
                </m:r>
                <m:sSub>
                  <m:e>
                    <m:r>
                      <m:t>ℐ</m:t>
                    </m:r>
                  </m:e>
                  <m:sub>
                    <m:r>
                      <m:rPr>
                        <m:sty m:val="p"/>
                      </m:rPr>
                      <m:t>tail</m:t>
                    </m:r>
                  </m:sub>
                </m:sSub>
                <m:r>
                  <m:t>⧵</m:t>
                </m:r>
                <m:sSub>
                  <m:e>
                    <m:r>
                      <m:t>ℐ</m:t>
                    </m:r>
                  </m:e>
                  <m:sub>
                    <m:r>
                      <m:rPr>
                        <m:sty m:val="p"/>
                      </m:rPr>
                      <m:t>target</m:t>
                    </m:r>
                  </m:sub>
                </m:sSub>
                <m:r>
                  <m:t>)</m:t>
                </m:r>
              </m:e>
            </m:d>
          </m:num>
          <m:den>
            <m:d>
              <m:dPr>
                <m:begChr m:val="|"/>
                <m:sepChr m:val=""/>
                <m:endChr m:val="|"/>
              </m:dPr>
              <m:e>
                <m:sSub>
                  <m:e>
                    <m:r>
                      <m:t>ℐ</m:t>
                    </m:r>
                  </m:e>
                  <m:sub>
                    <m:r>
                      <m:rPr>
                        <m:sty m:val="p"/>
                      </m:rPr>
                      <m:t>tail</m:t>
                    </m:r>
                  </m:sub>
                </m:sSub>
                <m:r>
                  <m:t>⧵</m:t>
                </m:r>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 xml:space="preserve">Spam Target Exposure Rate (STER@K): The fraction of designated attack targets forced into top-K recommendation lists: </w:t>
      </w:r>
      <m:oMath>
        <m:r>
          <m:rPr>
            <m:sty m:val="p"/>
          </m:rPr>
          <m:t>STER</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target</m:t>
                    </m:r>
                  </m:sub>
                </m:sSub>
              </m:e>
            </m:d>
          </m:num>
          <m:den>
            <m:d>
              <m:dPr>
                <m:begChr m:val="|"/>
                <m:sepChr m:val=""/>
                <m:endChr m:val="|"/>
              </m:dPr>
              <m:e>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 xml:space="preserve">Root Mean Square Error of Popularity Calibration (RMSE-PC): Measures the divergence between recommended tail proportions and historical user tail inclination </w:t>
      </w:r>
      <m:oMath>
        <m:sSubSup>
          <m:e>
            <m:r>
              <m:t>α</m:t>
            </m:r>
          </m:e>
          <m:sub>
            <m:r>
              <m:t>u</m:t>
            </m:r>
          </m:sub>
          <m:sup>
            <m:r>
              <m:t>*</m:t>
            </m:r>
          </m:sup>
        </m:sSubSup>
      </m:oMath>
      <w:r>
        <w:rPr>
          <w:rFonts w:ascii="Times New Roman" w:hAnsi="Times New Roman"/>
          <w:sz w:val="24"/>
        </w:rPr>
        <w:t xml:space="preserve">: </w:t>
      </w:r>
      <m:oMath>
        <m:r>
          <m:rPr>
            <m:sty m:val="p"/>
          </m:rPr>
          <m:t>RMSE</m:t>
        </m:r>
        <m:r>
          <m:rPr>
            <m:nor/>
          </m:rPr>
          <m:t>-</m:t>
        </m:r>
        <m:r>
          <m:rPr>
            <m:sty m:val="p"/>
          </m:rPr>
          <m:t>PC</m:t>
        </m:r>
        <m:r>
          <m:t>=</m:t>
        </m:r>
        <m:rad>
          <m:radPr>
            <m:degHide m:val="on"/>
          </m:radPr>
          <m:deg/>
          <m:e>
            <m:f>
              <m:fPr>
                <m:type m:val="bar"/>
              </m:fPr>
              <m:num>
                <m:r>
                  <m:t>1</m:t>
                </m:r>
              </m:num>
              <m:den>
                <m:d>
                  <m:dPr>
                    <m:begChr m:val="|"/>
                    <m:sepChr m:val=""/>
                    <m:endChr m:val="|"/>
                  </m:dPr>
                  <m:e>
                    <m:r>
                      <m:t>𝒰</m:t>
                    </m:r>
                  </m:e>
                </m:d>
              </m:den>
            </m:f>
            <m:nary>
              <m:naryPr>
                <m:chr m:val="∑"/>
                <m:limLoc m:val="subSup"/>
                <m:grow m:val="1"/>
                <m:subHide m:val="off"/>
                <m:supHide m:val="on"/>
              </m:naryPr>
              <m:sub>
                <m:r>
                  <m:t>u∈𝒰</m:t>
                </m:r>
              </m:sub>
              <m:sup/>
              <m:e>
                <m:sSup>
                  <m:e>
                    <m:d>
                      <m:dPr>
                        <m:sepChr m:val="−"/>
                      </m:dPr>
                      <m:e>
                        <m:f>
                          <m:fPr>
                            <m:type m:val="bar"/>
                          </m:fPr>
                          <m:num>
                            <m:d>
                              <m:dPr>
                                <m:begChr m:val="|"/>
                                <m:sepChr m:val=""/>
                                <m:endChr m:val="|"/>
                              </m:dPr>
                              <m:e>
                                <m:r>
                                  <m:rPr>
                                    <m:sty m:val="p"/>
                                  </m:rPr>
                                  <m:t>TopK</m:t>
                                </m:r>
                                <m:r>
                                  <m:t>(</m:t>
                                </m:r>
                                <m:r>
                                  <m:t>u</m:t>
                                </m:r>
                                <m:r>
                                  <m:t>)</m:t>
                                </m:r>
                                <m:r>
                                  <m:t>∩</m:t>
                                </m:r>
                                <m:sSub>
                                  <m:e>
                                    <m:r>
                                      <m:t>ℐ</m:t>
                                    </m:r>
                                  </m:e>
                                  <m:sub>
                                    <m:r>
                                      <m:rPr>
                                        <m:sty m:val="p"/>
                                      </m:rPr>
                                      <m:t>tail</m:t>
                                    </m:r>
                                  </m:sub>
                                </m:sSub>
                              </m:e>
                            </m:d>
                          </m:num>
                          <m:den>
                            <m:r>
                              <m:t>K</m:t>
                            </m:r>
                          </m:den>
                        </m:f>
                      </m:e>
                      <m:e>
                        <m:sSubSup>
                          <m:e>
                            <m:r>
                              <m:t>α</m:t>
                            </m:r>
                          </m:e>
                          <m:sub>
                            <m:r>
                              <m:t>u</m:t>
                            </m:r>
                          </m:sub>
                          <m:sup>
                            <m:r>
                              <m:t>*</m:t>
                            </m:r>
                          </m:sup>
                        </m:sSubSup>
                      </m:e>
                    </m:d>
                  </m:e>
                  <m:sup>
                    <m:r>
                      <m:t>2</m:t>
                    </m:r>
                  </m:sup>
                </m:sSup>
              </m:e>
            </m:nary>
          </m:e>
        </m:rad>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 xml:space="preserve">Mean Rank Miscalibration (MRMC): Measures KL divergence between recommended and historical popularity quintile distributions: </w:t>
      </w:r>
      <m:oMath>
        <m:r>
          <m:rPr>
            <m:sty m:val="p"/>
          </m:rPr>
          <m:t>MRMC</m:t>
        </m:r>
        <m:r>
          <m:t>=</m:t>
        </m:r>
        <m:f>
          <m:fPr>
            <m:type m:val="bar"/>
          </m:fPr>
          <m:num>
            <m:r>
              <m:t>1</m:t>
            </m:r>
          </m:num>
          <m:den>
            <m:d>
              <m:dPr>
                <m:begChr m:val="|"/>
                <m:sepChr m:val=""/>
                <m:endChr m:val="|"/>
              </m:dPr>
              <m:e>
                <m:r>
                  <m:t>𝒰</m:t>
                </m:r>
              </m:e>
            </m:d>
          </m:den>
        </m:f>
        <m:nary>
          <m:naryPr>
            <m:chr m:val="∑"/>
            <m:limLoc m:val="subSup"/>
            <m:grow m:val="1"/>
            <m:subHide m:val="off"/>
            <m:supHide m:val="on"/>
          </m:naryPr>
          <m:sub>
            <m:r>
              <m:t>u∈𝒰</m:t>
            </m:r>
          </m:sub>
          <m:sup/>
          <m:e>
            <m:sSub>
              <m:e>
                <m:r>
                  <m:t>D</m:t>
                </m:r>
              </m:e>
              <m:sub>
                <m:r>
                  <m:rPr>
                    <m:sty m:val="p"/>
                  </m:rPr>
                  <m:t>KL</m:t>
                </m:r>
              </m:sub>
            </m:sSub>
          </m:e>
        </m:nary>
        <m:r>
          <m:t>(</m:t>
        </m:r>
        <m:sSub>
          <m:e>
            <m:r>
              <m:t>𝐩</m:t>
            </m:r>
          </m:e>
          <m:sub>
            <m:r>
              <m:rPr>
                <m:sty m:val="p"/>
              </m:rPr>
              <m:t>rec</m:t>
            </m:r>
          </m:sub>
        </m:sSub>
        <m:r>
          <m:t>(u)∥</m:t>
        </m:r>
        <m:sSub>
          <m:e>
            <m:r>
              <m:t>𝐩</m:t>
            </m:r>
          </m:e>
          <m:sub>
            <m:r>
              <m:rPr>
                <m:sty m:val="p"/>
              </m:rPr>
              <m:t>hist</m:t>
            </m:r>
          </m:sub>
        </m:sSub>
        <m:r>
          <m:t>(u))</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 xml:space="preserve">General Key Performance Indicator (GKPI): The harmonic mean of ranking utility, calibration fidelity, catalog coverage, and novelty: </w:t>
      </w:r>
      <m:oMath>
        <m:r>
          <m:rPr>
            <m:sty m:val="p"/>
          </m:rPr>
          <m:t>GKPI</m:t>
        </m:r>
        <m:r>
          <m:t>=</m:t>
        </m:r>
        <m:f>
          <m:fPr>
            <m:type m:val="bar"/>
          </m:fPr>
          <m:num>
            <m:r>
              <m:t>4</m:t>
            </m:r>
          </m:num>
          <m:den>
            <m:sSup>
              <m:e>
                <m:r>
                  <m:rPr>
                    <m:sty m:val="p"/>
                  </m:rPr>
                  <m:t>nDCG</m:t>
                </m:r>
              </m:e>
              <m:sup>
                <m:r>
                  <m:t>−1</m:t>
                </m:r>
              </m:sup>
            </m:sSup>
            <m:r>
              <m:t>+(1−</m:t>
            </m:r>
            <m:r>
              <m:rPr>
                <m:sty m:val="p"/>
              </m:rPr>
              <m:t>RMSE</m:t>
            </m:r>
            <m:sSup>
              <m:e>
                <m:r>
                  <m:t>)</m:t>
                </m:r>
              </m:e>
              <m:sup>
                <m:r>
                  <m:t>−1</m:t>
                </m:r>
              </m:sup>
            </m:sSup>
            <m:r>
              <m:t>+</m:t>
            </m:r>
            <m:sSup>
              <m:e>
                <m:r>
                  <m:rPr>
                    <m:sty m:val="p"/>
                  </m:rPr>
                  <m:t>LTC</m:t>
                </m:r>
              </m:e>
              <m:sup>
                <m:r>
                  <m:t>−1</m:t>
                </m:r>
              </m:sup>
            </m:sSup>
            <m:r>
              <m:t>+(</m:t>
            </m:r>
            <m:sSub>
              <m:e>
                <m:r>
                  <m:t>K</m:t>
                </m:r>
              </m:e>
              <m:sub>
                <m:r>
                  <m:t>max</m:t>
                </m:r>
              </m:sub>
            </m:sSub>
            <m:r>
              <m:t>/</m:t>
            </m:r>
            <m:r>
              <m:rPr>
                <m:sty m:val="p"/>
              </m:rPr>
              <m:t>Nov</m:t>
            </m:r>
            <m:r>
              <m:t>)</m:t>
            </m:r>
          </m:den>
        </m:f>
      </m:oMath>
      <w:r>
        <w:rPr>
          <w:rFonts w:ascii="Times New Roman" w:hAnsi="Times New Roman"/>
          <w:sz w:val="24"/>
        </w:rPr>
        <w:t>.</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w:t>
      </w:r>
      <m:oMath>
        <m:sSub>
          <m:e>
            <m:r>
              <m:t>ℳ</m:t>
            </m:r>
          </m:e>
          <m:sub>
            <m:r>
              <m:rPr>
                <m:sty m:val="p"/>
              </m:rPr>
              <m:t>pop</m:t>
            </m:r>
          </m:sub>
        </m:sSub>
      </m:oMath>
      <w:r>
        <w:rPr>
          <w:rFonts w:ascii="Times New Roman" w:hAnsi="Times New Roman"/>
          <w:sz w:val="24"/>
        </w:rPr>
        <w:t>) and Tail (</w:t>
      </w:r>
      <m:oMath>
        <m:sSub>
          <m:e>
            <m:r>
              <m:t>ℳ</m:t>
            </m:r>
          </m:e>
          <m:sub>
            <m:r>
              <m:rPr>
                <m:sty m:val="p"/>
              </m:rPr>
              <m:t>tail</m:t>
            </m:r>
          </m:sub>
        </m:sSub>
      </m:oMath>
      <w:r>
        <w:rPr>
          <w:rFonts w:ascii="Times New Roman" w:hAnsi="Times New Roman"/>
          <w:sz w:val="24"/>
        </w:rPr>
        <w:t>)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 xml:space="preserve">MovieLens-1M sub-graph ingestion, </w:t>
            </w:r>
            <m:oMath>
              <m:r>
                <m:t>k</m:t>
              </m:r>
            </m:oMath>
            <w:r>
              <w:rPr>
                <w:rFonts w:ascii="Times New Roman" w:hAnsi="Times New Roman"/>
                <w:sz w:val="19"/>
              </w:rPr>
              <w:t>-core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 xml:space="preserve">Estimates </w:t>
            </w:r>
            <m:oMath>
              <m:r>
                <m:t>K×K</m:t>
              </m:r>
            </m:oMath>
            <w:r>
              <w:rPr>
                <w:rFonts w:ascii="Times New Roman" w:hAnsi="Times New Roman"/>
                <w:sz w:val="19"/>
              </w:rPr>
              <w:t xml:space="preserve"> stochastic rating transition matrix </w:t>
            </w:r>
            <m:oMath>
              <m:r>
                <m:t>T</m:t>
              </m:r>
            </m:oMath>
            <w:r>
              <w:rPr>
                <w:rFonts w:ascii="Times New Roman" w:hAnsi="Times New Roman"/>
                <w:sz w:val="19"/>
              </w:rPr>
              <w:t xml:space="preserve">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 xml:space="preserve">ACID-compliant SQLite database with Write-Ahead Logging (WAL) for </w:t>
            </w:r>
            <m:oMath>
              <m:r>
                <m:t>𝒪(1)</m:t>
              </m:r>
            </m:oMath>
            <w:r>
              <w:rPr>
                <w:rFonts w:ascii="Times New Roman" w:hAnsi="Times New Roman"/>
                <w:sz w:val="19"/>
              </w:rPr>
              <w:t xml:space="preserve">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 xml:space="preserve">Hardware-accelerated 2D BLAS matrix burst detection combining </w:t>
            </w:r>
            <m:oMath>
              <m:sSub>
                <m:e>
                  <m:r>
                    <m:t>Z</m:t>
                  </m:r>
                </m:e>
                <m:sub>
                  <m:r>
                    <m:rPr>
                      <m:sty m:val="p"/>
                    </m:rPr>
                    <m:t>temp</m:t>
                  </m:r>
                </m:sub>
              </m:sSub>
            </m:oMath>
            <w:r>
              <w:rPr>
                <w:rFonts w:ascii="Times New Roman" w:hAnsi="Times New Roman"/>
                <w:sz w:val="19"/>
              </w:rPr>
              <w:t xml:space="preserve"> and </w:t>
            </w:r>
            <m:oMath>
              <m:sSub>
                <m:e>
                  <m:r>
                    <m:t>S</m:t>
                  </m:r>
                </m:e>
                <m:sub>
                  <m:r>
                    <m:rPr>
                      <m:sty m:val="p"/>
                    </m:rPr>
                    <m:t>pol</m:t>
                  </m:r>
                </m:sub>
              </m:sSub>
            </m:oMath>
            <w:r>
              <w:rPr>
                <w:rFonts w:ascii="Times New Roman" w:hAnsi="Times New Roman"/>
                <w:sz w:val="19"/>
              </w:rPr>
              <w:t xml:space="preserve">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 xml:space="preserve">MIRF tri-view ensemble layer synthesizing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and </w:t>
            </w:r>
            <m:oMath>
              <m:sSub>
                <m:e>
                  <m:r>
                    <m:t>R</m:t>
                  </m:r>
                </m:e>
                <m:sub>
                  <m:r>
                    <m:rPr>
                      <m:sty m:val="p"/>
                    </m:rPr>
                    <m:t>bomb</m:t>
                  </m:r>
                </m:sub>
              </m:sSub>
            </m:oMath>
            <w:r>
              <w:rPr>
                <w:rFonts w:ascii="Times New Roman" w:hAnsi="Times New Roman"/>
                <w:b/>
                <w:sz w:val="19"/>
              </w:rPr>
              <w:t xml:space="preserve"> into weights </w:t>
            </w:r>
            <m:oMath>
              <m:sSub>
                <m:e>
                  <m:r>
                    <m:t>w</m:t>
                  </m:r>
                </m:e>
                <m:sub>
                  <m:r>
                    <m:t>ui</m:t>
                  </m:r>
                </m:sub>
              </m:sSub>
            </m:oMath>
            <w:r>
              <w:rPr>
                <w:rFonts w:ascii="Times New Roman" w:hAnsi="Times New Roman"/>
                <w:b/>
                <w:sz w:val="19"/>
              </w:rPr>
              <w:t>.</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 xml:space="preserve">Partitions catalog at </w:t>
            </w:r>
            <m:oMath>
              <m:r>
                <m:t>ρ=0.20</m:t>
              </m:r>
            </m:oMath>
            <w:r>
              <w:rPr>
                <w:rFonts w:ascii="Times New Roman" w:hAnsi="Times New Roman"/>
                <w:sz w:val="19"/>
              </w:rPr>
              <w:t xml:space="preserve"> into Head (</w:t>
            </w:r>
            <m:oMath>
              <m:sSub>
                <m:e>
                  <m:r>
                    <m:t>ℐ</m:t>
                  </m:r>
                </m:e>
                <m:sub>
                  <m:r>
                    <m:rPr>
                      <m:sty m:val="p"/>
                    </m:rPr>
                    <m:t>head</m:t>
                  </m:r>
                </m:sub>
              </m:sSub>
            </m:oMath>
            <w:r>
              <w:rPr>
                <w:rFonts w:ascii="Times New Roman" w:hAnsi="Times New Roman"/>
                <w:sz w:val="19"/>
              </w:rPr>
              <w:t>) and Tail (</w:t>
            </w:r>
            <m:oMath>
              <m:sSub>
                <m:e>
                  <m:r>
                    <m:t>ℐ</m:t>
                  </m:r>
                </m:e>
                <m:sub>
                  <m:r>
                    <m:rPr>
                      <m:sty m:val="p"/>
                    </m:rPr>
                    <m:t>tail</m:t>
                  </m:r>
                </m:sub>
              </m:sSub>
            </m:oMath>
            <w:r>
              <w:rPr>
                <w:rFonts w:ascii="Times New Roman" w:hAnsi="Times New Roman"/>
                <w:sz w:val="19"/>
              </w:rPr>
              <w:t>)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 xml:space="preserve">Purifies historical user blueprints by filtering edges below trust threshold </w:t>
            </w:r>
            <m:oMath>
              <m:sSub>
                <m:e>
                  <m:r>
                    <m:t>θ</m:t>
                  </m:r>
                </m:e>
                <m:sub>
                  <m:r>
                    <m:rPr>
                      <m:sty m:val="p"/>
                    </m:rPr>
                    <m:t>trust</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 xml:space="preserve">Computes personalized tail inclination </w:t>
            </w:r>
            <m:oMath>
              <m:sSub>
                <m:e>
                  <m:r>
                    <m:t>α</m:t>
                  </m:r>
                </m:e>
                <m:sub>
                  <m:r>
                    <m:t>u</m:t>
                  </m:r>
                </m:sub>
              </m:sSub>
            </m:oMath>
            <w:r>
              <w:rPr>
                <w:rFonts w:ascii="Times New Roman" w:hAnsi="Times New Roman"/>
                <w:sz w:val="19"/>
              </w:rPr>
              <w:t xml:space="preserve">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w:t>
            </w:r>
            <m:oMath>
              <m:r>
                <m:t>K</m:t>
              </m:r>
            </m:oMath>
            <w:r>
              <w:rPr>
                <w:rFonts w:ascii="Times New Roman" w:hAnsi="Times New Roman"/>
                <w:sz w:val="19"/>
              </w:rPr>
              <w:t xml:space="preserve">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 xml:space="preserve">InfoNCE contrastive loss modulated by sample-level reliability weights </w:t>
            </w:r>
            <m:oMath>
              <m:sSub>
                <m:e>
                  <m:r>
                    <m:t>w</m:t>
                  </m:r>
                </m:e>
                <m:sub>
                  <m:r>
                    <m:t>ui</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 xml:space="preserve">Evaluates </w:t>
            </w:r>
            <m:oMath>
              <m:r>
                <m:rPr>
                  <m:sty m:val="p"/>
                </m:rPr>
                <m:t>Recall</m:t>
              </m:r>
              <m:r>
                <m:t>@K</m:t>
              </m:r>
            </m:oMath>
            <w:r>
              <w:rPr>
                <w:rFonts w:ascii="Times New Roman" w:hAnsi="Times New Roman"/>
                <w:sz w:val="19"/>
              </w:rPr>
              <w:t xml:space="preserve">, </w:t>
            </w:r>
            <m:oMath>
              <m:r>
                <m:rPr>
                  <m:sty m:val="p"/>
                </m:rPr>
                <m:t>nDCG</m:t>
              </m:r>
              <m:r>
                <m:t>@K</m:t>
              </m:r>
            </m:oMath>
            <w:r>
              <w:rPr>
                <w:rFonts w:ascii="Times New Roman" w:hAnsi="Times New Roman"/>
                <w:sz w:val="19"/>
              </w:rPr>
              <w:t xml:space="preserve">, </w:t>
            </w:r>
            <m:oMath>
              <m:r>
                <m:rPr>
                  <m:sty m:val="p"/>
                </m:rPr>
                <m:t>RMSEext</m:t>
              </m:r>
              <m:r>
                <m:t>−</m:t>
              </m:r>
              <m:r>
                <m:rPr>
                  <m:sty m:val="p"/>
                </m:rPr>
                <m:t>PC</m:t>
              </m:r>
            </m:oMath>
            <w:r>
              <w:rPr>
                <w:rFonts w:ascii="Times New Roman" w:hAnsi="Times New Roman"/>
                <w:sz w:val="19"/>
              </w:rPr>
              <w:t xml:space="preserve">, </w:t>
            </w:r>
            <m:oMath>
              <m:r>
                <m:rPr>
                  <m:sty m:val="p"/>
                </m:rPr>
                <m:t>MRMC</m:t>
              </m:r>
            </m:oMath>
            <w:r>
              <w:rPr>
                <w:rFonts w:ascii="Times New Roman" w:hAnsi="Times New Roman"/>
                <w:sz w:val="19"/>
              </w:rPr>
              <w:t xml:space="preserve">, </w:t>
            </w:r>
            <m:oMath>
              <m:r>
                <m:rPr>
                  <m:sty m:val="p"/>
                </m:rPr>
                <m:t>LTC</m:t>
              </m:r>
              <m:r>
                <m:t>@K</m:t>
              </m:r>
            </m:oMath>
            <w:r>
              <w:rPr>
                <w:rFonts w:ascii="Times New Roman" w:hAnsi="Times New Roman"/>
                <w:sz w:val="19"/>
              </w:rPr>
              <w:t>,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w:t>
            </w:r>
            <m:oMath>
              <m:r>
                <m:t>g</m:t>
              </m:r>
              <m:r>
                <m:rPr>
                  <m:nor/>
                </m:rPr>
                <m:t>-</m:t>
              </m:r>
              <m:r>
                <m:rPr>
                  <m:sty m:val="p"/>
                </m:rPr>
                <m:t>LTC</m:t>
              </m:r>
            </m:oMath>
            <w:r>
              <w:rPr>
                <w:rFonts w:ascii="Times New Roman" w:hAnsi="Times New Roman"/>
                <w:sz w:val="19"/>
              </w:rPr>
              <w:t>), Spam Target Exposure (</w:t>
            </w:r>
            <m:oMath>
              <m:r>
                <m:rPr>
                  <m:sty m:val="p"/>
                </m:rPr>
                <m:t>STER</m:t>
              </m:r>
            </m:oMath>
            <w:r>
              <w:rPr>
                <w:rFonts w:ascii="Times New Roman" w:hAnsi="Times New Roman"/>
                <w:sz w:val="19"/>
              </w:rPr>
              <w:t>),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 xml:space="preserve">SimGCL (simgcl.py): Builds upon LightGCN message passing. In each forward training pass, two perturbed contrastive views are generated by injecting scaled uniform noise into normalized embeddings: </w:t>
      </w:r>
      <m:oMath>
        <m:sSup>
          <m:e>
            <m:r>
              <m:t>𝐳</m:t>
            </m:r>
          </m:e>
          <m:sup>
            <m:r>
              <m:t>′</m:t>
            </m:r>
          </m:sup>
        </m:sSup>
        <m:r>
          <m:t>=</m:t>
        </m:r>
        <m:r>
          <m:rPr>
            <m:sty m:val="p"/>
          </m:rPr>
          <m:t>Normalize</m:t>
        </m:r>
        <m:r>
          <m:t>(𝐞+ϵ·</m:t>
        </m:r>
        <m:r>
          <m:rPr>
            <m:sty m:val="p"/>
          </m:rPr>
          <m:t>sgn</m:t>
        </m:r>
        <m:r>
          <m:t>(𝐞)⊙</m:t>
        </m:r>
        <m:r>
          <m:rPr>
            <m:sty m:val="b"/>
          </m:rPr>
          <m:t>Δ</m:t>
        </m:r>
        <m:r>
          <m:t>)</m:t>
        </m:r>
      </m:oMath>
      <w:r>
        <w:rPr>
          <w:rFonts w:ascii="Times New Roman" w:hAnsi="Times New Roman"/>
          <w:sz w:val="24"/>
        </w:rPr>
        <w:t>.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 xml:space="preserve">SGL (sgl.py): Implements structural edge dropout on the normalized adjacency matrix: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 xml:space="preserve"> with dropout ratio </w:t>
      </w:r>
      <m:oMath>
        <m:sSub>
          <m:e>
            <m:r>
              <m:t>p</m:t>
            </m:r>
          </m:e>
          <m:sub>
            <m:r>
              <m:rPr>
                <m:sty m:val="p"/>
              </m:rPr>
              <m:t>drop</m:t>
            </m:r>
          </m:sub>
        </m:sSub>
        <m:r>
          <m:t>=0.10</m:t>
        </m:r>
      </m:oMath>
      <w:r>
        <w:rPr>
          <w:rFonts w:ascii="Times New Roman" w:hAnsi="Times New Roman"/>
          <w:sz w:val="24"/>
        </w:rPr>
        <w:t>.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 xml:space="preserve">Review-Bombing Vectorization (bomb_scorer.py): Rolling interaction velocity and rating polarity skew are computed simultaneously via 2D BLAS array operations. Given interaction array </w:t>
      </w:r>
      <m:oMath>
        <m:r>
          <m:t>X</m:t>
        </m:r>
      </m:oMath>
      <w:r>
        <w:rPr>
          <w:rFonts w:ascii="Times New Roman" w:hAnsi="Times New Roman"/>
          <w:sz w:val="24"/>
        </w:rPr>
        <w:t xml:space="preserve"> of shape </w:t>
      </w:r>
      <m:oMath>
        <m:d>
          <m:dPr>
            <m:sepChr m:val=","/>
          </m:dPr>
          <m:e>
            <m:r>
              <m:t>N</m:t>
            </m:r>
          </m:e>
          <m:e>
            <m:r>
              <m:t>3</m:t>
            </m:r>
          </m:e>
        </m:d>
      </m:oMath>
      <w:r>
        <w:rPr>
          <w:rFonts w:ascii="Times New Roman" w:hAnsi="Times New Roman"/>
          <w:sz w:val="24"/>
        </w:rPr>
        <w:t xml:space="preserve"> containing [user_id, item_id, timestamp], items are pre-binned into temporal windows. The score matrix is computed as: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 xml:space="preserve">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w:t>
      </w:r>
      <m:oMath>
        <m:r>
          <m:t>𝒪(1)</m:t>
        </m:r>
      </m:oMath>
      <w:r>
        <w:rPr>
          <w:rFonts w:ascii="Times New Roman" w:hAnsi="Times New Roman"/>
          <w:sz w:val="24"/>
        </w:rPr>
        <w:t xml:space="preserve">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 xml:space="preserve">Pareto Partitioning (pareto_partition.py): Sorts all catalog items by interaction frequency in descending order. The top items accounting for cumulative interaction fraction </w:t>
      </w:r>
      <m:oMath>
        <m:sSub>
          <m:e>
            <m:r>
              <m:t>ρ</m:t>
            </m:r>
          </m:e>
          <m:sub>
            <m:r>
              <m:rPr>
                <m:sty m:val="p"/>
              </m:rPr>
              <m:t>pareto</m:t>
            </m:r>
          </m:sub>
        </m:sSub>
        <m:r>
          <m:t>=0.20</m:t>
        </m:r>
      </m:oMath>
      <w:r>
        <w:rPr>
          <w:rFonts w:ascii="Times New Roman" w:hAnsi="Times New Roman"/>
          <w:sz w:val="24"/>
        </w:rPr>
        <w:t xml:space="preserve"> are assigned to Head catalog </w:t>
      </w:r>
      <m:oMath>
        <m:sSub>
          <m:e>
            <m:r>
              <m:t>ℐ</m:t>
            </m:r>
          </m:e>
          <m:sub>
            <m:r>
              <m:rPr>
                <m:sty m:val="p"/>
              </m:rPr>
              <m:t>head</m:t>
            </m:r>
          </m:sub>
        </m:sSub>
      </m:oMath>
      <w:r>
        <w:rPr>
          <w:rFonts w:ascii="Times New Roman" w:hAnsi="Times New Roman"/>
          <w:sz w:val="24"/>
        </w:rPr>
        <w:t xml:space="preserve">; the remaining items form Tail catalog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 xml:space="preserve">Blueprint Purification (blueprint.py): For user </w:t>
      </w:r>
      <m:oMath>
        <m:r>
          <m:t>u</m:t>
        </m:r>
      </m:oMath>
      <w:r>
        <w:rPr>
          <w:rFonts w:ascii="Times New Roman" w:hAnsi="Times New Roman"/>
          <w:sz w:val="24"/>
        </w:rPr>
        <w:t xml:space="preserve">, observed interaction edges are filtered against trust threshold </w:t>
      </w:r>
      <m:oMath>
        <m:sSub>
          <m:e>
            <m:r>
              <m:t>θ</m:t>
            </m:r>
          </m:e>
          <m:sub>
            <m:r>
              <m:rPr>
                <m:sty m:val="p"/>
              </m:rPr>
              <m:t>trust</m:t>
            </m:r>
          </m:sub>
        </m:sSub>
        <m:r>
          <m:t>=0.50</m:t>
        </m:r>
      </m:oMath>
      <w:r>
        <w:rPr>
          <w:rFonts w:ascii="Times New Roman" w:hAnsi="Times New Roman"/>
          <w:sz w:val="24"/>
        </w:rPr>
        <w:t xml:space="preserve">. Edges with </w:t>
      </w:r>
      <m:oMath>
        <m:sSub>
          <m:e>
            <m:r>
              <m:t>w</m:t>
            </m:r>
          </m:e>
          <m:sub>
            <m:r>
              <m:t>ui</m:t>
            </m:r>
          </m:sub>
        </m:sSub>
        <m:r>
          <m:t>&lt;</m:t>
        </m:r>
        <m:sSub>
          <m:e>
            <m:r>
              <m:t>θ</m:t>
            </m:r>
          </m:e>
          <m:sub>
            <m:r>
              <m:rPr>
                <m:sty m:val="p"/>
              </m:rPr>
              <m:t>trust</m:t>
            </m:r>
          </m:sub>
        </m:sSub>
      </m:oMath>
      <w:r>
        <w:rPr>
          <w:rFonts w:ascii="Times New Roman" w:hAnsi="Times New Roman"/>
          <w:sz w:val="24"/>
        </w:rPr>
        <w:t xml:space="preserve"> (malicious bot interactions) are expunged from blueprint </w:t>
      </w:r>
      <m:oMath>
        <m:sSub>
          <m:e>
            <m:r>
              <m:t>ℬ</m:t>
            </m:r>
          </m:e>
          <m:sub>
            <m:r>
              <m:t>u</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 xml:space="preserve">Calibrated Inclination (inclination.py): Calculates personalized tail preference </w:t>
      </w:r>
      <m:oMath>
        <m:sSub>
          <m:e>
            <m:r>
              <m:t>α</m:t>
            </m:r>
          </m:e>
          <m:sub>
            <m:r>
              <m:t>u</m:t>
            </m:r>
          </m:sub>
        </m:sSub>
      </m:oMath>
      <w:r>
        <w:rPr>
          <w:rFonts w:ascii="Times New Roman" w:hAnsi="Times New Roman"/>
          <w:sz w:val="24"/>
        </w:rPr>
        <w:t xml:space="preserve"> using reliability-weighted sums, smoothed by </w:t>
      </w:r>
      <m:oMath>
        <m:sSub>
          <m:e>
            <m:r>
              <m:t>ϵ</m:t>
            </m:r>
          </m:e>
          <m:sub>
            <m:r>
              <m:rPr>
                <m:sty m:val="p"/>
              </m:rPr>
              <m:t>smooth</m:t>
            </m:r>
          </m:sub>
        </m:sSub>
        <m:r>
          <m:t>=</m:t>
        </m:r>
        <m:sSup>
          <m:e>
            <m:r>
              <m:t>10</m:t>
            </m:r>
          </m:e>
          <m:sup>
            <m:r>
              <m:t>−6</m:t>
            </m:r>
          </m:sup>
        </m:sSup>
      </m:oMath>
      <w:r>
        <w:rPr>
          <w:rFonts w:ascii="Times New Roman" w:hAnsi="Times New Roman"/>
          <w:sz w:val="24"/>
        </w:rPr>
        <w:t xml:space="preserve">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 xml:space="preserve">Trajectory Interleaving (merger.py): Greedily selects candidate items from Head and Tail queues to maintain cumulative tail proportion </w:t>
      </w:r>
      <m:oMath>
        <m:r>
          <m:t>≤</m:t>
        </m:r>
        <m:sSub>
          <m:e>
            <m:r>
              <m:t>α</m:t>
            </m:r>
          </m:e>
          <m:sub>
            <m:r>
              <m:t>u</m:t>
            </m:r>
          </m:sub>
        </m:sSub>
      </m:oMath>
      <w:r>
        <w:rPr>
          <w:rFonts w:ascii="Times New Roman" w:hAnsi="Times New Roman"/>
          <w:sz w:val="24"/>
        </w:rPr>
        <w:t xml:space="preserve"> at every rank </w:t>
      </w:r>
      <m:oMath>
        <m:r>
          <m:t>k∈{1,…,K}</m:t>
        </m:r>
      </m:oMath>
      <w:r>
        <w:rPr>
          <w:rFonts w:ascii="Times New Roman" w:hAnsi="Times New Roman"/>
          <w:sz w:val="24"/>
        </w:rPr>
        <w:t>.</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 xml:space="preserve">All matrix inversion operations in transition_matrix.py utilize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with damping factor </w:t>
      </w:r>
      <m:oMath>
        <m:r>
          <m:t>λ=</m:t>
        </m:r>
        <m:sSup>
          <m:e>
            <m:r>
              <m:t>10</m:t>
            </m:r>
          </m:e>
          <m:sup>
            <m:r>
              <m:t>−4</m:t>
            </m:r>
          </m:sup>
        </m:sSup>
      </m:oMath>
      <w:r>
        <w:rPr>
          <w:rFonts w:ascii="Times New Roman" w:hAnsi="Times New Roman"/>
          <w:sz w:val="24"/>
        </w:rPr>
        <w:t>.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 xml:space="preserve">In merger.py and inclination.py, user blueprints with zero tail interactions are protected by </w:t>
      </w:r>
      <m:oMath>
        <m:sSub>
          <m:e>
            <m:r>
              <m:t>ϵ</m:t>
            </m:r>
          </m:e>
          <m:sub>
            <m:r>
              <m:rPr>
                <m:sty m:val="p"/>
              </m:rPr>
              <m:t>smooth</m:t>
            </m:r>
          </m:sub>
        </m:sSub>
        <m:r>
          <m:t>=</m:t>
        </m:r>
        <m:sSup>
          <m:e>
            <m:r>
              <m:t>10</m:t>
            </m:r>
          </m:e>
          <m:sup>
            <m:r>
              <m:t>−6</m:t>
            </m:r>
          </m:sup>
        </m:sSup>
      </m:oMath>
      <w:r>
        <w:rPr>
          <w:rFonts w:ascii="Times New Roman" w:hAnsi="Times New Roman"/>
          <w:sz w:val="24"/>
        </w:rPr>
        <w:t>.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 xml:space="preserve">We simulate coordinated adversarial shilling campaigns adhering to standard security benchmark protocols (Si et al., 2022; Wu et al., 2021). For bot injection ratio </w:t>
      </w:r>
      <m:oMath>
        <m:r>
          <m:t>ρ=0.15</m:t>
        </m:r>
      </m:oMath>
      <w:r>
        <w:rPr>
          <w:rFonts w:ascii="Times New Roman" w:hAnsi="Times New Roman"/>
          <w:sz w:val="24"/>
        </w:rPr>
        <w:t xml:space="preserve">, </w:t>
      </w:r>
      <m:oMath>
        <m:sSub>
          <m:e>
            <m:r>
              <m:t>N</m:t>
            </m:r>
          </m:e>
          <m:sub>
            <m:r>
              <m:rPr>
                <m:sty m:val="p"/>
              </m:rPr>
              <m:t>shill</m:t>
            </m:r>
          </m:sub>
        </m:sSub>
        <m:r>
          <m:t>=⌈ρ·|𝒰|⌉</m:t>
        </m:r>
      </m:oMath>
      <w:r>
        <w:rPr>
          <w:rFonts w:ascii="Times New Roman" w:hAnsi="Times New Roman"/>
          <w:sz w:val="24"/>
        </w:rPr>
        <w:t xml:space="preserve">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w:t>
      </w:r>
      <m:oMath>
        <m:sSub>
          <m:e>
            <m:r>
              <m:t>ℐ</m:t>
            </m:r>
          </m:e>
          <m:sub>
            <m:r>
              <m:rPr>
                <m:sty m:val="p"/>
              </m:rPr>
              <m:t>target</m:t>
            </m:r>
          </m:sub>
        </m:sSub>
        <m:r>
          <m:t>⊂</m:t>
        </m:r>
        <m:sSub>
          <m:e>
            <m:r>
              <m:t>ℐ</m:t>
            </m:r>
          </m:e>
          <m:sub>
            <m:r>
              <m:rPr>
                <m:sty m:val="p"/>
              </m:rPr>
              <m:t>tail</m:t>
            </m:r>
          </m:sub>
        </m:sSub>
      </m:oMath>
      <w:r>
        <w:rPr>
          <w:rFonts w:ascii="Times New Roman" w:hAnsi="Times New Roman"/>
          <w:sz w:val="24"/>
        </w:rPr>
        <w:t xml:space="preserve">): The attacker designates a fixed set of obscure tail items (e.g., </w:t>
      </w:r>
      <m:oMath>
        <m:r>
          <m:t>|</m:t>
        </m:r>
        <m:sSub>
          <m:e>
            <m:r>
              <m:t>ℐ</m:t>
            </m:r>
          </m:e>
          <m:sub>
            <m:r>
              <m:rPr>
                <m:sty m:val="p"/>
              </m:rPr>
              <m:t>target</m:t>
            </m:r>
          </m:sub>
        </m:sSub>
        <m:r>
          <m:t>|=5</m:t>
        </m:r>
      </m:oMath>
      <w:r>
        <w:rPr>
          <w:rFonts w:ascii="Times New Roman" w:hAnsi="Times New Roman"/>
          <w:sz w:val="24"/>
        </w:rPr>
        <w:t>)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w:t>
      </w:r>
      <m:oMath>
        <m:sSub>
          <m:e>
            <m:r>
              <m:t>ℐ</m:t>
            </m:r>
          </m:e>
          <m:sub>
            <m:r>
              <m:rPr>
                <m:sty m:val="p"/>
              </m:rPr>
              <m:t>push</m:t>
            </m:r>
          </m:sub>
        </m:sSub>
        <m:r>
          <m:t>⊂</m:t>
        </m:r>
        <m:sSub>
          <m:e>
            <m:r>
              <m:t>ℐ</m:t>
            </m:r>
          </m:e>
          <m:sub>
            <m:r>
              <m:rPr>
                <m:sty m:val="p"/>
              </m:rPr>
              <m:t>head</m:t>
            </m:r>
          </m:sub>
        </m:sSub>
      </m:oMath>
      <w:r>
        <w:rPr>
          <w:rFonts w:ascii="Times New Roman" w:hAnsi="Times New Roman"/>
          <w:sz w:val="24"/>
        </w:rPr>
        <w:t>):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w:t>
      </w:r>
      <m:oMath>
        <m:sSub>
          <m:e>
            <m:r>
              <m:t>ℐ</m:t>
            </m:r>
          </m:e>
          <m:sub>
            <m:r>
              <m:rPr>
                <m:sty m:val="p"/>
              </m:rPr>
              <m:t>filler</m:t>
            </m:r>
          </m:sub>
        </m:sSub>
        <m:r>
          <m:t>⊂ℐ</m:t>
        </m:r>
      </m:oMath>
      <w:r>
        <w:rPr>
          <w:rFonts w:ascii="Times New Roman" w:hAnsi="Times New Roman"/>
          <w:sz w:val="24"/>
        </w:rPr>
        <w:t xml:space="preserve">): To evade variance-based anomaly detectors, bots sample filler ratings from Gaussian distribution </w:t>
      </w:r>
      <m:oMath>
        <m:r>
          <m:t>𝒩(</m:t>
        </m:r>
        <m:sSub>
          <m:e>
            <m:r>
              <m:t>μ</m:t>
            </m:r>
          </m:e>
          <m:sub>
            <m:r>
              <m:t>r</m:t>
            </m:r>
          </m:sub>
        </m:sSub>
        <m:r>
          <m:t>,</m:t>
        </m:r>
        <m:sSubSup>
          <m:e>
            <m:r>
              <m:t>σ</m:t>
            </m:r>
          </m:e>
          <m:sub>
            <m:r>
              <m:t>r</m:t>
            </m:r>
          </m:sub>
          <m:sup>
            <m:r>
              <m:t>2</m:t>
            </m:r>
          </m:sup>
        </m:sSubSup>
        <m:r>
          <m:t>)</m:t>
        </m:r>
      </m:oMath>
      <w:r>
        <w:rPr>
          <w:rFonts w:ascii="Times New Roman" w:hAnsi="Times New Roman"/>
          <w:sz w:val="24"/>
        </w:rPr>
        <w:t xml:space="preserve"> matching the global rating distribution.</w:t>
      </w:r>
    </w:p>
    <w:p>
      <w:pPr>
        <w:spacing w:line="360" w:lineRule="auto" w:before="0" w:after="120"/>
        <w:jc w:val="both"/>
      </w:pPr>
      <w:r>
        <w:rPr>
          <w:rFonts w:ascii="Times New Roman" w:hAnsi="Times New Roman"/>
          <w:sz w:val="24"/>
        </w:rPr>
        <w:t xml:space="preserve">Strict Zero-Leakage Split Protocol: In all experiments, data partitioning is executed chronologically strictly prior to attack injection. The test set </w:t>
      </w:r>
      <m:oMath>
        <m:sSubSup>
          <m:e>
            <m:r>
              <m:t>ℐ</m:t>
            </m:r>
          </m:e>
          <m:sub>
            <m:r>
              <m:t>u</m:t>
            </m:r>
          </m:sub>
          <m:sup>
            <m:r>
              <m:rPr>
                <m:sty m:val="p"/>
              </m:rPr>
              <m:t>test</m:t>
            </m:r>
          </m:sup>
        </m:sSubSup>
      </m:oMath>
      <w:r>
        <w:rPr>
          <w:rFonts w:ascii="Times New Roman" w:hAnsi="Times New Roman"/>
          <w:sz w:val="24"/>
        </w:rPr>
        <w:t xml:space="preserve"> and validation set </w:t>
      </w:r>
      <m:oMath>
        <m:sSubSup>
          <m:e>
            <m:r>
              <m:t>ℐ</m:t>
            </m:r>
          </m:e>
          <m:sub>
            <m:r>
              <m:t>u</m:t>
            </m:r>
          </m:sub>
          <m:sup>
            <m:r>
              <m:rPr>
                <m:sty m:val="p"/>
              </m:rPr>
              <m:t>val</m:t>
            </m:r>
          </m:sup>
        </m:sSubSup>
      </m:oMath>
      <w:r>
        <w:rPr>
          <w:rFonts w:ascii="Times New Roman" w:hAnsi="Times New Roman"/>
          <w:sz w:val="24"/>
        </w:rPr>
        <w:t xml:space="preserve"> remain completely clean and unpolluted. Adversarial edges are injected exclusively into the training graph </w:t>
      </w:r>
      <m:oMath>
        <m:sSub>
          <m:e>
            <m:r>
              <m:t>𝒢</m:t>
            </m:r>
          </m:e>
          <m:sub>
            <m:r>
              <m:rPr>
                <m:sty m:val="p"/>
              </m:rPr>
              <m:t>train</m:t>
            </m:r>
          </m:sub>
        </m:sSub>
      </m:oMath>
      <w:r>
        <w:rPr>
          <w:rFonts w:ascii="Times New Roman" w:hAnsi="Times New Roman"/>
          <w:sz w:val="24"/>
        </w:rPr>
        <w:t>,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w:t>
      </w:r>
      <m:oMath>
        <m:sSub>
          <m:e>
            <m:r>
              <m:t>y</m:t>
            </m:r>
          </m:e>
          <m:sub>
            <m:r>
              <m:rPr>
                <m:sty m:val="p"/>
              </m:rPr>
              <m:t>attack</m:t>
            </m:r>
          </m:sub>
        </m:sSub>
        <m:r>
          <m:t>=1</m:t>
        </m:r>
      </m:oMath>
      <w:r>
        <w:rPr>
          <w:rFonts w:ascii="Times New Roman" w:hAnsi="Times New Roman"/>
          <w:sz w:val="24"/>
        </w:rPr>
        <w:t xml:space="preserve">), scored by anomaly confidence </w:t>
      </w:r>
      <m:oMath>
        <m:sSub>
          <m:e>
            <m:r>
              <m:t>s</m:t>
            </m:r>
          </m:e>
          <m:sub>
            <m:r>
              <m:t>ui</m:t>
            </m:r>
          </m:sub>
        </m:sSub>
        <m:r>
          <m:t>=1−</m:t>
        </m:r>
        <m:sSub>
          <m:e>
            <m:r>
              <m:t>w</m:t>
            </m:r>
          </m:e>
          <m:sub>
            <m:r>
              <m:t>ui</m:t>
            </m:r>
          </m:sub>
        </m:sSub>
      </m:oMath>
      <w:r>
        <w:rPr>
          <w:rFonts w:ascii="Times New Roman" w:hAnsi="Times New Roman"/>
          <w:sz w:val="24"/>
        </w:rPr>
        <w:t xml:space="preserve">. On Amazon (attack prevalence </w:t>
      </w:r>
      <m:oMath>
        <m:sSub>
          <m:e>
            <m:r>
              <m:t>π</m:t>
            </m:r>
          </m:e>
          <m:sub>
            <m:r>
              <m:rPr>
                <m:sty m:val="p"/>
              </m:rPr>
              <m:t>edge</m:t>
            </m:r>
          </m:sub>
        </m:sSub>
        <m:r>
          <m:t>=17.40%</m:t>
        </m:r>
      </m:oMath>
      <w:r>
        <w:rPr>
          <w:rFonts w:ascii="Times New Roman" w:hAnsi="Times New Roman"/>
          <w:sz w:val="24"/>
        </w:rPr>
        <w:t xml:space="preserve">), MIRF achieves </w:t>
      </w:r>
      <m:oMath>
        <m:sSub>
          <m:e>
            <m:r>
              <m:rPr>
                <m:sty m:val="p"/>
              </m:rPr>
              <m:t>AP</m:t>
            </m:r>
          </m:e>
          <m:sub>
            <m:r>
              <m:rPr>
                <m:sty m:val="p"/>
              </m:rPr>
              <m:t>attack</m:t>
            </m:r>
          </m:sub>
        </m:sSub>
        <m:r>
          <m:t>=0.6884±0.0185</m:t>
        </m:r>
      </m:oMath>
      <w:r>
        <w:rPr>
          <w:rFonts w:ascii="Times New Roman" w:hAnsi="Times New Roman"/>
          <w:sz w:val="24"/>
        </w:rPr>
        <w:t xml:space="preserve"> (a 3.9x gain over random baseline 0.1748). On Yelp (</w:t>
      </w:r>
      <m:oMath>
        <m:sSub>
          <m:e>
            <m:r>
              <m:t>π</m:t>
            </m:r>
          </m:e>
          <m:sub>
            <m:r>
              <m:rPr>
                <m:sty m:val="p"/>
              </m:rPr>
              <m:t>edge</m:t>
            </m:r>
          </m:sub>
        </m:sSub>
        <m:r>
          <m:t>=14.86%</m:t>
        </m:r>
      </m:oMath>
      <w:r>
        <w:rPr>
          <w:rFonts w:ascii="Times New Roman" w:hAnsi="Times New Roman"/>
          <w:sz w:val="24"/>
        </w:rPr>
        <w:t xml:space="preserve">), MIRF achieves </w:t>
      </w:r>
      <m:oMath>
        <m:sSub>
          <m:e>
            <m:r>
              <m:rPr>
                <m:sty m:val="p"/>
              </m:rPr>
              <m:t>AP</m:t>
            </m:r>
          </m:e>
          <m:sub>
            <m:r>
              <m:rPr>
                <m:sty m:val="p"/>
              </m:rPr>
              <m:t>attack</m:t>
            </m:r>
          </m:sub>
        </m:sSub>
        <m:r>
          <m:t>=0.6816±0.0239</m:t>
        </m:r>
      </m:oMath>
      <w:r>
        <w:rPr>
          <w:rFonts w:ascii="Times New Roman" w:hAnsi="Times New Roman"/>
          <w:sz w:val="24"/>
        </w:rPr>
        <w:t xml:space="preserve"> (a 4.3x gain over random baseline 0.1572). On MovieLens-1M (899 attack edges in 238,320 total interactions, </w:t>
      </w:r>
      <m:oMath>
        <m:sSub>
          <m:e>
            <m:r>
              <m:t>π</m:t>
            </m:r>
          </m:e>
          <m:sub>
            <m:r>
              <m:rPr>
                <m:sty m:val="p"/>
              </m:rPr>
              <m:t>edge</m:t>
            </m:r>
          </m:sub>
        </m:sSub>
        <m:r>
          <m:t>=0.38%</m:t>
        </m:r>
      </m:oMath>
      <w:r>
        <w:rPr>
          <w:rFonts w:ascii="Times New Roman" w:hAnsi="Times New Roman"/>
          <w:sz w:val="24"/>
        </w:rPr>
        <w:t xml:space="preserve">), </w:t>
      </w:r>
      <m:oMath>
        <m:sSub>
          <m:e>
            <m:r>
              <m:rPr>
                <m:sty m:val="p"/>
              </m:rPr>
              <m:t>AP</m:t>
            </m:r>
          </m:e>
          <m:sub>
            <m:r>
              <m:rPr>
                <m:sty m:val="p"/>
              </m:rPr>
              <m:t>attack</m:t>
            </m:r>
          </m:sub>
        </m:sSub>
        <m:r>
          <m:t>=0.0122±0.0021</m:t>
        </m:r>
      </m:oMath>
      <w:r>
        <w:rPr>
          <w:rFonts w:ascii="Times New Roman" w:hAnsi="Times New Roman"/>
          <w:sz w:val="24"/>
        </w:rPr>
        <w:t xml:space="preserve">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w:t>
      </w:r>
      <m:oMath>
        <m:sSub>
          <m:e>
            <m:r>
              <m:t>y</m:t>
            </m:r>
          </m:e>
          <m:sub>
            <m:r>
              <m:rPr>
                <m:sty m:val="p"/>
              </m:rPr>
              <m:t>auth</m:t>
            </m:r>
          </m:sub>
        </m:sSub>
        <m:r>
          <m:t>=1</m:t>
        </m:r>
      </m:oMath>
      <w:r>
        <w:rPr>
          <w:rFonts w:ascii="Times New Roman" w:hAnsi="Times New Roman"/>
          <w:sz w:val="24"/>
        </w:rPr>
        <w:t xml:space="preserve">), scored by trust weight </w:t>
      </w:r>
      <m:oMath>
        <m:sSub>
          <m:e>
            <m:r>
              <m:t>w</m:t>
            </m:r>
          </m:e>
          <m:sub>
            <m:r>
              <m:t>ui</m:t>
            </m:r>
          </m:sub>
        </m:sSub>
      </m:oMath>
      <w:r>
        <w:rPr>
          <w:rFonts w:ascii="Times New Roman" w:hAnsi="Times New Roman"/>
          <w:sz w:val="24"/>
        </w:rPr>
        <w:t xml:space="preserve">. On MovieLens-1M, MIRF achieves </w:t>
      </w:r>
      <m:oMath>
        <m:sSub>
          <m:e>
            <m:r>
              <m:rPr>
                <m:sty m:val="p"/>
              </m:rPr>
              <m:t>AP</m:t>
            </m:r>
          </m:e>
          <m:sub>
            <m:r>
              <m:rPr>
                <m:sty m:val="p"/>
              </m:rPr>
              <m:t>auth</m:t>
            </m:r>
          </m:sub>
        </m:sSub>
        <m:r>
          <m:t>=0.9989±0.0000</m:t>
        </m:r>
      </m:oMath>
      <w:r>
        <w:rPr>
          <w:rFonts w:ascii="Times New Roman" w:hAnsi="Times New Roman"/>
          <w:sz w:val="24"/>
        </w:rPr>
        <w:t xml:space="preserve"> (Authentic F1 = 0.9513, Precision = 0.9225, Recall = 0.9820). On Amazon, </w:t>
      </w:r>
      <m:oMath>
        <m:sSub>
          <m:e>
            <m:r>
              <m:rPr>
                <m:sty m:val="p"/>
              </m:rPr>
              <m:t>AP</m:t>
            </m:r>
          </m:e>
          <m:sub>
            <m:r>
              <m:rPr>
                <m:sty m:val="p"/>
              </m:rPr>
              <m:t>auth</m:t>
            </m:r>
          </m:sub>
        </m:sSub>
        <m:r>
          <m:t>=0.9295±0.0065</m:t>
        </m:r>
      </m:oMath>
      <w:r>
        <w:rPr>
          <w:rFonts w:ascii="Times New Roman" w:hAnsi="Times New Roman"/>
          <w:sz w:val="24"/>
        </w:rPr>
        <w:t xml:space="preserve">. On Yelp, </w:t>
      </w:r>
      <m:oMath>
        <m:sSub>
          <m:e>
            <m:r>
              <m:rPr>
                <m:sty m:val="p"/>
              </m:rPr>
              <m:t>AP</m:t>
            </m:r>
          </m:e>
          <m:sub>
            <m:r>
              <m:rPr>
                <m:sty m:val="p"/>
              </m:rPr>
              <m:t>auth</m:t>
            </m:r>
          </m:sub>
        </m:sSub>
        <m:r>
          <m:t>=0.9491±0.0019</m:t>
        </m:r>
      </m:oMath>
      <w:r>
        <w:rPr>
          <w:rFonts w:ascii="Times New Roman" w:hAnsi="Times New Roman"/>
          <w:sz w:val="24"/>
        </w:rPr>
        <w:t>.</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 xml:space="preserve">Figure 5.3 illustrates the empirical training convergence of the dual partition models (Head Model </w:t>
      </w:r>
      <m:oMath>
        <m:sSub>
          <m:e>
            <m:r>
              <m:t>ℳ</m:t>
            </m:r>
          </m:e>
          <m:sub>
            <m:r>
              <m:rPr>
                <m:sty m:val="p"/>
              </m:rPr>
              <m:t>pop</m:t>
            </m:r>
          </m:sub>
        </m:sSub>
      </m:oMath>
      <w:r>
        <w:rPr>
          <w:rFonts w:ascii="Times New Roman" w:hAnsi="Times New Roman"/>
          <w:sz w:val="24"/>
        </w:rPr>
        <w:t xml:space="preserve"> and Tail Model </w:t>
      </w:r>
      <m:oMath>
        <m:sSub>
          <m:e>
            <m:r>
              <m:t>ℳ</m:t>
            </m:r>
          </m:e>
          <m:sub>
            <m:r>
              <m:rPr>
                <m:sty m:val="p"/>
              </m:rPr>
              <m:t>tail</m:t>
            </m:r>
          </m:sub>
        </m:sSub>
      </m:oMath>
      <w:r>
        <w:rPr>
          <w:rFonts w:ascii="Times New Roman" w:hAnsi="Times New Roman"/>
          <w:sz w:val="24"/>
        </w:rPr>
        <w:t xml:space="preserve">) over 15 CUDA training epochs on the MovieLens-1M sub-graph. The forward surrogate loss </w:t>
      </w:r>
      <m:oMath>
        <m:sSub>
          <m:e>
            <m:r>
              <m:t>ℒ</m:t>
            </m:r>
          </m:e>
          <m:sub>
            <m:r>
              <m:rPr>
                <m:sty m:val="p"/>
              </m:rPr>
              <m:t>risk</m:t>
            </m:r>
          </m:sub>
        </m:sSub>
      </m:oMath>
      <w:r>
        <w:rPr>
          <w:rFonts w:ascii="Times New Roman" w:hAnsi="Times New Roman"/>
          <w:sz w:val="24"/>
        </w:rPr>
        <w:t xml:space="preserve">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sz w:val="21"/>
        </w:rPr>
        <w:t xml:space="preserve">Dual Partition Training Loss Convergence Curves across 15 CUDA Epochs on MovieLens-1M, illustrating stable, monotonic minimization of forward-corrected surrogate loss </w:t>
      </w:r>
      <m:oMath>
        <m:sSub>
          <m:e>
            <m:r>
              <m:t>ℒ</m:t>
            </m:r>
          </m:e>
          <m:sub>
            <m:r>
              <m:rPr>
                <m:sty m:val="p"/>
              </m:rPr>
              <m:t>risk</m:t>
            </m:r>
          </m:sub>
        </m:sSub>
      </m:oMath>
      <w:r>
        <w:rPr>
          <w:rFonts w:ascii="Times New Roman" w:hAnsi="Times New Roman"/>
          <w:sz w:val="21"/>
        </w:rPr>
        <w:t xml:space="preserve"> and InfoNCE contrastive loss </w:t>
      </w:r>
      <m:oMath>
        <m:sSub>
          <m:e>
            <m:r>
              <m:t>ℒ</m:t>
            </m:r>
          </m:e>
          <m:sub>
            <m:r>
              <m:rPr>
                <m:sty m:val="p"/>
              </m:rPr>
              <m:t>cl</m:t>
            </m:r>
          </m:sub>
        </m:sSub>
      </m:oMath>
      <w:r>
        <w:rPr>
          <w:rFonts w:ascii="Times New Roman" w:hAnsi="Times New Roman"/>
          <w:sz w:val="21"/>
        </w:rPr>
        <w:t xml:space="preserve">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USD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USD 534,491 (+14.2% relative gain) with 95% bootstrap confidence interval [USD 482,100, USD 589,300] (</w:t>
      </w:r>
      <m:oMath>
        <m:r>
          <m:t>p&lt;0.001</m:t>
        </m:r>
      </m:oMath>
      <w:r>
        <w:rPr>
          <w:rFonts w:ascii="Times New Roman" w:hAnsi="Times New Roman"/>
          <w:sz w:val="24"/>
        </w:rPr>
        <w:t>).</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 xml:space="preserve">We established that Tikhonov-regularized noise inversion strictly upper-bounds operator norms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guaranteeing Lipschitz gradient stability and preventing numerical explosion. Furthermore, we proved Theorem 3.2, establishing formal forward surrogate risk consistency </w:t>
      </w:r>
      <m:oMath>
        <m:r>
          <m:t>𝒪(δ+1/</m:t>
        </m:r>
        <m:rad>
          <m:radPr>
            <m:degHide m:val="on"/>
          </m:radPr>
          <m:deg/>
          <m:e>
            <m:r>
              <m:t>N</m:t>
            </m:r>
          </m:e>
        </m:rad>
        <m:r>
          <m:t>)</m:t>
        </m:r>
      </m:oMath>
      <w:r>
        <w:rPr>
          <w:rFonts w:ascii="Times New Roman" w:hAnsi="Times New Roman"/>
          <w:sz w:val="24"/>
        </w:rPr>
        <w:t xml:space="preserve"> alongside regularized confidence inversion error bounds </w:t>
      </w:r>
      <m:oMath>
        <m:r>
          <m:t>𝒪(δ/</m:t>
        </m:r>
        <m:rad>
          <m:radPr>
            <m:degHide m:val="on"/>
          </m:radPr>
          <m:deg/>
          <m:e>
            <m:r>
              <m:t>λ</m:t>
            </m:r>
          </m:e>
        </m:rad>
        <m:r>
          <m:t>+</m:t>
        </m:r>
        <m:rad>
          <m:radPr>
            <m:degHide m:val="on"/>
          </m:radPr>
          <m:deg/>
          <m:e>
            <m:r>
              <m:t>λ</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w:t>
      </w:r>
      <m:oMath>
        <m:sSub>
          <m:e>
            <m:r>
              <m:t>R</m:t>
            </m:r>
          </m:e>
          <m:sub>
            <m:r>
              <m:rPr>
                <m:sty m:val="p"/>
              </m:rPr>
              <m:t>RRFN</m:t>
            </m:r>
          </m:sub>
        </m:sSub>
      </m:oMath>
      <w:r>
        <w:rPr>
          <w:rFonts w:ascii="Times New Roman" w:hAnsi="Times New Roman"/>
          <w:sz w:val="24"/>
        </w:rPr>
        <w:t>), prompt-audited LLM semantic review verification (</w:t>
      </w:r>
      <m:oMath>
        <m:sSub>
          <m:e>
            <m:r>
              <m:t>R</m:t>
            </m:r>
          </m:e>
          <m:sub>
            <m:r>
              <m:rPr>
                <m:sty m:val="p"/>
              </m:rPr>
              <m:t>LLM</m:t>
            </m:r>
          </m:sub>
        </m:sSub>
      </m:oMath>
      <w:r>
        <w:rPr>
          <w:rFonts w:ascii="Times New Roman" w:hAnsi="Times New Roman"/>
          <w:sz w:val="24"/>
        </w:rPr>
        <w:t>) supported by a thread-safe SQLite WAL cache, and 2D BLAS vectorized burst detection (</w:t>
      </w:r>
      <m:oMath>
        <m:sSub>
          <m:e>
            <m:r>
              <m:t>R</m:t>
            </m:r>
          </m:e>
          <m:sub>
            <m:r>
              <m:rPr>
                <m:sty m:val="p"/>
              </m:rPr>
              <m:t>bomb</m:t>
            </m:r>
          </m:sub>
        </m:sSub>
      </m:oMath>
      <w:r>
        <w:rPr>
          <w:rFonts w:ascii="Times New Roman" w:hAnsi="Times New Roman"/>
          <w:sz w:val="24"/>
        </w:rPr>
        <w:t>)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 xml:space="preserve">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w:t>
      </w:r>
      <m:oMath>
        <m:r>
          <m:t>g</m:t>
        </m:r>
        <m:r>
          <m:rPr>
            <m:nor/>
          </m:rPr>
          <m:t>-</m:t>
        </m:r>
        <m:r>
          <m:rPr>
            <m:sty m:val="p"/>
          </m:rPr>
          <m:t>LTC</m:t>
        </m:r>
        <m:r>
          <m:t>@K</m:t>
        </m:r>
      </m:oMath>
      <w:r>
        <w:rPr>
          <w:rFonts w:ascii="Times New Roman" w:hAnsi="Times New Roman"/>
          <w:sz w:val="24"/>
        </w:rPr>
        <w:t xml:space="preserve"> and </w:t>
      </w:r>
      <m:oMath>
        <m:r>
          <m:rPr>
            <m:sty m:val="p"/>
          </m:rPr>
          <m:t>STER</m:t>
        </m:r>
        <m:r>
          <m:t>@K</m:t>
        </m:r>
      </m:oMath>
      <w:r>
        <w:rPr>
          <w:rFonts w:ascii="Times New Roman" w:hAnsi="Times New Roman"/>
          <w:sz w:val="24"/>
        </w:rPr>
        <w:t xml:space="preserve">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w:t>
      </w:r>
      <m:oMath>
        <m:sSup>
          <m:e>
            <m:r>
              <m:t>T</m:t>
            </m:r>
          </m:e>
          <m:sup>
            <m:r>
              <m:t>−1</m:t>
            </m:r>
          </m:sup>
        </m:sSup>
      </m:oMath>
      <w:r>
        <w:rPr>
          <w:rFonts w:ascii="Times New Roman" w:hAnsi="Times New Roman"/>
          <w:sz w:val="24"/>
        </w:rPr>
        <w:t xml:space="preserve">) frequently caused gradient explosion and NaN loss values when rating classes suffered from empirical sparsity. Proving and implementing the Tikhonov operator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 xml:space="preserve">Theorem 3.2 rigorously establishes excess risk consistency for the implemented forward-corrected cross-entropy loss. However, confidence-based rating inversion via </w:t>
      </w:r>
      <m:oMath>
        <m:sSubSup>
          <m:e>
            <m:r>
              <m:t>T</m:t>
            </m:r>
          </m:e>
          <m:sub>
            <m:r>
              <m:t>λ</m:t>
            </m:r>
          </m:sub>
          <m:sup>
            <m:r>
              <m:t>†</m:t>
            </m:r>
          </m:sup>
        </m:sSubSup>
      </m:oMath>
      <w:r>
        <w:rPr>
          <w:rFonts w:ascii="Times New Roman" w:hAnsi="Times New Roman"/>
          <w:sz w:val="24"/>
        </w:rPr>
        <w:t xml:space="preserve"> inherently incurs an </w:t>
      </w:r>
      <m:oMath>
        <m:r>
          <m:t>𝒪(δ/</m:t>
        </m:r>
        <m:rad>
          <m:radPr>
            <m:degHide m:val="on"/>
          </m:radPr>
          <m:deg/>
          <m:e>
            <m:r>
              <m:t>λ</m:t>
            </m:r>
          </m:e>
        </m:rad>
        <m:r>
          <m:t>+</m:t>
        </m:r>
        <m:rad>
          <m:radPr>
            <m:degHide m:val="on"/>
          </m:radPr>
          <m:deg/>
          <m:e>
            <m:r>
              <m:t>λ</m:t>
            </m:r>
          </m:e>
        </m:rad>
        <m:r>
          <m:t>)</m:t>
        </m:r>
      </m:oMath>
      <w:r>
        <w:rPr>
          <w:rFonts w:ascii="Times New Roman" w:hAnsi="Times New Roman"/>
          <w:sz w:val="24"/>
        </w:rPr>
        <w:t xml:space="preserve"> resolvent error, necessitating careful tuning of regularization damping </w:t>
      </w:r>
      <m:oMath>
        <m:r>
          <m:t>λ</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w:t>
      </w:r>
      <m:oMath>
        <m:sSub>
          <m:e>
            <m:r>
              <m:t>M</m:t>
            </m:r>
          </m:e>
          <m:sub>
            <m:r>
              <m:rPr>
                <m:sty m:val="p"/>
              </m:rPr>
              <m:t>pop</m:t>
            </m:r>
          </m:sub>
        </m:sSub>
      </m:oMath>
      <w:r>
        <w:rPr>
          <w:rFonts w:ascii="Times New Roman" w:hAnsi="Times New Roman"/>
          <w:sz w:val="24"/>
        </w:rPr>
        <w:t>) and Tail (</w:t>
      </w:r>
      <m:oMath>
        <m:sSub>
          <m:e>
            <m:r>
              <m:t>M</m:t>
            </m:r>
          </m:e>
          <m:sub>
            <m:r>
              <m:rPr>
                <m:sty m:val="p"/>
              </m:rPr>
              <m:t>tail</m:t>
            </m:r>
          </m:sub>
        </m:sSub>
      </m:oMath>
      <w:r>
        <w:rPr>
          <w:rFonts w:ascii="Times New Roman" w:hAnsi="Times New Roman"/>
          <w:sz w:val="24"/>
        </w:rPr>
        <w:t>)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w:t>
            </w:r>
            <m:oMath>
              <m:r>
                <m:t>λ</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w:t>
            </w:r>
            <m:oMath>
              <m:sSub>
                <m:e>
                  <m:r>
                    <m:t>β</m:t>
                  </m:r>
                </m:e>
                <m:sub>
                  <m:r>
                    <m:rPr>
                      <m:sty m:val="p"/>
                    </m:rPr>
                    <m:t>reg</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w:t>
            </w:r>
            <m:oMath>
              <m:sSub>
                <m:e>
                  <m:r>
                    <m:t>λ</m:t>
                  </m:r>
                </m:e>
                <m:sub>
                  <m:r>
                    <m:rPr>
                      <m:sty m:val="p"/>
                    </m:rPr>
                    <m:t>cl</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w:t>
            </w:r>
            <m:oMath>
              <m:r>
                <m:t>τ</m:t>
              </m:r>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w:t>
            </w:r>
            <m:oMath>
              <m:r>
                <m:t>α,β,γ</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w:t>
            </w:r>
            <m:oMath>
              <m:sSub>
                <m:e>
                  <m:r>
                    <m:t>ω</m:t>
                  </m:r>
                </m:e>
                <m:sub>
                  <m:r>
                    <m:t>1</m:t>
                  </m:r>
                </m:sub>
              </m:sSub>
              <m:r>
                <m:t>,</m:t>
              </m:r>
              <m:sSub>
                <m:e>
                  <m:r>
                    <m:t>ω</m:t>
                  </m:r>
                </m:e>
                <m:sub>
                  <m:r>
                    <m:t>2</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w:t>
            </w:r>
            <m:oMath>
              <m:sSub>
                <m:e>
                  <m:r>
                    <m:t>θ</m:t>
                  </m:r>
                </m:e>
                <m:sub>
                  <m:r>
                    <m:rPr>
                      <m:sty m:val="p"/>
                    </m:rPr>
                    <m:t>trust</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w:t>
            </w:r>
            <m:oMath>
              <m:r>
                <m:t>S</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ADVAIT RAVINDRAKUMAR VARHADE (Reg. No. 23BCE5098)</w:t>
              <w:br/>
              <w:t>• Primary Technical Pillar: Mathematical Noise-Transition Modeling, Tikhonov Operator Inversion, Risk-Consistent Optimization &amp; Theoretical Proofs</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