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VIVAASH KOUNDAL (23BCE5095)</w:t>
      </w:r>
      <w:r>
        <w:br/>
      </w:r>
      <w:r>
        <w:rPr>
          <w:rFonts w:ascii="Times New Roman" w:hAnsi="Times New Roman"/>
          <w:b/>
          <w:sz w:val="27"/>
        </w:rPr>
        <w:t>ADVAIT RAVINDRAKUMAR VARHADE (23BCE5098)</w:t>
      </w:r>
      <w:r>
        <w:br/>
      </w:r>
      <w:r>
        <w:rPr>
          <w:rFonts w:ascii="Times New Roman" w:hAnsi="Times New Roman"/>
          <w:b/>
          <w:sz w:val="27"/>
        </w:rPr>
        <w:t>P. MANAS (23BCE5076)</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pacing w:before="480" w:after="28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240" w:line="300" w:lineRule="auto"/>
        <w:jc w:val="center"/>
      </w:pPr>
      <w:r>
        <w:rPr>
          <w:rFonts w:ascii="Times New Roman" w:hAnsi="Times New Roman"/>
          <w:b/>
          <w:sz w:val="27"/>
        </w:rPr>
        <w:t>VIVAASH KOUNDAL (23BCE5095)</w:t>
      </w:r>
      <w:r>
        <w:br/>
      </w:r>
      <w:r>
        <w:rPr>
          <w:rFonts w:ascii="Times New Roman" w:hAnsi="Times New Roman"/>
          <w:b/>
          <w:sz w:val="27"/>
        </w:rPr>
        <w:t>ADVAIT RAVINDRAKUMAR VARHADE (23BCE5098)</w:t>
      </w:r>
      <w:r>
        <w:br/>
      </w:r>
      <w:r>
        <w:rPr>
          <w:rFonts w:ascii="Times New Roman" w:hAnsi="Times New Roman"/>
          <w:b/>
          <w:sz w:val="27"/>
        </w:rPr>
        <w:t>P. MANAS (23BCE5076)</w:t>
      </w:r>
    </w:p>
    <w:p>
      <w:pPr>
        <w:spacing w:before="80" w:after="120"/>
        <w:jc w:val="center"/>
      </w:pPr>
      <w:r>
        <w:rPr>
          <w:rFonts w:ascii="Times New Roman" w:hAnsi="Times New Roman"/>
          <w:i/>
          <w:sz w:val="24"/>
        </w:rPr>
        <w:t>Under the guidance of</w:t>
        <w:br/>
      </w:r>
      <w:r>
        <w:rPr>
          <w:rFonts w:ascii="Times New Roman" w:hAnsi="Times New Roman"/>
          <w:b/>
          <w:sz w:val="26"/>
        </w:rPr>
        <w:t>Dr. Suganeshwari G</w:t>
        <w:br/>
        <w:t>Associate Professor</w:t>
      </w:r>
    </w:p>
    <w:p>
      <w:pPr>
        <w:spacing w:before="120" w:after="200"/>
        <w:jc w:val="center"/>
      </w:pPr>
      <w:r>
        <w:drawing>
          <wp:inline xmlns:a="http://schemas.openxmlformats.org/drawingml/2006/main" xmlns:pic="http://schemas.openxmlformats.org/drawingml/2006/picture">
            <wp:extent cx="3168000" cy="1010285"/>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168000" cy="1010285"/>
                    </a:xfrm>
                    <a:prstGeom prst="rect"/>
                  </pic:spPr>
                </pic:pic>
              </a:graphicData>
            </a:graphic>
          </wp:inline>
        </w:drawing>
      </w:r>
    </w:p>
    <w:p>
      <w:pPr>
        <w:spacing w:before="80" w:after="4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VIVAASH KOUNDAL (23BCE5095),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960" w:after="120" w:line="312" w:lineRule="auto"/>
      </w:pPr>
      <w:r>
        <w:rPr>
          <w:rFonts w:ascii="Times New Roman" w:hAnsi="Times New Roman"/>
          <w:b/>
          <w:sz w:val="24"/>
        </w:rPr>
        <w:t>Place: Chennai</w:t>
        <w:br/>
        <w:t>Date: November 2025</w:t>
      </w:r>
    </w:p>
    <w:p>
      <w:pPr>
        <w:spacing w:before="320" w:after="400"/>
        <w:jc w:val="right"/>
      </w:pPr>
      <w:r>
        <w:rPr>
          <w:rFonts w:ascii="Times New Roman" w:hAnsi="Times New Roman"/>
          <w:b/>
          <w:sz w:val="24"/>
        </w:rPr>
        <w:t>Signature of the Candidate</w:t>
        <w:br/>
        <w:t>VIVAASH KOUNDAL</w:t>
        <w:br/>
        <w:t>(Reg. No. 23BCE5095)</w:t>
      </w: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VIVAASH KOUNDAL (23BCE5095)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Suganeshwari G</w:t>
              <w:br/>
              <w:t>Designation: Associate Professor</w:t>
              <w:br/>
              <w:t>Date: November 2025</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Dr. Prassanna J</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r>
        <w:br w:type="page"/>
      </w:r>
    </w:p>
    <w:p>
      <w:pPr>
        <w:spacing w:before="120" w:after="160"/>
        <w:jc w:val="center"/>
      </w:pPr>
      <w:r>
        <w:rPr>
          <w:rFonts w:ascii="Times New Roman" w:hAnsi="Times New Roman"/>
          <w:b/>
          <w:sz w:val="28"/>
          <w:u w:val="single"/>
        </w:rPr>
        <w:t>ABSTRACT</w:t>
      </w:r>
    </w:p>
    <w:p>
      <w:pPr>
        <w:spacing w:line="276" w:lineRule="auto" w:before="0" w:after="80"/>
        <w:jc w:val="both"/>
      </w:pPr>
      <w:r>
        <w:rPr>
          <w:rFonts w:ascii="Times New Roman" w:hAnsi="Times New Roman"/>
          <w:sz w:val="22"/>
        </w:rPr>
        <w:t>Modern web-scale recommender systems rely fundamentally on bipartite user-item interaction graphs to deliver personalized recommendations across digital platforms. However, real-world deployment graphs suffer from two concurrent, orthogonal systemic vulnerabilities: (1) adversarial data poisoning via bandwagon shilling attacks and coordinated review-bombing bursts designed to inject deceptive feedback, and (2) structural catalog popularity bias where Pareto-skewed interaction distributions starve authentic long-tail items of visibility. Existing paradigms treat adversarial robustness and popularity debiasing as isolated objectives, collapsing catastrophically when both co-occur: debiasing models mistake injected bot interactions for genuine niche enthusiasm, aggressively promoting spam targets into recommended long-tail quotas.</w:t>
      </w:r>
    </w:p>
    <w:p>
      <w:pPr>
        <w:spacing w:line="276" w:lineRule="auto" w:before="0" w:after="80"/>
        <w:jc w:val="both"/>
      </w:pPr>
      <w:r>
        <w:rPr>
          <w:rFonts w:ascii="Times New Roman" w:hAnsi="Times New Roman"/>
          <w:sz w:val="22"/>
        </w:rPr>
        <w:t>To resolve this fatal concurrence, this project introduces RRFN-LLM-SUPER, an end-to-end framework integrating stochastic noise-transition modeling, multi-modal interaction reliability filtering, risk-aware graph contrastive learning, and popularity-calibrated blueprint debiasing. We theoretically prove a spectral operator norm upper bound for Tikhonov-regularized noise inversion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2"/>
        </w:rPr>
        <w:t>), establishing Lipschitz gradient stability and forward surrogate excess risk consistency. To audit edge authenticity, we architect the Multi-view Interaction Reliability Filter (MIRF), synthesizing model prediction consistency, asynchronous Large Language Model (LLM) review text verification supported by a thread-safe SQLite WAL caching layer, and hardware-accelerated 2D BLAS review-bombing burst detection executing in sub-5 ms (&gt;500x speedup). The resulting sample reliability weights (</w:t>
      </w:r>
      <m:oMath>
        <m:sSub>
          <m:e>
            <m:r>
              <m:t>w</m:t>
            </m:r>
          </m:e>
          <m:sub>
            <m:r>
              <m:t>ui</m:t>
            </m:r>
          </m:sub>
        </m:sSub>
        <m:r>
          <m:t>∈[0,1]</m:t>
        </m:r>
      </m:oMath>
      <w:r>
        <w:rPr>
          <w:rFonts w:ascii="Times New Roman" w:hAnsi="Times New Roman"/>
          <w:sz w:val="22"/>
        </w:rPr>
        <w:t>) modulate InfoNCE contrastive alignment across SimGCL and SGL backbones, and purify historical user blueprints for calibrated long-tail exposure.</w:t>
      </w:r>
    </w:p>
    <w:p>
      <w:pPr>
        <w:spacing w:line="276" w:lineRule="auto" w:before="0" w:after="80"/>
        <w:jc w:val="both"/>
      </w:pPr>
      <w:r>
        <w:rPr>
          <w:rFonts w:ascii="Times New Roman" w:hAnsi="Times New Roman"/>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pPr>
        <w:spacing w:before="80" w:after="0"/>
      </w:pPr>
      <w:r>
        <w:rPr>
          <w:rFonts w:ascii="Times New Roman" w:hAnsi="Times New Roman"/>
          <w:b/>
          <w:sz w:val="21"/>
        </w:rPr>
        <w:t xml:space="preserve">Keywords: </w:t>
      </w:r>
      <w:r>
        <w:rPr>
          <w:rFonts w:ascii="Times New Roman" w:hAnsi="Times New Roman"/>
          <w:i/>
          <w:sz w:val="21"/>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160" w:after="160"/>
        <w:jc w:val="center"/>
      </w:pPr>
      <w:r>
        <w:rPr>
          <w:rFonts w:ascii="Times New Roman" w:hAnsi="Times New Roman"/>
          <w:b/>
          <w:sz w:val="28"/>
        </w:rPr>
        <w:t>ACKNOWLEDGEMENT</w:t>
      </w:r>
    </w:p>
    <w:p>
      <w:pPr>
        <w:spacing w:line="276" w:lineRule="auto" w:before="0" w:after="60"/>
        <w:jc w:val="both"/>
      </w:pPr>
      <w:r>
        <w:rPr>
          <w:rFonts w:ascii="Times New Roman" w:hAnsi="Times New Roman"/>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pPr>
        <w:spacing w:line="276" w:lineRule="auto" w:before="0" w:after="60"/>
        <w:jc w:val="both"/>
      </w:pPr>
      <w:r>
        <w:rPr>
          <w:rFonts w:ascii="Times New Roman" w:hAnsi="Times New Roman"/>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276" w:lineRule="auto" w:before="0" w:after="60"/>
        <w:jc w:val="both"/>
      </w:pPr>
      <w:r>
        <w:rPr>
          <w:rFonts w:ascii="Times New Roman" w:hAnsi="Times New Roman"/>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276" w:lineRule="auto" w:before="0" w:after="60"/>
        <w:jc w:val="both"/>
      </w:pPr>
      <w:r>
        <w:rPr>
          <w:rFonts w:ascii="Times New Roman" w:hAnsi="Times New Roman"/>
          <w:sz w:val="22"/>
        </w:rPr>
        <w:t>In a jubilant state, I express my whole-hearted thanks to Dr. Prassanna J, Head of the Department, Department of Computer Science and Engineering, as well as the BCSE497J Project Coordinators and faculty committee for their structured academic framework, periodic reviews, and constant encouragement.</w:t>
      </w:r>
    </w:p>
    <w:p>
      <w:pPr>
        <w:spacing w:line="276" w:lineRule="auto" w:before="0" w:after="60"/>
        <w:jc w:val="both"/>
      </w:pPr>
      <w:r>
        <w:rPr>
          <w:rFonts w:ascii="Times New Roman" w:hAnsi="Times New Roman"/>
          <w:sz w:val="22"/>
        </w:rPr>
        <w:t>I also extend my sincere appreciation to my project teammates: ADVAIT RAVINDRAKUMAR VARHADE (23BCE5098) for his collaborative partnership on Mathematical Noise-Transition Modeling, Tikhonov Operator Inversion &amp; Risk-Consistent Proofs; and P. MANAS (23BCE5076) for his collaborative partnership on Multi-View Interaction Reliability Filter (MIRF), LLM Review Auditing &amp; 2D BLAS Review-Bombing Detection,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240" w:after="40" w:line="276" w:lineRule="auto"/>
      </w:pPr>
      <w:r>
        <w:rPr>
          <w:rFonts w:ascii="Times New Roman" w:hAnsi="Times New Roman"/>
          <w:b/>
          <w:sz w:val="22"/>
        </w:rPr>
        <w:t>Place: Chennai</w:t>
        <w:br/>
        <w:t>Date: November 2025</w:t>
      </w:r>
    </w:p>
    <w:p>
      <w:pPr>
        <w:spacing w:before="40" w:after="80"/>
        <w:jc w:val="right"/>
      </w:pPr>
      <w:r>
        <w:rPr>
          <w:rFonts w:ascii="Times New Roman" w:hAnsi="Times New Roman"/>
          <w:b/>
          <w:sz w:val="22"/>
        </w:rPr>
        <w:t>VIVAASH KOUNDAL</w:t>
        <w:br/>
        <w:t>(Reg. No. 23BCE5095)</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ix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($R_{\mathrm{RRFN}}$)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($R_{\mathrm{LLM}}$)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 xml:space="preserve">Formally, let </w:t>
      </w:r>
      <m:oMath>
        <m:r>
          <m:t>𝒢=(𝒰,ℐ,ℰ)</m:t>
        </m:r>
      </m:oMath>
      <w:r>
        <w:rPr>
          <w:rFonts w:ascii="Times New Roman" w:hAnsi="Times New Roman"/>
          <w:sz w:val="24"/>
        </w:rPr>
        <w:t xml:space="preserve"> represent a bipartite user-item interaction graph, where </w:t>
      </w:r>
      <m:oMath>
        <m:r>
          <m:t>𝒰={</m:t>
        </m:r>
        <m:sSub>
          <m:e>
            <m:r>
              <m:t>u</m:t>
            </m:r>
          </m:e>
          <m:sub>
            <m:r>
              <m:t>1</m:t>
            </m:r>
          </m:sub>
        </m:sSub>
        <m:r>
          <m:t>,</m:t>
        </m:r>
        <m:sSub>
          <m:e>
            <m:r>
              <m:t>u</m:t>
            </m:r>
          </m:e>
          <m:sub>
            <m:r>
              <m:t>2</m:t>
            </m:r>
          </m:sub>
        </m:sSub>
        <m:r>
          <m:t>,…,</m:t>
        </m:r>
        <m:sSub>
          <m:e>
            <m:r>
              <m:t>u</m:t>
            </m:r>
          </m:e>
          <m:sub>
            <m:d>
              <m:dPr>
                <m:begChr m:val="|"/>
                <m:sepChr m:val=""/>
                <m:endChr m:val="|"/>
              </m:dPr>
              <m:e>
                <m:r>
                  <m:t>𝒰</m:t>
                </m:r>
              </m:e>
            </m:d>
          </m:sub>
        </m:sSub>
        <m:r>
          <m:t>}</m:t>
        </m:r>
      </m:oMath>
      <w:r>
        <w:rPr>
          <w:rFonts w:ascii="Times New Roman" w:hAnsi="Times New Roman"/>
          <w:sz w:val="24"/>
        </w:rPr>
        <w:t xml:space="preserve"> denotes the set of unique users, </w:t>
      </w:r>
      <m:oMath>
        <m:r>
          <m:t>ℐ={</m:t>
        </m:r>
        <m:sSub>
          <m:e>
            <m:r>
              <m:t>i</m:t>
            </m:r>
          </m:e>
          <m:sub>
            <m:r>
              <m:t>1</m:t>
            </m:r>
          </m:sub>
        </m:sSub>
        <m:r>
          <m:t>,</m:t>
        </m:r>
        <m:sSub>
          <m:e>
            <m:r>
              <m:t>i</m:t>
            </m:r>
          </m:e>
          <m:sub>
            <m:r>
              <m:t>2</m:t>
            </m:r>
          </m:sub>
        </m:sSub>
        <m:r>
          <m:t>,…,</m:t>
        </m:r>
        <m:sSub>
          <m:e>
            <m:r>
              <m:t>i</m:t>
            </m:r>
          </m:e>
          <m:sub>
            <m:d>
              <m:dPr>
                <m:begChr m:val="|"/>
                <m:sepChr m:val=""/>
                <m:endChr m:val="|"/>
              </m:dPr>
              <m:e>
                <m:r>
                  <m:t>ℐ</m:t>
                </m:r>
              </m:e>
            </m:d>
          </m:sub>
        </m:sSub>
        <m:r>
          <m:t>}</m:t>
        </m:r>
      </m:oMath>
      <w:r>
        <w:rPr>
          <w:rFonts w:ascii="Times New Roman" w:hAnsi="Times New Roman"/>
          <w:sz w:val="24"/>
        </w:rPr>
        <w:t xml:space="preserve"> denotes the set of unique catalog items, and </w:t>
      </w:r>
      <m:oMath>
        <m:r>
          <m:t>ℰ⊂𝒰×ℐ</m:t>
        </m:r>
      </m:oMath>
      <w:r>
        <w:rPr>
          <w:rFonts w:ascii="Times New Roman" w:hAnsi="Times New Roman"/>
          <w:sz w:val="24"/>
        </w:rPr>
        <w:t xml:space="preserve"> denotes the observed set of behavioral edges or interactions. In implicit feedback environments, an observed edge </w:t>
      </w:r>
      <m:oMath>
        <m:r>
          <m:t>(u,i)∈ℰ</m:t>
        </m:r>
      </m:oMath>
      <w:r>
        <w:rPr>
          <w:rFonts w:ascii="Times New Roman" w:hAnsi="Times New Roman"/>
          <w:sz w:val="24"/>
        </w:rPr>
        <w:t xml:space="preserve"> signifies a click, view, purchase, or bookmark. In explicit feedback settings, each interaction edge is accompanied by a discrete ordinal rating </w:t>
      </w:r>
      <m:oMath>
        <m:sSub>
          <m:e>
            <m:r>
              <m:t>r</m:t>
            </m:r>
          </m:e>
          <m:sub>
            <m:r>
              <m:t>ui</m:t>
            </m:r>
          </m:sub>
        </m:sSub>
        <m:r>
          <m:t>∈{1,2,…,K}</m:t>
        </m:r>
      </m:oMath>
      <w:r>
        <w:rPr>
          <w:rFonts w:ascii="Times New Roman" w:hAnsi="Times New Roman"/>
          <w:sz w:val="24"/>
        </w:rPr>
        <w:t xml:space="preserve"> (typically representing a 1-to-5 star rating) and, in rich multi-modal platforms, a corresponding natural language review text </w:t>
      </w:r>
      <m:oMath>
        <m:sSub>
          <m:e>
            <m:r>
              <m:t>S</m:t>
            </m:r>
          </m:e>
          <m:sub>
            <m:r>
              <m:t>ui</m:t>
            </m:r>
          </m:sub>
        </m:sSub>
      </m:oMath>
      <w:r>
        <w:rPr>
          <w:rFonts w:ascii="Times New Roman" w:hAnsi="Times New Roman"/>
          <w:sz w:val="24"/>
        </w:rPr>
        <w:t xml:space="preserve"> and an interaction timestamp </w:t>
      </w:r>
      <m:oMath>
        <m:sSub>
          <m:e>
            <m:r>
              <m:t>t</m:t>
            </m:r>
          </m:e>
          <m:sub>
            <m:r>
              <m:t>ui</m:t>
            </m:r>
          </m:sub>
        </m:sSub>
      </m:oMath>
      <w:r>
        <w:rPr>
          <w:rFonts w:ascii="Times New Roman" w:hAnsi="Times New Roman"/>
          <w:sz w:val="24"/>
        </w:rPr>
        <w:t>.</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 xml:space="preserve">Given a partially observed, potentially poisoned bipartite user-item graph </w:t>
      </w:r>
      <m:oMath>
        <m:limUpp>
          <m:e>
            <m:r>
              <m:t>𝒢</m:t>
            </m:r>
          </m:e>
          <m:lim>
            <m:r>
              <m:t>~</m:t>
            </m:r>
          </m:lim>
        </m:limUpp>
        <m:r>
          <m:t>=(𝒰,ℐ,</m:t>
        </m:r>
        <m:limUpp>
          <m:e>
            <m:r>
              <m:t>ℰ</m:t>
            </m:r>
          </m:e>
          <m:lim>
            <m:r>
              <m:t>~</m:t>
            </m:r>
          </m:lim>
        </m:limUpp>
        <m:r>
          <m:t>)</m:t>
        </m:r>
      </m:oMath>
      <w:r>
        <w:rPr>
          <w:rFonts w:ascii="Times New Roman" w:hAnsi="Times New Roman"/>
          <w:sz w:val="24"/>
        </w:rPr>
        <w:t xml:space="preserve">, where </w:t>
      </w:r>
      <m:oMath>
        <m:limUpp>
          <m:e>
            <m:r>
              <m:t>ℰ</m:t>
            </m:r>
          </m:e>
          <m:lim>
            <m:r>
              <m:t>~</m:t>
            </m:r>
          </m:lim>
        </m:limUpp>
      </m:oMath>
      <w:r>
        <w:rPr>
          <w:rFonts w:ascii="Times New Roman" w:hAnsi="Times New Roman"/>
          <w:sz w:val="24"/>
        </w:rPr>
        <w:t xml:space="preserve"> contains an unobserved mixture of authentic clean interactions </w:t>
      </w:r>
      <m:oMath>
        <m:sSup>
          <m:e>
            <m:r>
              <m:t>ℰ</m:t>
            </m:r>
          </m:e>
          <m:sup>
            <m:r>
              <m:t>*</m:t>
            </m:r>
          </m:sup>
        </m:sSup>
      </m:oMath>
      <w:r>
        <w:rPr>
          <w:rFonts w:ascii="Times New Roman" w:hAnsi="Times New Roman"/>
          <w:sz w:val="24"/>
        </w:rPr>
        <w:t xml:space="preserve"> and malicious adversarial injection edges </w:t>
      </w:r>
      <m:oMath>
        <m:sSub>
          <m:e>
            <m:r>
              <m:t>ℰ</m:t>
            </m:r>
          </m:e>
          <m:sub>
            <m:r>
              <m:rPr>
                <m:sty m:val="p"/>
              </m:rPr>
              <m:t>attack</m:t>
            </m:r>
          </m:sub>
        </m:sSub>
      </m:oMath>
      <w:r>
        <w:rPr>
          <w:rFonts w:ascii="Times New Roman" w:hAnsi="Times New Roman"/>
          <w:sz w:val="24"/>
        </w:rPr>
        <w:t>,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to guarantee Lipschitz gradient stability, and establish asymptotic excess risk consistency bounds </w:t>
      </w:r>
      <m:oMath>
        <m:r>
          <m:t>𝒪(δ+1/</m:t>
        </m:r>
        <m:rad>
          <m:radPr>
            <m:degHide m:val="on"/>
          </m:radPr>
          <m:deg/>
          <m:e>
            <m:r>
              <m:t>N</m:t>
            </m:r>
          </m:e>
        </m:rad>
        <m:r>
          <m:t>)</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 xml:space="preserve">Integrate risk-aware Graph Contrastive Learning (GCL) across modern neural backbones (SimGCL with latent uniform perturbations and SGL with structural edge dropout), modulating contrastive alignment through sample reliability weights </w:t>
      </w:r>
      <m:oMath>
        <m:sSub>
          <m:e>
            <m:r>
              <m:t>w</m:t>
            </m:r>
          </m:e>
          <m:sub>
            <m:r>
              <m:t>ui</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w:t>
      </w:r>
      <m:oMath>
        <m:r>
          <m:t>g</m:t>
        </m:r>
        <m:r>
          <m:rPr>
            <m:nor/>
          </m:rPr>
          <m:t>-</m:t>
        </m:r>
        <m:r>
          <m:rPr>
            <m:sty m:val="p"/>
          </m:rPr>
          <m:t>LTC</m:t>
        </m:r>
        <m:r>
          <m:t>@K</m:t>
        </m:r>
      </m:oMath>
      <w:r>
        <w:rPr>
          <w:rFonts w:ascii="Times New Roman" w:hAnsi="Times New Roman"/>
          <w:sz w:val="24"/>
        </w:rPr>
        <w:t>) and Spam Target Exposure Rate (</w:t>
      </w:r>
      <m:oMath>
        <m:r>
          <m:rPr>
            <m:sty m:val="p"/>
          </m:rPr>
          <m:t>STER</m:t>
        </m:r>
        <m:r>
          <m:t>@K</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w:t>
      </w:r>
      <m:oMath>
        <m:sSub>
          <m:e>
            <m:r>
              <m:t>ℳ</m:t>
            </m:r>
          </m:e>
          <m:sub>
            <m:r>
              <m:rPr>
                <m:sty m:val="p"/>
              </m:rPr>
              <m:t>pop</m:t>
            </m:r>
          </m:sub>
        </m:sSub>
      </m:oMath>
      <w:r>
        <w:rPr>
          <w:rFonts w:ascii="Times New Roman" w:hAnsi="Times New Roman"/>
          <w:sz w:val="24"/>
        </w:rPr>
        <w:t>) and niche 'Tail' items (</w:t>
      </w:r>
      <m:oMath>
        <m:sSub>
          <m:e>
            <m:r>
              <m:t>ℳ</m:t>
            </m:r>
          </m:e>
          <m:sub>
            <m:r>
              <m:rPr>
                <m:sty m:val="p"/>
              </m:rPr>
              <m:t>tail</m:t>
            </m:r>
          </m:sub>
        </m:sSub>
      </m:oMath>
      <w:r>
        <w:rPr>
          <w:rFonts w:ascii="Times New Roman" w:hAnsi="Times New Roman"/>
          <w:sz w:val="24"/>
        </w:rPr>
        <w:t xml:space="preserve">). During recommendation inference, SUPER calculates each individual user's historical tail preference inclination </w:t>
      </w:r>
      <m:oMath>
        <m:sSub>
          <m:e>
            <m:r>
              <m:t>α</m:t>
            </m:r>
          </m:e>
          <m:sub>
            <m:r>
              <m:t>u</m:t>
            </m:r>
          </m:sub>
        </m:sSub>
        <m:r>
          <m:t>∈[0,1]</m:t>
        </m:r>
      </m:oMath>
      <w:r>
        <w:rPr>
          <w:rFonts w:ascii="Times New Roman" w:hAnsi="Times New Roman"/>
          <w:sz w:val="24"/>
        </w:rPr>
        <w:t xml:space="preserve"> based on their past interaction 'blueprint'. It then assembles a top-</w:t>
      </w:r>
      <m:oMath>
        <m:r>
          <m:t>K</m:t>
        </m:r>
      </m:oMath>
      <w:r>
        <w:rPr>
          <w:rFonts w:ascii="Times New Roman" w:hAnsi="Times New Roman"/>
          <w:sz w:val="24"/>
        </w:rPr>
        <w:t xml:space="preserve"> recommendation list by soft-merging candidates from </w:t>
      </w:r>
      <m:oMath>
        <m:sSub>
          <m:e>
            <m:r>
              <m:t>ℳ</m:t>
            </m:r>
          </m:e>
          <m:sub>
            <m:r>
              <m:rPr>
                <m:sty m:val="p"/>
              </m:rPr>
              <m:t>pop</m:t>
            </m:r>
          </m:sub>
        </m:sSub>
      </m:oMath>
      <w:r>
        <w:rPr>
          <w:rFonts w:ascii="Times New Roman" w:hAnsi="Times New Roman"/>
          <w:sz w:val="24"/>
        </w:rPr>
        <w:t xml:space="preserve"> and </w:t>
      </w:r>
      <m:oMath>
        <m:sSub>
          <m:e>
            <m:r>
              <m:t>ℳ</m:t>
            </m:r>
          </m:e>
          <m:sub>
            <m:r>
              <m:rPr>
                <m:sty m:val="p"/>
              </m:rPr>
              <m:t>tail</m:t>
            </m:r>
          </m:sub>
        </m:sSub>
      </m:oMath>
      <w:r>
        <w:rPr>
          <w:rFonts w:ascii="Times New Roman" w:hAnsi="Times New Roman"/>
          <w:sz w:val="24"/>
        </w:rPr>
        <w:t xml:space="preserve"> to ensure the recommended list's popularity distribution closely matches the user's historical profile.</w:t>
      </w:r>
    </w:p>
    <w:p>
      <w:pPr>
        <w:spacing w:line="360" w:lineRule="auto" w:before="0" w:after="120"/>
        <w:jc w:val="both"/>
      </w:pPr>
      <w:r>
        <w:rPr>
          <w:rFonts w:ascii="Times New Roman" w:hAnsi="Times New Roman"/>
          <w:sz w:val="24"/>
        </w:rPr>
        <w:t xml:space="preserve">Crucial Vulnerability of Standalone SUP: Standalone SUPER inherently presupposes that the user's historical interaction blueprint is clean and honest. When an adversarial bot injects fake interactions, SUPER faithfully ingests the poisoned edges into the blueprint, skewing </w:t>
      </w:r>
      <m:oMath>
        <m:sSub>
          <m:e>
            <m:r>
              <m:t>α</m:t>
            </m:r>
          </m:e>
          <m:sub>
            <m:r>
              <m:t>u</m:t>
            </m:r>
          </m:sub>
        </m:sSub>
      </m:oMath>
      <w:r>
        <w:rPr>
          <w:rFonts w:ascii="Times New Roman" w:hAnsi="Times New Roman"/>
          <w:sz w:val="24"/>
        </w:rPr>
        <w:t xml:space="preserve">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 xml:space="preserve">RRFN stands for the Robust Risk-consistent Fusion Network. RRFN is a noise-transition modeling framework that acknowledges that observed ratings </w:t>
      </w:r>
      <m:oMath>
        <m:limUpp>
          <m:e>
            <m:r>
              <m:t>Y</m:t>
            </m:r>
          </m:e>
          <m:lim>
            <m:r>
              <m:t>~</m:t>
            </m:r>
          </m:lim>
        </m:limUpp>
      </m:oMath>
      <w:r>
        <w:rPr>
          <w:rFonts w:ascii="Times New Roman" w:hAnsi="Times New Roman"/>
          <w:sz w:val="24"/>
        </w:rPr>
        <w:t xml:space="preserve"> are noisy realizations of unobserved ground-truth clean ratings </w:t>
      </w:r>
      <m:oMath>
        <m:sSup>
          <m:e>
            <m:r>
              <m:t>Y</m:t>
            </m:r>
          </m:e>
          <m:sup>
            <m:r>
              <m:t>*</m:t>
            </m:r>
          </m:sup>
        </m:sSup>
      </m:oMath>
      <w:r>
        <w:rPr>
          <w:rFonts w:ascii="Times New Roman" w:hAnsi="Times New Roman"/>
          <w:sz w:val="24"/>
        </w:rPr>
        <w:t xml:space="preserve">. RRFN identifies high-confidence anchor items in the catalog to estimate a </w:t>
      </w:r>
      <m:oMath>
        <m:r>
          <m:t>K×K</m:t>
        </m:r>
      </m:oMath>
      <w:r>
        <w:rPr>
          <w:rFonts w:ascii="Times New Roman" w:hAnsi="Times New Roman"/>
          <w:sz w:val="24"/>
        </w:rPr>
        <w:t xml:space="preserve"> stochastic rating transition matrix </w:t>
      </w:r>
      <m:oMath>
        <m:sSub>
          <m:e>
            <m:r>
              <m:t>T</m:t>
            </m:r>
          </m:e>
          <m:sub>
            <m:r>
              <m:t>ij</m:t>
            </m:r>
          </m:sub>
        </m:sSub>
        <m:r>
          <m:t>=P(</m:t>
        </m:r>
        <m:limUpp>
          <m:e>
            <m:r>
              <m:t>Y</m:t>
            </m:r>
          </m:e>
          <m:lim>
            <m:r>
              <m:t>~</m:t>
            </m:r>
          </m:lim>
        </m:limUpp>
        <m:r>
          <m:t>=j∣</m:t>
        </m:r>
        <m:sSup>
          <m:e>
            <m:r>
              <m:t>Y</m:t>
            </m:r>
          </m:e>
          <m:sup>
            <m:r>
              <m:t>*</m:t>
            </m:r>
          </m:sup>
        </m:sSup>
        <m:r>
          <m:t>=i)</m:t>
        </m:r>
      </m:oMath>
      <w:r>
        <w:rPr>
          <w:rFonts w:ascii="Times New Roman" w:hAnsi="Times New Roman"/>
          <w:sz w:val="24"/>
        </w:rPr>
        <w:t xml:space="preserve">. By inverting this matrix using Tikhonov regularization and optimizing a forward-corrected surrogate cross-entropy loss </w:t>
      </w:r>
      <m:oMath>
        <m:sSub>
          <m:e>
            <m:r>
              <m:t>ℒ</m:t>
            </m:r>
          </m:e>
          <m:sub>
            <m:r>
              <m:rPr>
                <m:sty m:val="p"/>
              </m:rPr>
              <m:t>risk</m:t>
            </m:r>
          </m:sub>
        </m:sSub>
      </m:oMath>
      <w:r>
        <w:rPr>
          <w:rFonts w:ascii="Times New Roman" w:hAnsi="Times New Roman"/>
          <w:sz w:val="24"/>
        </w:rPr>
        <w:t>,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 xml:space="preserve">MIRF stands for the Multi-view Interaction Reliability Filter. MIRF is our novel tri-view ensemble layer that audits the authenticity of every graph edge </w:t>
      </w:r>
      <m:oMath>
        <m:d>
          <m:dPr>
            <m:sepChr m:val=","/>
          </m:dPr>
          <m:e>
            <m:r>
              <m:t>u</m:t>
            </m:r>
          </m:e>
          <m:e>
            <m:r>
              <m:t>i</m:t>
            </m:r>
          </m:e>
        </m:d>
      </m:oMath>
      <w:r>
        <w:rPr>
          <w:rFonts w:ascii="Times New Roman" w:hAnsi="Times New Roman"/>
          <w:sz w:val="24"/>
        </w:rPr>
        <w:t xml:space="preserve">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w:t>
      </w:r>
      <m:oMath>
        <m:sSub>
          <m:e>
            <m:r>
              <m:t>R</m:t>
            </m:r>
          </m:e>
          <m:sub>
            <m:r>
              <m:rPr>
                <m:sty m:val="p"/>
              </m:rPr>
              <m:t>RRFN</m:t>
            </m:r>
          </m:sub>
        </m:sSub>
      </m:oMath>
      <w:r>
        <w:rPr>
          <w:rFonts w:ascii="Times New Roman" w:hAnsi="Times New Roman"/>
          <w:sz w:val="24"/>
        </w:rPr>
        <w:t xml:space="preserve">): Measures whether the observed rating aligns with the model's expected rating under the estimated transition matrix </w:t>
      </w:r>
      <m:oMath>
        <m:r>
          <m:t>T</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w:t>
      </w:r>
      <m:oMath>
        <m:sSub>
          <m:e>
            <m:r>
              <m:t>R</m:t>
            </m:r>
          </m:e>
          <m:sub>
            <m:r>
              <m:rPr>
                <m:sty m:val="p"/>
              </m:rPr>
              <m:t>LLM</m:t>
            </m:r>
          </m:sub>
        </m:sSub>
      </m:oMath>
      <w:r>
        <w:rPr>
          <w:rFonts w:ascii="Times New Roman" w:hAnsi="Times New Roman"/>
          <w:sz w:val="24"/>
        </w:rPr>
        <w:t xml:space="preserve">): Analyzes natural language review text </w:t>
      </w:r>
      <m:oMath>
        <m:sSub>
          <m:e>
            <m:r>
              <m:t>S</m:t>
            </m:r>
          </m:e>
          <m:sub>
            <m:r>
              <m:t>ui</m:t>
            </m:r>
          </m:sub>
        </m:sSub>
      </m:oMath>
      <w:r>
        <w:rPr>
          <w:rFonts w:ascii="Times New Roman" w:hAnsi="Times New Roman"/>
          <w:sz w:val="24"/>
        </w:rPr>
        <w:t xml:space="preserve">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w:t>
      </w:r>
      <m:oMath>
        <m:sSub>
          <m:e>
            <m:r>
              <m:t>R</m:t>
            </m:r>
          </m:e>
          <m:sub>
            <m:r>
              <m:rPr>
                <m:sty m:val="p"/>
              </m:rPr>
              <m:t>bomb</m:t>
            </m:r>
          </m:sub>
        </m:sSub>
      </m:oMath>
      <w:r>
        <w:rPr>
          <w:rFonts w:ascii="Times New Roman" w:hAnsi="Times New Roman"/>
          <w:sz w:val="24"/>
        </w:rPr>
        <w:t>): Simultaneously scores sudden temporal acceleration (</w:t>
      </w:r>
      <m:oMath>
        <m:sSub>
          <m:e>
            <m:r>
              <m:t>Z</m:t>
            </m:r>
          </m:e>
          <m:sub>
            <m:r>
              <m:rPr>
                <m:sty m:val="p"/>
              </m:rPr>
              <m:t>temp</m:t>
            </m:r>
          </m:sub>
        </m:sSub>
      </m:oMath>
      <w:r>
        <w:rPr>
          <w:rFonts w:ascii="Times New Roman" w:hAnsi="Times New Roman"/>
          <w:sz w:val="24"/>
        </w:rPr>
        <w:t>) and polarity skew (</w:t>
      </w:r>
      <m:oMath>
        <m:sSub>
          <m:e>
            <m:r>
              <m:t>S</m:t>
            </m:r>
          </m:e>
          <m:sub>
            <m:r>
              <m:rPr>
                <m:sty m:val="p"/>
              </m:rPr>
              <m:t>pol</m:t>
            </m:r>
          </m:sub>
        </m:sSub>
      </m:oMath>
      <w:r>
        <w:rPr>
          <w:rFonts w:ascii="Times New Roman" w:hAnsi="Times New Roman"/>
          <w:sz w:val="24"/>
        </w:rPr>
        <w:t>) via 2D BLAS matrix operations in sub-5ms runtime.</w:t>
      </w:r>
    </w:p>
    <w:p>
      <w:pPr>
        <w:spacing w:line="360" w:lineRule="auto" w:before="0" w:after="120"/>
        <w:jc w:val="both"/>
      </w:pPr>
      <w:r>
        <w:rPr>
          <w:rFonts w:ascii="Times New Roman" w:hAnsi="Times New Roman"/>
          <w:sz w:val="24"/>
        </w:rPr>
        <w:t xml:space="preserve">MIRF synthesizes these three views into a unified continuous sample reliability weight </w:t>
      </w:r>
      <m:oMath>
        <m:sSub>
          <m:e>
            <m:r>
              <m:t>w</m:t>
            </m:r>
          </m:e>
          <m:sub>
            <m:r>
              <m:t>ui</m:t>
            </m:r>
          </m:sub>
        </m:sSub>
        <m:r>
          <m:t>∈[0,1]</m:t>
        </m:r>
      </m:oMath>
      <w:r>
        <w:rPr>
          <w:rFonts w:ascii="Times New Roman" w:hAnsi="Times New Roman"/>
          <w:sz w:val="24"/>
        </w:rPr>
        <w:t xml:space="preserve">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 xml:space="preserve">Proven Theorem 3.1 (Tikhonov operator norm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19"/>
              </w:rPr>
              <w:t xml:space="preserve">), Theorem 3.2 (excess clean risk consistency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δ+𝒪(1/</m:t>
              </m:r>
              <m:rad>
                <m:radPr>
                  <m:degHide m:val="on"/>
                </m:radPr>
                <m:deg/>
                <m:e>
                  <m:r>
                    <m:t>N</m:t>
                  </m:r>
                </m:e>
              </m:rad>
              <m:r>
                <m:t>)</m:t>
              </m:r>
            </m:oMath>
            <w:r>
              <w:rPr>
                <w:rFonts w:ascii="Times New Roman" w:hAnsi="Times New Roman"/>
                <w:sz w:val="19"/>
              </w:rPr>
              <w:t>),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w:t>
            </w:r>
            <m:oMath>
              <m:sSub>
                <m:e>
                  <m:r>
                    <m:t>R</m:t>
                  </m:r>
                </m:e>
                <m:sub>
                  <m:r>
                    <m:rPr>
                      <m:sty m:val="p"/>
                    </m:rPr>
                    <m:t>RRFN</m:t>
                  </m:r>
                </m:sub>
              </m:sSub>
            </m:oMath>
            <w:r>
              <w:rPr>
                <w:rFonts w:ascii="Times New Roman" w:hAnsi="Times New Roman"/>
                <w:b/>
                <w:sz w:val="19"/>
              </w:rPr>
              <w:t xml:space="preserve">, </w:t>
            </w:r>
            <m:oMath>
              <m:sSub>
                <m:e>
                  <m:r>
                    <m:t>R</m:t>
                  </m:r>
                </m:e>
                <m:sub>
                  <m:r>
                    <m:rPr>
                      <m:sty m:val="p"/>
                    </m:rPr>
                    <m:t>LLM</m:t>
                  </m:r>
                </m:sub>
              </m:sSub>
            </m:oMath>
            <w:r>
              <w:rPr>
                <w:rFonts w:ascii="Times New Roman" w:hAnsi="Times New Roman"/>
                <w:b/>
                <w:sz w:val="19"/>
              </w:rPr>
              <w:t xml:space="preserve">, </w:t>
            </w:r>
            <m:oMath>
              <m:sSub>
                <m:e>
                  <m:r>
                    <m:t>R</m:t>
                  </m:r>
                </m:e>
                <m:sub>
                  <m:r>
                    <m:rPr>
                      <m:sty m:val="p"/>
                    </m:rPr>
                    <m:t>bomb</m:t>
                  </m:r>
                </m:sub>
              </m:sSub>
            </m:oMath>
            <w:r>
              <w:rPr>
                <w:rFonts w:ascii="Times New Roman" w:hAnsi="Times New Roman"/>
                <w:b/>
                <w:sz w:val="19"/>
              </w:rPr>
              <w:t>),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VIVAASH KOUNDAL (23BCE5095) in fulfillment of the BCSE497J Project I requirements. While this report provides an end-to-end exposition of the complete RRFN-LLM-SUPER framework to preserve architectural coherence, the candidate's primary specialized contribution and engineering leadership lies in Risk-Aware Graph Contrastive Learning (GCL), Denoised SUPER Recommender Engine &amp; Calibrated Pareto Debiasing.</w:t>
              <w:br/>
              <w:br/>
              <w:t>Specific Responsibilities of VIVAASH KOUNDAL:</w:t>
              <w:br/>
              <w:t>Design and implementation of sample-reliability weighted InfoNCE contrastive alignment across SimGCL (latent uniform noise) and SGL (structural edge dropout), dual partition concurrent training of Head (</w:t>
            </w:r>
            <m:oMath>
              <m:sSub>
                <m:e>
                  <m:r>
                    <m:t>ℳ</m:t>
                  </m:r>
                </m:e>
                <m:sub>
                  <m:r>
                    <m:rPr>
                      <m:sty m:val="p"/>
                    </m:rPr>
                    <m:t>pop</m:t>
                  </m:r>
                </m:sub>
              </m:sSub>
            </m:oMath>
            <w:r>
              <w:rPr>
                <w:rFonts w:ascii="Times New Roman" w:hAnsi="Times New Roman"/>
                <w:sz w:val="21"/>
              </w:rPr>
              <w:t>) and Tail (</w:t>
            </w:r>
            <m:oMath>
              <m:sSub>
                <m:e>
                  <m:r>
                    <m:t>ℳ</m:t>
                  </m:r>
                </m:e>
                <m:sub>
                  <m:r>
                    <m:rPr>
                      <m:sty m:val="p"/>
                    </m:rPr>
                    <m:t>tail</m:t>
                  </m:r>
                </m:sub>
              </m:sSub>
            </m:oMath>
            <w:r>
              <w:rPr>
                <w:rFonts w:ascii="Times New Roman" w:hAnsi="Times New Roman"/>
                <w:sz w:val="21"/>
              </w:rPr>
              <w:t>) neural backbones, purified SUPER historical blueprint extraction (</w:t>
            </w:r>
            <m:oMath>
              <m:sSub>
                <m:e>
                  <m:r>
                    <m:t>w</m:t>
                  </m:r>
                </m:e>
                <m:sub>
                  <m:r>
                    <m:t>ui</m:t>
                  </m:r>
                </m:sub>
              </m:sSub>
              <m:r>
                <m:t>≥</m:t>
              </m:r>
              <m:sSub>
                <m:e>
                  <m:r>
                    <m:t>θ</m:t>
                  </m:r>
                </m:e>
                <m:sub>
                  <m:r>
                    <m:rPr>
                      <m:sty m:val="p"/>
                    </m:rPr>
                    <m:t>trust</m:t>
                  </m:r>
                </m:sub>
              </m:sSub>
            </m:oMath>
            <w:r>
              <w:rPr>
                <w:rFonts w:ascii="Times New Roman" w:hAnsi="Times New Roman"/>
                <w:sz w:val="21"/>
              </w:rPr>
              <w:t>), personalized tail inclination (</w:t>
            </w:r>
            <m:oMath>
              <m:sSub>
                <m:e>
                  <m:r>
                    <m:t>α</m:t>
                  </m:r>
                </m:e>
                <m:sub>
                  <m:r>
                    <m:t>u</m:t>
                  </m:r>
                </m:sub>
              </m:sSub>
            </m:oMath>
            <w:r>
              <w:rPr>
                <w:rFonts w:ascii="Times New Roman" w:hAnsi="Times New Roman"/>
                <w:sz w:val="21"/>
              </w:rPr>
              <w:t>) calculation, rank-calibrated trajectory interleaving, formulation of attack-aware metrics (</w:t>
            </w:r>
            <m:oMath>
              <m:r>
                <m:t>g</m:t>
              </m:r>
              <m:r>
                <m:rPr>
                  <m:nor/>
                </m:rPr>
                <m:t>-</m:t>
              </m:r>
              <m:r>
                <m:rPr>
                  <m:sty m:val="p"/>
                </m:rPr>
                <m:t>LTC</m:t>
              </m:r>
              <m:r>
                <m:t>@K</m:t>
              </m:r>
            </m:oMath>
            <w:r>
              <w:rPr>
                <w:rFonts w:ascii="Times New Roman" w:hAnsi="Times New Roman"/>
                <w:sz w:val="21"/>
              </w:rPr>
              <w:t xml:space="preserve"> and </w:t>
            </w:r>
            <m:oMath>
              <m:r>
                <m:rPr>
                  <m:sty m:val="p"/>
                </m:rPr>
                <m:t>STER</m:t>
              </m:r>
              <m:r>
                <m:t>@K</m:t>
              </m:r>
            </m:oMath>
            <w:r>
              <w:rPr>
                <w:rFonts w:ascii="Times New Roman" w:hAnsi="Times New Roman"/>
                <w:sz w:val="21"/>
              </w:rPr>
              <w:t>), and 1,000-sample Monte Carlo economic simulation.</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 xml:space="preserve">During the Netflix Prize competition (2006–2009), latent factor models based on Matrix Factorization (MF) demonstrated decisive superiority over neighborhood methods (Koren et al., 2009). Matrix factorization projects users and items into a shared low-dimensional latent embedding space </w:t>
      </w:r>
      <m:oMath>
        <m:sSup>
          <m:e>
            <m:r>
              <m:t>ℝ</m:t>
            </m:r>
          </m:e>
          <m:sup>
            <m:r>
              <m:t>d</m:t>
            </m:r>
          </m:sup>
        </m:sSup>
      </m:oMath>
      <w:r>
        <w:rPr>
          <w:rFonts w:ascii="Times New Roman" w:hAnsi="Times New Roman"/>
          <w:sz w:val="24"/>
        </w:rPr>
        <w:t xml:space="preserve">, approximating the observed rating </w:t>
      </w:r>
      <m:oMath>
        <m:sSub>
          <m:e>
            <m:r>
              <m:t>r</m:t>
            </m:r>
          </m:e>
          <m:sub>
            <m:r>
              <m:t>ui</m:t>
            </m:r>
          </m:sub>
        </m:sSub>
      </m:oMath>
      <w:r>
        <w:rPr>
          <w:rFonts w:ascii="Times New Roman" w:hAnsi="Times New Roman"/>
          <w:sz w:val="24"/>
        </w:rPr>
        <w:t xml:space="preserve"> through the inner product of user latent vector </w:t>
      </w:r>
      <m:oMath>
        <m:sSub>
          <m:e>
            <m:r>
              <m:t>𝐩</m:t>
            </m:r>
          </m:e>
          <m:sub>
            <m:r>
              <m:t>u</m:t>
            </m:r>
          </m:sub>
        </m:sSub>
      </m:oMath>
      <w:r>
        <w:rPr>
          <w:rFonts w:ascii="Times New Roman" w:hAnsi="Times New Roman"/>
          <w:sz w:val="24"/>
        </w:rPr>
        <w:t xml:space="preserve"> and item latent vector </w:t>
      </w:r>
      <m:oMath>
        <m:sSub>
          <m:e>
            <m:r>
              <m:t>𝐪</m:t>
            </m:r>
          </m:e>
          <m:sub>
            <m:r>
              <m:t>i</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acc>
                    <m:accPr>
                      <m:chr m:val="̂"/>
                    </m:accPr>
                    <m:e>
                      <m:r>
                        <m:t>r</m:t>
                      </m:r>
                    </m:e>
                  </m:acc>
                </m:e>
                <m:sub>
                  <m:r>
                    <m:t>ui</m:t>
                  </m:r>
                </m:sub>
              </m:sSub>
              <m:r>
                <m:t>=μ+</m:t>
              </m:r>
              <m:sSub>
                <m:e>
                  <m:r>
                    <m:t>b</m:t>
                  </m:r>
                </m:e>
                <m:sub>
                  <m:r>
                    <m:t>u</m:t>
                  </m:r>
                </m:sub>
              </m:sSub>
              <m:r>
                <m:t>+</m:t>
              </m:r>
              <m:sSub>
                <m:e>
                  <m:r>
                    <m:t>b</m:t>
                  </m:r>
                </m:e>
                <m:sub>
                  <m:r>
                    <m:t>i</m:t>
                  </m:r>
                </m:sub>
              </m:sSub>
              <m:r>
                <m:t>+</m:t>
              </m:r>
              <m:sSubSup>
                <m:e>
                  <m:r>
                    <m:t>𝐩</m:t>
                  </m:r>
                </m:e>
                <m:sub>
                  <m:r>
                    <m:t>u</m:t>
                  </m:r>
                </m:sub>
                <m:sup>
                  <m:r>
                    <m:t>T</m:t>
                  </m:r>
                </m:sup>
              </m:sSubSup>
              <m:sSub>
                <m:e>
                  <m:r>
                    <m:t>𝐪</m:t>
                  </m:r>
                </m:e>
                <m:sub>
                  <m:r>
                    <m:t>i</m:t>
                  </m:r>
                </m:sub>
              </m:sSub>
            </m:oMath>
          </w:p>
        </w:tc>
        <w:tc>
          <w:tcPr>
            <w:tcW w:type="dxa" w:w="1134"/>
            <w:vAlign w:val="center"/>
            <w:shd w:fill="F8F9FA"/>
          </w:tcPr>
          <w:p>
            <w:pPr>
              <w:spacing w:line="276" w:lineRule="auto" w:before="80" w:after="80"/>
              <w:jc w:val="right"/>
            </w:pPr>
            <w:r>
              <w:rPr>
                <w:rFonts w:ascii="Times New Roman" w:hAnsi="Times New Roman"/>
                <w:b/>
                <w:sz w:val="22"/>
              </w:rPr>
              <w:t>(2.1)</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r>
          <m:t>μ</m:t>
        </m:r>
      </m:oMath>
      <w:r>
        <w:rPr>
          <w:rFonts w:ascii="Times New Roman" w:hAnsi="Times New Roman"/>
          <w:sz w:val="24"/>
        </w:rPr>
        <w:t xml:space="preserve"> represents the global bias, and </w:t>
      </w:r>
      <m:oMath>
        <m:sSub>
          <m:e>
            <m:r>
              <m:t>b</m:t>
            </m:r>
          </m:e>
          <m:sub>
            <m:r>
              <m:t>u</m:t>
            </m:r>
          </m:sub>
        </m:sSub>
        <m:r>
          <m:t>,</m:t>
        </m:r>
        <m:sSub>
          <m:e>
            <m:r>
              <m:t>b</m:t>
            </m:r>
          </m:e>
          <m:sub>
            <m:r>
              <m:t>i</m:t>
            </m:r>
          </m:sub>
        </m:sSub>
      </m:oMath>
      <w:r>
        <w:rPr>
          <w:rFonts w:ascii="Times New Roman" w:hAnsi="Times New Roman"/>
          <w:sz w:val="24"/>
        </w:rPr>
        <w:t xml:space="preserve"> denote the user-specific and item-specific bias parameters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 xml:space="preserve">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w:t>
      </w:r>
      <m:oMath>
        <m:r>
          <m:t>𝒢=(𝒰,ℐ,ℰ)</m:t>
        </m:r>
      </m:oMath>
      <w:r>
        <w:rPr>
          <w:rFonts w:ascii="Times New Roman" w:hAnsi="Times New Roman"/>
          <w:sz w:val="24"/>
        </w:rPr>
        <w:t>.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𝐞</m:t>
                  </m:r>
                </m:e>
                <m:sub>
                  <m:r>
                    <m:t>u</m:t>
                  </m:r>
                </m:sub>
                <m:sup>
                  <m:d>
                    <m:dPr>
                      <m:sepChr m:val="+"/>
                    </m:dPr>
                    <m:e>
                      <m:r>
                        <m:t>l</m:t>
                      </m:r>
                    </m:e>
                    <m:e>
                      <m:r>
                        <m:t>1</m:t>
                      </m:r>
                    </m:e>
                  </m:d>
                </m:sup>
              </m:sSubSup>
              <m:r>
                <m:t>=</m:t>
              </m:r>
              <m:nary>
                <m:naryPr>
                  <m:chr m:val="∑"/>
                  <m:limLoc m:val="subSup"/>
                  <m:grow m:val="1"/>
                  <m:subHide m:val="off"/>
                  <m:supHide m:val="on"/>
                </m:naryPr>
                <m:sub>
                  <m:r>
                    <m:t>i∈</m:t>
                  </m:r>
                  <m:sSub>
                    <m:e>
                      <m:r>
                        <m:t>𝒩</m:t>
                      </m:r>
                    </m:e>
                    <m:sub>
                      <m:r>
                        <m:t>u</m:t>
                      </m:r>
                    </m:sub>
                  </m:sSub>
                </m:sub>
                <m:sup/>
                <m:e>
                  <m:f>
                    <m:fPr>
                      <m:type m:val="bar"/>
                    </m:fPr>
                    <m:num>
                      <m:r>
                        <m:t>1</m:t>
                      </m:r>
                    </m:num>
                    <m:den>
                      <m:rad>
                        <m:radPr>
                          <m:degHide m:val="on"/>
                        </m:radPr>
                        <m:deg/>
                        <m:e>
                          <m:d>
                            <m:dPr>
                              <m:begChr m:val="|"/>
                              <m:sepChr m:val=""/>
                              <m:endChr m:val="|"/>
                            </m:dPr>
                            <m:e>
                              <m:sSub>
                                <m:e>
                                  <m:r>
                                    <m:t>𝒩</m:t>
                                  </m:r>
                                </m:e>
                                <m:sub>
                                  <m:r>
                                    <m:t>u</m:t>
                                  </m:r>
                                </m:sub>
                              </m:sSub>
                              <m:r>
                                <m:t>|</m:t>
                              </m:r>
                              <m:r>
                                <m:t>·</m:t>
                              </m:r>
                              <m:r>
                                <m:t>|</m:t>
                              </m:r>
                              <m:sSub>
                                <m:e>
                                  <m:r>
                                    <m:t>𝒩</m:t>
                                  </m:r>
                                </m:e>
                                <m:sub>
                                  <m:r>
                                    <m:t>i</m:t>
                                  </m:r>
                                </m:sub>
                              </m:sSub>
                            </m:e>
                          </m:d>
                        </m:e>
                      </m:rad>
                    </m:den>
                  </m:f>
                </m:e>
              </m:nary>
              <m:sSubSup>
                <m:e>
                  <m:r>
                    <m:t>𝐞</m:t>
                  </m:r>
                </m:e>
                <m:sub>
                  <m:r>
                    <m:t>i</m:t>
                  </m:r>
                </m:sub>
                <m:sup>
                  <m:d>
                    <m:dPr>
                      <m:sepChr m:val=""/>
                    </m:dPr>
                    <m:e>
                      <m:r>
                        <m:t>l</m:t>
                      </m:r>
                    </m:e>
                  </m:d>
                </m:sup>
              </m:sSubSup>
            </m:oMath>
          </w:p>
        </w:tc>
        <w:tc>
          <w:tcPr>
            <w:tcW w:type="dxa" w:w="1134"/>
            <w:vAlign w:val="center"/>
            <w:shd w:fill="F8F9FA"/>
          </w:tcPr>
          <w:p>
            <w:pPr>
              <w:spacing w:line="276" w:lineRule="auto" w:before="80" w:after="80"/>
              <w:jc w:val="right"/>
            </w:pPr>
            <w:r>
              <w:rPr>
                <w:rFonts w:ascii="Times New Roman" w:hAnsi="Times New Roman"/>
                <w:b/>
                <w:sz w:val="22"/>
              </w:rPr>
              <w:t>(2.2)</w:t>
            </w:r>
          </w:p>
        </w:tc>
      </w:tr>
    </w:tbl>
    <w:p>
      <w:pPr>
        <w:spacing w:before="40" w:after="80" w:line="240" w:lineRule="auto"/>
      </w:pPr>
    </w:p>
    <w:p>
      <w:pPr>
        <w:spacing w:line="360" w:lineRule="auto" w:before="0" w:after="120"/>
        <w:jc w:val="both"/>
      </w:pPr>
      <w:r>
        <w:rPr>
          <w:rFonts w:ascii="Times New Roman" w:hAnsi="Times New Roman"/>
          <w:sz w:val="24"/>
        </w:rPr>
        <w:t>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 xml:space="preserve">In statistical machine learning, learning with noisy labels has been extensively studied within supervised computer vision (Patrini et al., 2017; Natarajan et al., 2013). The central premise models observed labels </w:t>
      </w:r>
      <m:oMath>
        <m:limUpp>
          <m:e>
            <m:r>
              <m:t>Y</m:t>
            </m:r>
          </m:e>
          <m:lim>
            <m:r>
              <m:t>~</m:t>
            </m:r>
          </m:lim>
        </m:limUpp>
      </m:oMath>
      <w:r>
        <w:rPr>
          <w:rFonts w:ascii="Times New Roman" w:hAnsi="Times New Roman"/>
          <w:sz w:val="24"/>
        </w:rPr>
        <w:t xml:space="preserve"> as probabilistic corruptions of true clean labels </w:t>
      </w:r>
      <m:oMath>
        <m:sSup>
          <m:e>
            <m:r>
              <m:t>Y</m:t>
            </m:r>
          </m:e>
          <m:sup>
            <m:r>
              <m:t>*</m:t>
            </m:r>
          </m:sup>
        </m:sSup>
      </m:oMath>
      <w:r>
        <w:rPr>
          <w:rFonts w:ascii="Times New Roman" w:hAnsi="Times New Roman"/>
          <w:sz w:val="24"/>
        </w:rPr>
        <w:t xml:space="preserve"> governed by a class-conditional transition matrix </w:t>
      </w:r>
      <m:oMath>
        <m:r>
          <m:t>T∈</m:t>
        </m:r>
        <m:sSup>
          <m:e>
            <m:r>
              <m:t>ℝ</m:t>
            </m:r>
          </m:e>
          <m:sup>
            <m:r>
              <m:t>K×K</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(2.3)</w:t>
            </w:r>
          </w:p>
        </w:tc>
      </w:tr>
    </w:tbl>
    <w:p>
      <w:pPr>
        <w:spacing w:before="40" w:after="80" w:line="240" w:lineRule="auto"/>
      </w:pPr>
    </w:p>
    <w:p>
      <w:pPr>
        <w:spacing w:line="360" w:lineRule="auto" w:before="0" w:after="120"/>
        <w:jc w:val="both"/>
      </w:pPr>
      <w:r>
        <w:rPr>
          <w:rFonts w:ascii="Times New Roman" w:hAnsi="Times New Roman"/>
          <w:sz w:val="24"/>
        </w:rPr>
        <w:t>Loss correction techniques generally follow two paradigms: Backward Correction, which multiplies the empirical loss vector by the inverse transition matrix: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ℓ</m:t>
                  </m:r>
                </m:e>
                <m:sub>
                  <m:r>
                    <m:rPr>
                      <m:sty m:val="p"/>
                    </m:rPr>
                    <m:t>backward</m:t>
                  </m:r>
                </m:sub>
              </m:sSub>
              <m:r>
                <m:t>=</m:t>
              </m:r>
              <m:sSup>
                <m:e>
                  <m:r>
                    <m:t>T</m:t>
                  </m:r>
                </m:e>
                <m:sup>
                  <m:r>
                    <m:t>−1</m:t>
                  </m:r>
                </m:sup>
              </m:sSup>
              <m:r>
                <m:t>ℓ(𝐩,</m:t>
              </m:r>
              <m:limUpp>
                <m:e>
                  <m:r>
                    <m:t>Y</m:t>
                  </m:r>
                </m:e>
                <m:lim>
                  <m:r>
                    <m:t>~</m:t>
                  </m:r>
                </m:lim>
              </m:limUpp>
              <m:r>
                <m:t>)</m:t>
              </m:r>
            </m:oMath>
          </w:p>
        </w:tc>
        <w:tc>
          <w:tcPr>
            <w:tcW w:type="dxa" w:w="1134"/>
            <w:vAlign w:val="center"/>
            <w:shd w:fill="F8F9FA"/>
          </w:tcPr>
          <w:p>
            <w:pPr>
              <w:spacing w:line="276" w:lineRule="auto" w:before="80" w:after="80"/>
              <w:jc w:val="right"/>
            </w:pPr>
            <w:r>
              <w:rPr>
                <w:rFonts w:ascii="Times New Roman" w:hAnsi="Times New Roman"/>
                <w:b/>
                <w:sz w:val="22"/>
              </w:rPr>
              <w:t>(2.4)</w:t>
            </w:r>
          </w:p>
        </w:tc>
      </w:tr>
    </w:tbl>
    <w:p>
      <w:pPr>
        <w:spacing w:before="40" w:after="80" w:line="240" w:lineRule="auto"/>
      </w:pPr>
    </w:p>
    <w:p>
      <w:pPr>
        <w:spacing w:line="360" w:lineRule="auto" w:before="0" w:after="120"/>
        <w:jc w:val="both"/>
      </w:pPr>
      <w:r>
        <w:rPr>
          <w:rFonts w:ascii="Times New Roman" w:hAnsi="Times New Roman"/>
          <w:sz w:val="24"/>
        </w:rPr>
        <w:t>and Forward Correction, which projects model prediction probabilities through the transition matrix: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ℓ</m:t>
                  </m:r>
                </m:e>
                <m:sub>
                  <m:r>
                    <m:rPr>
                      <m:sty m:val="p"/>
                    </m:rPr>
                    <m:t>forward</m:t>
                  </m:r>
                </m:sub>
              </m:sSub>
              <m:r>
                <m:t>=</m:t>
              </m:r>
              <m:sSub>
                <m:e>
                  <m:r>
                    <m:t>ℓ</m:t>
                  </m:r>
                </m:e>
                <m:sub>
                  <m:r>
                    <m:rPr>
                      <m:sty m:val="p"/>
                    </m:rPr>
                    <m:t>CE</m:t>
                  </m:r>
                </m:sub>
              </m:sSub>
              <m:r>
                <m:t>(</m:t>
              </m:r>
              <m:sSup>
                <m:e>
                  <m:r>
                    <m:t>T</m:t>
                  </m:r>
                </m:e>
                <m:sup>
                  <m:r>
                    <m:t>T</m:t>
                  </m:r>
                </m:sup>
              </m:sSup>
              <m:r>
                <m:t>𝐩,</m:t>
              </m:r>
              <m:limUpp>
                <m:e>
                  <m:r>
                    <m:t>Y</m:t>
                  </m:r>
                </m:e>
                <m:lim>
                  <m:r>
                    <m:t>~</m:t>
                  </m:r>
                </m:lim>
              </m:limUpp>
              <m:r>
                <m:t>)</m:t>
              </m:r>
            </m:oMath>
          </w:p>
        </w:tc>
        <w:tc>
          <w:tcPr>
            <w:tcW w:type="dxa" w:w="1134"/>
            <w:vAlign w:val="center"/>
            <w:shd w:fill="F8F9FA"/>
          </w:tcPr>
          <w:p>
            <w:pPr>
              <w:spacing w:line="276" w:lineRule="auto" w:before="80" w:after="80"/>
              <w:jc w:val="right"/>
            </w:pPr>
            <w:r>
              <w:rPr>
                <w:rFonts w:ascii="Times New Roman" w:hAnsi="Times New Roman"/>
                <w:b/>
                <w:sz w:val="22"/>
              </w:rPr>
              <w:t>(2.5)</w:t>
            </w:r>
          </w:p>
        </w:tc>
      </w:tr>
    </w:tbl>
    <w:p>
      <w:pPr>
        <w:spacing w:before="40" w:after="80" w:line="240" w:lineRule="auto"/>
      </w:pP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 xml:space="preserve">Spectral Instability: When the estimated transition matrix </w:t>
      </w:r>
      <m:oMath>
        <m:r>
          <m:t>T</m:t>
        </m:r>
      </m:oMath>
      <w:r>
        <w:rPr>
          <w:rFonts w:ascii="Times New Roman" w:hAnsi="Times New Roman"/>
          <w:sz w:val="24"/>
        </w:rPr>
        <w:t xml:space="preserve"> is ill-conditioned or nearly singular (which occurs frequently in sparse recommendation data), naive matrix inversion </w:t>
      </w:r>
      <m:oMath>
        <m:sSup>
          <m:e>
            <m:r>
              <m:t>T</m:t>
            </m:r>
          </m:e>
          <m:sup>
            <m:r>
              <m:t>−1</m:t>
            </m:r>
          </m:sup>
        </m:sSup>
      </m:oMath>
      <w:r>
        <w:rPr>
          <w:rFonts w:ascii="Times New Roman" w:hAnsi="Times New Roman"/>
          <w:sz w:val="24"/>
        </w:rPr>
        <w:t xml:space="preserve">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 xml:space="preserve">Inverse Propensity Scoring (IPS): Weights training instances by the inverse probability of item exposure, </w:t>
      </w:r>
      <m:oMath>
        <m:r>
          <m:t>P(</m:t>
        </m:r>
        <m:sSub>
          <m:e>
            <m:r>
              <m:t>O</m:t>
            </m:r>
          </m:e>
          <m:sub>
            <m:r>
              <m:t>ui</m:t>
            </m:r>
          </m:sub>
        </m:sSub>
        <m:r>
          <m:t>=1</m:t>
        </m:r>
        <m:sSup>
          <m:e>
            <m:r>
              <m:t>)</m:t>
            </m:r>
          </m:e>
          <m:sup>
            <m:r>
              <m:t>−1</m:t>
            </m:r>
          </m:sup>
        </m:sSup>
      </m:oMath>
      <w:r>
        <w:rPr>
          <w:rFonts w:ascii="Times New Roman" w:hAnsi="Times New Roman"/>
          <w:sz w:val="24"/>
        </w:rPr>
        <w:t>.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 xml:space="preserve">The catalog </w:t>
      </w:r>
      <m:oMath>
        <m:r>
          <m:t>ℐ</m:t>
        </m:r>
      </m:oMath>
      <w:r>
        <w:rPr>
          <w:rFonts w:ascii="Times New Roman" w:hAnsi="Times New Roman"/>
          <w:sz w:val="24"/>
        </w:rPr>
        <w:t xml:space="preserve"> is partitioned at a Pareto cut-off (e.g., </w:t>
      </w:r>
      <m:oMath>
        <m:r>
          <m:t>ρ=0.20</m:t>
        </m:r>
      </m:oMath>
      <w:r>
        <w:rPr>
          <w:rFonts w:ascii="Times New Roman" w:hAnsi="Times New Roman"/>
          <w:sz w:val="24"/>
        </w:rPr>
        <w:t xml:space="preserve">) into popular Head items </w:t>
      </w:r>
      <m:oMath>
        <m:sSub>
          <m:e>
            <m:r>
              <m:t>ℐ</m:t>
            </m:r>
          </m:e>
          <m:sub>
            <m:r>
              <m:rPr>
                <m:sty m:val="p"/>
              </m:rPr>
              <m:t>head</m:t>
            </m:r>
          </m:sub>
        </m:sSub>
      </m:oMath>
      <w:r>
        <w:rPr>
          <w:rFonts w:ascii="Times New Roman" w:hAnsi="Times New Roman"/>
          <w:sz w:val="24"/>
        </w:rPr>
        <w:t xml:space="preserve"> and long-tail Tail items </w:t>
      </w:r>
      <m:oMath>
        <m:sSub>
          <m:e>
            <m:r>
              <m:t>ℐ</m:t>
            </m:r>
          </m:e>
          <m:sub>
            <m:r>
              <m:rPr>
                <m:sty m:val="p"/>
              </m:rPr>
              <m:t>tail</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 xml:space="preserve">Two specialized sub-models are trained independently: a Head Model </w:t>
      </w:r>
      <m:oMath>
        <m:sSub>
          <m:e>
            <m:r>
              <m:t>M</m:t>
            </m:r>
          </m:e>
          <m:sub>
            <m:r>
              <m:rPr>
                <m:sty m:val="p"/>
              </m:rPr>
              <m:t>pop</m:t>
            </m:r>
          </m:sub>
        </m:sSub>
      </m:oMath>
      <w:r>
        <w:rPr>
          <w:rFonts w:ascii="Times New Roman" w:hAnsi="Times New Roman"/>
          <w:sz w:val="24"/>
        </w:rPr>
        <w:t xml:space="preserve"> trained exclusively on head interactions, and a Tail Model </w:t>
      </w:r>
      <m:oMath>
        <m:sSub>
          <m:e>
            <m:r>
              <m:t>M</m:t>
            </m:r>
          </m:e>
          <m:sub>
            <m:r>
              <m:rPr>
                <m:sty m:val="p"/>
              </m:rPr>
              <m:t>tail</m:t>
            </m:r>
          </m:sub>
        </m:sSub>
      </m:oMath>
      <w:r>
        <w:rPr>
          <w:rFonts w:ascii="Times New Roman" w:hAnsi="Times New Roman"/>
          <w:sz w:val="24"/>
        </w:rPr>
        <w:t xml:space="preserve">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 xml:space="preserve">For each user </w:t>
      </w:r>
      <m:oMath>
        <m:r>
          <m:t>u</m:t>
        </m:r>
      </m:oMath>
      <w:r>
        <w:rPr>
          <w:rFonts w:ascii="Times New Roman" w:hAnsi="Times New Roman"/>
          <w:sz w:val="24"/>
        </w:rPr>
        <w:t xml:space="preserve">, a personalized tail preference inclination </w:t>
      </w:r>
      <m:oMath>
        <m:sSub>
          <m:e>
            <m:r>
              <m:t>α</m:t>
            </m:r>
          </m:e>
          <m:sub>
            <m:r>
              <m:t>u</m:t>
            </m:r>
          </m:sub>
        </m:sSub>
        <m:r>
          <m:t>∈[0,1]</m:t>
        </m:r>
      </m:oMath>
      <w:r>
        <w:rPr>
          <w:rFonts w:ascii="Times New Roman" w:hAnsi="Times New Roman"/>
          <w:sz w:val="24"/>
        </w:rPr>
        <w:t xml:space="preserve"> is computed from their historical interaction blueprint </w:t>
      </w:r>
      <m:oMath>
        <m:sSub>
          <m:e>
            <m:r>
              <m:t>ℬ</m:t>
            </m:r>
          </m:e>
          <m:sub>
            <m:r>
              <m:t>u</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d>
                    <m:dPr>
                      <m:begChr m:val="|"/>
                      <m:sepChr m:val="∩"/>
                      <m:endChr m:val="|"/>
                    </m:dPr>
                    <m:e>
                      <m:sSub>
                        <m:e>
                          <m:r>
                            <m:t>ℬ</m:t>
                          </m:r>
                        </m:e>
                        <m:sub>
                          <m:r>
                            <m:t>u</m:t>
                          </m:r>
                        </m:sub>
                      </m:sSub>
                    </m:e>
                    <m:e>
                      <m:sSub>
                        <m:e>
                          <m:r>
                            <m:t>ℐ</m:t>
                          </m:r>
                        </m:e>
                        <m:sub>
                          <m:r>
                            <m:rPr>
                              <m:sty m:val="p"/>
                            </m:rPr>
                            <m:t>tail</m:t>
                          </m:r>
                        </m:sub>
                      </m:sSub>
                    </m:e>
                  </m:d>
                </m:num>
                <m:den>
                  <m:d>
                    <m:dPr>
                      <m:begChr m:val="|"/>
                      <m:sepChr m:val=""/>
                      <m:endChr m:val="|"/>
                    </m:dPr>
                    <m:e>
                      <m:sSub>
                        <m:e>
                          <m:r>
                            <m:t>ℬ</m:t>
                          </m:r>
                        </m:e>
                        <m:sub>
                          <m:r>
                            <m:t>u</m:t>
                          </m:r>
                        </m:sub>
                      </m:sSub>
                    </m:e>
                  </m:d>
                </m:den>
              </m:f>
            </m:oMath>
          </w:p>
        </w:tc>
        <w:tc>
          <w:tcPr>
            <w:tcW w:type="dxa" w:w="1134"/>
            <w:vAlign w:val="center"/>
            <w:shd w:fill="F8F9FA"/>
          </w:tcPr>
          <w:p>
            <w:pPr>
              <w:spacing w:line="276" w:lineRule="auto" w:before="80" w:after="80"/>
              <w:jc w:val="right"/>
            </w:pPr>
            <w:r>
              <w:rPr>
                <w:rFonts w:ascii="Times New Roman" w:hAnsi="Times New Roman"/>
                <w:b/>
                <w:sz w:val="22"/>
              </w:rPr>
              <w:t>(2.6)</w:t>
            </w:r>
          </w:p>
        </w:tc>
      </w:tr>
    </w:tbl>
    <w:p>
      <w:pPr>
        <w:spacing w:before="40" w:after="80" w:line="240" w:lineRule="auto"/>
      </w:pP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 xml:space="preserve">During inference, candidate recommendation lists from </w:t>
      </w:r>
      <m:oMath>
        <m:sSub>
          <m:e>
            <m:r>
              <m:t>M</m:t>
            </m:r>
          </m:e>
          <m:sub>
            <m:r>
              <m:rPr>
                <m:sty m:val="p"/>
              </m:rPr>
              <m:t>pop</m:t>
            </m:r>
          </m:sub>
        </m:sSub>
      </m:oMath>
      <w:r>
        <w:rPr>
          <w:rFonts w:ascii="Times New Roman" w:hAnsi="Times New Roman"/>
          <w:sz w:val="24"/>
        </w:rPr>
        <w:t xml:space="preserve"> and </w:t>
      </w:r>
      <m:oMath>
        <m:sSub>
          <m:e>
            <m:r>
              <m:t>M</m:t>
            </m:r>
          </m:e>
          <m:sub>
            <m:r>
              <m:rPr>
                <m:sty m:val="p"/>
              </m:rPr>
              <m:t>tail</m:t>
            </m:r>
          </m:sub>
        </m:sSub>
      </m:oMath>
      <w:r>
        <w:rPr>
          <w:rFonts w:ascii="Times New Roman" w:hAnsi="Times New Roman"/>
          <w:sz w:val="24"/>
        </w:rPr>
        <w:t xml:space="preserve"> are soft-merged by dynamically interleaving items to satisfy each user's personalized tail quota </w:t>
      </w:r>
      <m:oMath>
        <m:sSub>
          <m:e>
            <m:r>
              <m:t>α</m:t>
            </m:r>
          </m:e>
          <m:sub>
            <m:r>
              <m:t>u</m:t>
            </m:r>
          </m:sub>
        </m:sSub>
        <m:r>
          <m:t>·K</m:t>
        </m:r>
      </m:oMath>
      <w:r>
        <w:rPr>
          <w:rFonts w:ascii="Times New Roman" w:hAnsi="Times New Roman"/>
          <w:sz w:val="24"/>
        </w:rPr>
        <w:t>.</w:t>
      </w:r>
    </w:p>
    <w:p>
      <w:pPr>
        <w:spacing w:line="360" w:lineRule="auto" w:before="0" w:after="120"/>
        <w:jc w:val="both"/>
      </w:pPr>
      <w:r>
        <w:rPr>
          <w:rFonts w:ascii="Times New Roman" w:hAnsi="Times New Roman"/>
          <w:sz w:val="24"/>
        </w:rPr>
        <w:t xml:space="preserve">The Critical Vulnerability of Standalone SUP: Despite its mathematical elegance, standalone SUPER is completely defenceless against adversarial data injection. SUPER treats the historical user blueprint </w:t>
      </w:r>
      <m:oMath>
        <m:sSub>
          <m:e>
            <m:r>
              <m:t>ℬ</m:t>
            </m:r>
          </m:e>
          <m:sub>
            <m:r>
              <m:t>u</m:t>
            </m:r>
          </m:sub>
        </m:sSub>
      </m:oMath>
      <w:r>
        <w:rPr>
          <w:rFonts w:ascii="Times New Roman" w:hAnsi="Times New Roman"/>
          <w:sz w:val="24"/>
        </w:rPr>
        <w:t xml:space="preserve"> as an immaculate ground-truth oracle. When adversarial bot accounts inject fake ratings on bandwagon tail targets, SUPER incorporates these fake interactions into the blueprints </w:t>
      </w:r>
      <m:oMath>
        <m:sSub>
          <m:e>
            <m:r>
              <m:t>ℬ</m:t>
            </m:r>
          </m:e>
          <m:sub>
            <m:r>
              <m:t>u</m:t>
            </m:r>
          </m:sub>
        </m:sSub>
      </m:oMath>
      <w:r>
        <w:rPr>
          <w:rFonts w:ascii="Times New Roman" w:hAnsi="Times New Roman"/>
          <w:sz w:val="24"/>
        </w:rPr>
        <w:t xml:space="preserve">. This corrupts </w:t>
      </w:r>
      <m:oMath>
        <m:sSub>
          <m:e>
            <m:r>
              <m:t>α</m:t>
            </m:r>
          </m:e>
          <m:sub>
            <m:r>
              <m:t>u</m:t>
            </m:r>
          </m:sub>
        </m:sSub>
      </m:oMath>
      <w:r>
        <w:rPr>
          <w:rFonts w:ascii="Times New Roman" w:hAnsi="Times New Roman"/>
          <w:sz w:val="24"/>
        </w:rPr>
        <w:t>,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 xml:space="preserve">Wu et al. (2021) introduced Self-supervised Graph Learning (SGL), generating contrastive views via structural graph augmentations: Node Dropout (randomly removing vertices), Edge Dropout (randomly masking edges with probability </w:t>
      </w:r>
      <m:oMath>
        <m:sSub>
          <m:e>
            <m:r>
              <m:t>p</m:t>
            </m:r>
          </m:e>
          <m:sub>
            <m:r>
              <m:rPr>
                <m:sty m:val="p"/>
              </m:rPr>
              <m:t>drop</m:t>
            </m:r>
          </m:sub>
        </m:sSub>
      </m:oMath>
      <w:r>
        <w:rPr>
          <w:rFonts w:ascii="Times New Roman" w:hAnsi="Times New Roman"/>
          <w:sz w:val="24"/>
        </w:rPr>
        <w:t>),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𝐳</m:t>
                  </m:r>
                </m:e>
                <m:sub>
                  <m:r>
                    <m:t>i</m:t>
                  </m:r>
                </m:sub>
                <m:sup>
                  <m:r>
                    <m:t>′</m:t>
                  </m:r>
                </m:sup>
              </m:sSubSup>
              <m:r>
                <m:t>=</m:t>
              </m:r>
              <m:sSub>
                <m:e>
                  <m:r>
                    <m:t>𝐞</m:t>
                  </m:r>
                </m:e>
                <m:sub>
                  <m:r>
                    <m:t>i</m:t>
                  </m:r>
                </m:sub>
              </m:sSub>
              <m:r>
                <m:t>+ϵ·</m:t>
              </m:r>
              <m:r>
                <m:rPr>
                  <m:sty m:val="p"/>
                </m:rPr>
                <m:t>sgn</m:t>
              </m:r>
              <m:r>
                <m:t>(</m:t>
              </m:r>
              <m:sSub>
                <m:e>
                  <m:r>
                    <m:t>𝐞</m:t>
                  </m:r>
                </m:e>
                <m:sub>
                  <m:r>
                    <m:t>i</m:t>
                  </m:r>
                </m:sub>
              </m:sSub>
              <m:r>
                <m:t>)⊙</m:t>
              </m:r>
              <m:sSup>
                <m:e>
                  <m:r>
                    <m:rPr>
                      <m:sty m:val="b"/>
                    </m:rPr>
                    <m:t>Δ</m:t>
                  </m:r>
                </m:e>
                <m:sup>
                  <m:r>
                    <m:t>′</m:t>
                  </m:r>
                </m:sup>
              </m:sSup>
              <m:r>
                <m:t>,</m:t>
              </m:r>
              <m:sSup>
                <m:e>
                  <m:r>
                    <m:rPr>
                      <m:sty m:val="b"/>
                    </m:rPr>
                    <m:t>Δ</m:t>
                  </m:r>
                </m:e>
                <m:sup>
                  <m:r>
                    <m:t>′</m:t>
                  </m:r>
                </m:sup>
              </m:sSup>
              <m:r>
                <m:t>~𝒰(0,1)</m:t>
              </m:r>
            </m:oMath>
          </w:p>
        </w:tc>
        <w:tc>
          <w:tcPr>
            <w:tcW w:type="dxa" w:w="1134"/>
            <w:vAlign w:val="center"/>
            <w:shd w:fill="F8F9FA"/>
          </w:tcPr>
          <w:p>
            <w:pPr>
              <w:spacing w:line="276" w:lineRule="auto" w:before="80" w:after="80"/>
              <w:jc w:val="right"/>
            </w:pPr>
            <w:r>
              <w:rPr>
                <w:rFonts w:ascii="Times New Roman" w:hAnsi="Times New Roman"/>
                <w:b/>
                <w:sz w:val="22"/>
              </w:rPr>
              <w:t>(2.7)</w:t>
            </w:r>
          </w:p>
        </w:tc>
      </w:tr>
    </w:tbl>
    <w:p>
      <w:pPr>
        <w:spacing w:before="40" w:after="80" w:line="240" w:lineRule="auto"/>
      </w:pPr>
    </w:p>
    <w:p>
      <w:pPr>
        <w:spacing w:line="360" w:lineRule="auto" w:before="0" w:after="120"/>
        <w:jc w:val="both"/>
      </w:pPr>
      <w:r>
        <w:rPr>
          <w:rFonts w:ascii="Times New Roman" w:hAnsi="Times New Roman"/>
          <w:sz w:val="24"/>
        </w:rPr>
        <w:t>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w:t>
      </w:r>
      <m:oMath>
        <m:sSub>
          <m:e>
            <m:r>
              <m:t>R</m:t>
            </m:r>
          </m:e>
          <m:sub>
            <m:r>
              <m:rPr>
                <m:sty m:val="p"/>
              </m:rPr>
              <m:t>RRFN</m:t>
            </m:r>
          </m:sub>
        </m:sSub>
      </m:oMath>
      <w:r>
        <w:rPr>
          <w:rFonts w:ascii="Times New Roman" w:hAnsi="Times New Roman"/>
          <w:sz w:val="24"/>
        </w:rPr>
        <w:t>), semantic natural language review audits via LLMs (</w:t>
      </w:r>
      <m:oMath>
        <m:sSub>
          <m:e>
            <m:r>
              <m:t>R</m:t>
            </m:r>
          </m:e>
          <m:sub>
            <m:r>
              <m:rPr>
                <m:sty m:val="p"/>
              </m:rPr>
              <m:t>LLM</m:t>
            </m:r>
          </m:sub>
        </m:sSub>
      </m:oMath>
      <w:r>
        <w:rPr>
          <w:rFonts w:ascii="Times New Roman" w:hAnsi="Times New Roman"/>
          <w:sz w:val="24"/>
        </w:rPr>
        <w:t>), and high-performance 2D BLAS temporal-polarity burst detection (</w:t>
      </w:r>
      <m:oMath>
        <m:sSub>
          <m:e>
            <m:r>
              <m:t>R</m:t>
            </m:r>
          </m:e>
          <m:sub>
            <m:r>
              <m:rPr>
                <m:sty m:val="p"/>
              </m:rPr>
              <m:t>bomb</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 xml:space="preserve">Multi-View Interaction Reliability Filter (MIRF) — Tri-view auditing layer synthesizing statistical noise-transition estimation (Tikhonov-regularized inverse </w:t>
      </w:r>
      <m:oMath>
        <m:sSubSup>
          <m:e>
            <m:r>
              <m:t>T</m:t>
            </m:r>
          </m:e>
          <m:sub>
            <m:r>
              <m:t>λ</m:t>
            </m:r>
          </m:sub>
          <m:sup>
            <m:r>
              <m:t>†</m:t>
            </m:r>
          </m:sup>
        </m:sSubSup>
      </m:oMath>
      <w:r>
        <w:rPr>
          <w:rFonts w:ascii="Times New Roman" w:hAnsi="Times New Roman"/>
          <w:sz w:val="24"/>
        </w:rPr>
        <w:t xml:space="preserve">), asynchronous LLM review verification with thread-safe SQLite WAL caching, and 2D Level-3 BLAS vectorized burst scoring (4.95 ms for 42,000 edges) into continuous sample trust weights </w:t>
      </w:r>
      <m:oMath>
        <m:sSub>
          <m:e>
            <m:r>
              <m:t>w</m:t>
            </m:r>
          </m:e>
          <m:sub>
            <m:r>
              <m:t>ui</m:t>
            </m:r>
          </m:sub>
        </m:sSub>
        <m:r>
          <m:t>∈[0,1]</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 xml:space="preserve">Risk-Aware Graph Contrastive Learning (GCL) — GNN neighborhood smoothing (LightGCN, NeuMF) and dual stochastic augmentations (SimGCL uniform noise </w:t>
      </w:r>
      <m:oMath>
        <m:sSup>
          <m:e>
            <m:r>
              <m:t>𝐳</m:t>
            </m:r>
          </m:e>
          <m:sup>
            <m:r>
              <m:t>′</m:t>
            </m:r>
          </m:sup>
        </m:sSup>
      </m:oMath>
      <w:r>
        <w:rPr>
          <w:rFonts w:ascii="Times New Roman" w:hAnsi="Times New Roman"/>
          <w:sz w:val="24"/>
        </w:rPr>
        <w:t xml:space="preserve"> and SGL edge dropout </w:t>
      </w:r>
      <m:oMath>
        <m:sSup>
          <m:e>
            <m:r>
              <m:t>𝐀</m:t>
            </m:r>
          </m:e>
          <m:sup>
            <m:r>
              <m:t>″</m:t>
            </m:r>
          </m:sup>
        </m:sSup>
      </m:oMath>
      <w:r>
        <w:rPr>
          <w:rFonts w:ascii="Times New Roman" w:hAnsi="Times New Roman"/>
          <w:sz w:val="24"/>
        </w:rPr>
        <w:t>)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w:t>
      </w:r>
      <m:oMath>
        <m:sSub>
          <m:e>
            <m:r>
              <m:t>ℳ</m:t>
            </m:r>
          </m:e>
          <m:sub>
            <m:r>
              <m:rPr>
                <m:sty m:val="p"/>
              </m:rPr>
              <m:t>pop</m:t>
            </m:r>
          </m:sub>
        </m:sSub>
      </m:oMath>
      <w:r>
        <w:rPr>
          <w:rFonts w:ascii="Times New Roman" w:hAnsi="Times New Roman"/>
          <w:sz w:val="24"/>
        </w:rPr>
        <w:t>) and Tail expert (</w:t>
      </w:r>
      <m:oMath>
        <m:sSub>
          <m:e>
            <m:r>
              <m:t>ℳ</m:t>
            </m:r>
          </m:e>
          <m:sub>
            <m:r>
              <m:rPr>
                <m:sty m:val="p"/>
              </m:rPr>
              <m:t>tail</m:t>
            </m:r>
          </m:sub>
        </m:sSub>
      </m:oMath>
      <w:r>
        <w:rPr>
          <w:rFonts w:ascii="Times New Roman" w:hAnsi="Times New Roman"/>
          <w:sz w:val="24"/>
        </w:rPr>
        <w:t>)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w:t>
      </w:r>
      <m:oMath>
        <m:sSub>
          <m:e>
            <m:r>
              <m:t>ℬ</m:t>
            </m:r>
          </m:e>
          <m:sub>
            <m:r>
              <m:t>u</m:t>
            </m:r>
          </m:sub>
        </m:sSub>
      </m:oMath>
      <w:r>
        <w:rPr>
          <w:rFonts w:ascii="Times New Roman" w:hAnsi="Times New Roman"/>
          <w:sz w:val="24"/>
        </w:rPr>
        <w:t xml:space="preserve">) by pruning edges below </w:t>
      </w:r>
      <m:oMath>
        <m:sSub>
          <m:e>
            <m:r>
              <m:t>θ</m:t>
            </m:r>
          </m:e>
          <m:sub>
            <m:r>
              <m:rPr>
                <m:sty m:val="p"/>
              </m:rPr>
              <m:t>trust</m:t>
            </m:r>
          </m:sub>
        </m:sSub>
      </m:oMath>
      <w:r>
        <w:rPr>
          <w:rFonts w:ascii="Times New Roman" w:hAnsi="Times New Roman"/>
          <w:sz w:val="24"/>
        </w:rPr>
        <w:t>, calculates personalized tail inclination quotas (</w:t>
      </w:r>
      <m:oMath>
        <m:sSub>
          <m:e>
            <m:r>
              <m:t>α</m:t>
            </m:r>
          </m:e>
          <m:sub>
            <m:r>
              <m:t>u</m:t>
            </m:r>
          </m:sub>
        </m:sSub>
      </m:oMath>
      <w:r>
        <w:rPr>
          <w:rFonts w:ascii="Times New Roman" w:hAnsi="Times New Roman"/>
          <w:sz w:val="24"/>
        </w:rPr>
        <w:t>),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 xml:space="preserve">None. Assumes interaction graph </w:t>
            </w:r>
            <m:oMath>
              <m:r>
                <m:t>𝒢</m:t>
              </m:r>
            </m:oMath>
            <w:r>
              <w:rPr>
                <w:rFonts w:ascii="Times New Roman" w:hAnsi="Times New Roman"/>
                <w:sz w:val="19"/>
              </w:rPr>
              <w:t xml:space="preserve"> is completely clean.</w:t>
            </w:r>
          </w:p>
        </w:tc>
        <w:tc>
          <w:tcPr>
            <w:tcW w:type="dxa" w:w="3231"/>
          </w:tcPr>
          <w:p>
            <w:pPr>
              <w:spacing w:line="252" w:lineRule="auto" w:before="50" w:after="50"/>
              <w:jc w:val="center"/>
            </w:pPr>
            <w:r>
              <w:rPr>
                <w:rFonts w:ascii="Times New Roman" w:hAnsi="Times New Roman"/>
                <w:sz w:val="19"/>
              </w:rPr>
              <w:t xml:space="preserve">Robust. Corrects rating shifts via </w:t>
            </w:r>
            <m:oMath>
              <m:r>
                <m:t>T</m:t>
              </m:r>
            </m:oMath>
            <w:r>
              <w:rPr>
                <w:rFonts w:ascii="Times New Roman" w:hAnsi="Times New Roman"/>
                <w:sz w:val="19"/>
              </w:rPr>
              <w:t xml:space="preserve">, downweights poisoned edges via MIRF </w:t>
            </w:r>
            <m:oMath>
              <m:sSub>
                <m:e>
                  <m:r>
                    <m:t>w</m:t>
                  </m:r>
                </m:e>
                <m:sub>
                  <m:r>
                    <m:t>ui</m:t>
                  </m:r>
                </m:sub>
              </m:sSub>
            </m:oMath>
            <w:r>
              <w:rPr>
                <w:rFonts w:ascii="Times New Roman" w:hAnsi="Times New Roman"/>
                <w:sz w:val="19"/>
              </w:rPr>
              <w:t>,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 xml:space="preserve">Pareto item partition with unweighted blueprint tail inclination </w:t>
            </w:r>
            <m:oMath>
              <m:sSub>
                <m:e>
                  <m:r>
                    <m:t>α</m:t>
                  </m:r>
                </m:e>
                <m:sub>
                  <m:r>
                    <m:t>u</m:t>
                  </m:r>
                </m:sub>
              </m:sSub>
            </m:oMath>
            <w:r>
              <w:rPr>
                <w:rFonts w:ascii="Times New Roman" w:hAnsi="Times New Roman"/>
                <w:sz w:val="19"/>
              </w:rPr>
              <w:t>.</w:t>
            </w:r>
          </w:p>
        </w:tc>
        <w:tc>
          <w:tcPr>
            <w:tcW w:type="dxa" w:w="3231"/>
            <w:shd w:fill="F9FBFC"/>
          </w:tcPr>
          <w:p>
            <w:pPr>
              <w:spacing w:line="252" w:lineRule="auto" w:before="50" w:after="50"/>
              <w:jc w:val="center"/>
            </w:pPr>
            <w:r>
              <w:rPr>
                <w:rFonts w:ascii="Times New Roman" w:hAnsi="Times New Roman"/>
                <w:sz w:val="19"/>
              </w:rPr>
              <w:t xml:space="preserve">Denoised blueprint filtering removing fake interactions before computing calibrated user inclination </w:t>
            </w:r>
            <m:oMath>
              <m:sSub>
                <m:e>
                  <m:r>
                    <m:t>α</m:t>
                  </m:r>
                </m:e>
                <m:sub>
                  <m:r>
                    <m:t>u</m:t>
                  </m:r>
                </m:sub>
              </m:sSub>
            </m:oMath>
            <w:r>
              <w:rPr>
                <w:rFonts w:ascii="Times New Roman" w:hAnsi="Times New Roman"/>
                <w:sz w:val="19"/>
              </w:rPr>
              <w:t>.</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 xml:space="preserve">Core Stage 1 &amp; 2 foundation providing stochastic transition matrix </w:t>
            </w:r>
            <m:oMath>
              <m:r>
                <m:t>T</m:t>
              </m:r>
            </m:oMath>
            <w:r>
              <w:rPr>
                <w:rFonts w:ascii="Times New Roman" w:hAnsi="Times New Roman"/>
                <w:sz w:val="19"/>
              </w:rPr>
              <w:t xml:space="preserve"> and fused MIRF sample weights </w:t>
            </w:r>
            <m:oMath>
              <m:sSub>
                <m:e>
                  <m:r>
                    <m:t>w</m:t>
                  </m:r>
                </m:e>
                <m:sub>
                  <m:r>
                    <m:t>ui</m:t>
                  </m:r>
                </m:sub>
              </m:sSub>
            </m:oMath>
            <w:r>
              <w:rPr>
                <w:rFonts w:ascii="Times New Roman" w:hAnsi="Times New Roman"/>
                <w:sz w:val="19"/>
              </w:rPr>
              <w:t>.</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w:t>
            </w:r>
            <m:oMath>
              <m:sSub>
                <m:e>
                  <m:r>
                    <m:t>ℒ</m:t>
                  </m:r>
                </m:e>
                <m:sub>
                  <m:r>
                    <m:rPr>
                      <m:sty m:val="p"/>
                    </m:rPr>
                    <m:t>risk</m:t>
                  </m:r>
                </m:sub>
              </m:sSub>
            </m:oMath>
            <w:r>
              <w:rPr>
                <w:rFonts w:ascii="Times New Roman" w:hAnsi="Times New Roman"/>
                <w:sz w:val="19"/>
              </w:rPr>
              <w:t>) combined with contrastive InfoNCE (</w:t>
            </w:r>
            <m:oMath>
              <m:sSub>
                <m:e>
                  <m:r>
                    <m:t>ℒ</m:t>
                  </m:r>
                </m:e>
                <m:sub>
                  <m:r>
                    <m:rPr>
                      <m:sty m:val="p"/>
                    </m:rPr>
                    <m:t>cl</m:t>
                  </m:r>
                </m:sub>
              </m:sSub>
            </m:oMath>
            <w:r>
              <w:rPr>
                <w:rFonts w:ascii="Times New Roman" w:hAnsi="Times New Roman"/>
                <w:sz w:val="19"/>
              </w:rPr>
              <w:t>).</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m:oMath>
              <m:r>
                <m:t>𝒪(</m:t>
              </m:r>
              <m:sSub>
                <m:e>
                  <m:r>
                    <m:t>E</m:t>
                  </m:r>
                </m:e>
                <m:sub>
                  <m:r>
                    <m:rPr>
                      <m:sty m:val="p"/>
                    </m:rPr>
                    <m:t>epochs</m:t>
                  </m:r>
                </m:sub>
              </m:sSub>
              <m:r>
                <m:t>·|ℰ|·d+|𝒰|·|ℐ|·</m:t>
              </m:r>
              <m:r>
                <m:rPr>
                  <m:sty m:val="p"/>
                </m:rPr>
                <m:t>log</m:t>
              </m:r>
              <m:r>
                <m:t>K)</m:t>
              </m:r>
            </m:oMath>
            <w:r>
              <w:rPr>
                <w:rFonts w:ascii="Times New Roman" w:hAnsi="Times New Roman"/>
                <w:sz w:val="19"/>
              </w:rPr>
              <w:t>.</w:t>
            </w:r>
          </w:p>
        </w:tc>
        <w:tc>
          <w:tcPr>
            <w:tcW w:type="dxa" w:w="3231"/>
          </w:tcPr>
          <w:p>
            <w:pPr>
              <w:spacing w:line="252" w:lineRule="auto" w:before="50" w:after="50"/>
              <w:jc w:val="center"/>
            </w:pPr>
            <m:oMath>
              <m:r>
                <m:t>𝒪(</m:t>
              </m:r>
              <m:sSub>
                <m:e>
                  <m:r>
                    <m:t>E</m:t>
                  </m:r>
                </m:e>
                <m:sub>
                  <m:r>
                    <m:rPr>
                      <m:sty m:val="p"/>
                    </m:rPr>
                    <m:t>epochs</m:t>
                  </m:r>
                </m:sub>
              </m:sSub>
              <m:r>
                <m:t>·(L·|ℰ|·d+</m:t>
              </m:r>
              <m:sSup>
                <m:e>
                  <m:r>
                    <m:t>B</m:t>
                  </m:r>
                </m:e>
                <m:sup>
                  <m:r>
                    <m:t>2</m:t>
                  </m:r>
                </m:sup>
              </m:sSup>
              <m:r>
                <m:t>·d)+|𝒰|·|ℐ|·</m:t>
              </m:r>
              <m:r>
                <m:rPr>
                  <m:sty m:val="p"/>
                </m:rPr>
                <m:t>log</m:t>
              </m:r>
              <m:r>
                <m:t>K)</m:t>
              </m:r>
            </m:oMath>
            <w:r>
              <w:rPr>
                <w:rFonts w:ascii="Times New Roman" w:hAnsi="Times New Roman"/>
                <w:sz w:val="19"/>
              </w:rPr>
              <w:t xml:space="preserve">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m:oMath>
              <m:r>
                <m:t>𝒪((|𝒰|+|ℐ|)·d+|ℰ|)</m:t>
              </m:r>
            </m:oMath>
            <w:r>
              <w:rPr>
                <w:rFonts w:ascii="Times New Roman" w:hAnsi="Times New Roman"/>
                <w:sz w:val="19"/>
              </w:rPr>
              <w:t>.</w:t>
            </w:r>
          </w:p>
        </w:tc>
        <w:tc>
          <w:tcPr>
            <w:tcW w:type="dxa" w:w="3231"/>
            <w:shd w:fill="F9FBFC"/>
          </w:tcPr>
          <w:p>
            <w:pPr>
              <w:spacing w:line="252" w:lineRule="auto" w:before="50" w:after="50"/>
              <w:jc w:val="center"/>
            </w:pPr>
            <m:oMath>
              <m:r>
                <m:t>𝒪((|𝒰|+|ℐ|)·d+|ℰ|)</m:t>
              </m:r>
            </m:oMath>
            <w:r>
              <w:rPr>
                <w:rFonts w:ascii="Times New Roman" w:hAnsi="Times New Roman"/>
                <w:sz w:val="19"/>
              </w:rPr>
              <w:t xml:space="preserv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 xml:space="preserve">High. Bandwagon attacks corrupt </w:t>
            </w:r>
            <m:oMath>
              <m:sSub>
                <m:e>
                  <m:r>
                    <m:t>α</m:t>
                  </m:r>
                </m:e>
                <m:sub>
                  <m:r>
                    <m:t>u</m:t>
                  </m:r>
                </m:sub>
              </m:sSub>
            </m:oMath>
            <w:r>
              <w:rPr>
                <w:rFonts w:ascii="Times New Roman" w:hAnsi="Times New Roman"/>
                <w:sz w:val="19"/>
              </w:rPr>
              <w:t xml:space="preserve">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w:t>
            </w:r>
            <m:oMath>
              <m:sSub>
                <m:e>
                  <m:r>
                    <m:t>R</m:t>
                  </m:r>
                </m:e>
                <m:sub>
                  <m:r>
                    <m:rPr>
                      <m:sty m:val="p"/>
                    </m:rPr>
                    <m:t>bomb</m:t>
                  </m:r>
                </m:sub>
              </m:sSub>
              <m:r>
                <m:t>≈0</m:t>
              </m:r>
            </m:oMath>
            <w:r>
              <w:rPr>
                <w:rFonts w:ascii="Times New Roman" w:hAnsi="Times New Roman"/>
                <w:sz w:val="19"/>
              </w:rPr>
              <w:t xml:space="preserve">) and purged from blueprints </w:t>
            </w:r>
            <m:oMath>
              <m:sSub>
                <m:e>
                  <m:r>
                    <m:t>ℬ</m:t>
                  </m:r>
                </m:e>
                <m:sub>
                  <m:r>
                    <m:t>u</m:t>
                  </m:r>
                </m:sub>
              </m:sSub>
            </m:oMath>
            <w:r>
              <w:rPr>
                <w:rFonts w:ascii="Times New Roman" w:hAnsi="Times New Roman"/>
                <w:sz w:val="19"/>
              </w:rPr>
              <w:t>.</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 xml:space="preserve">Unprotected against singular matrix inversion and </w:t>
            </w:r>
            <m:oMath>
              <m:r>
                <m:t>k=0</m:t>
              </m:r>
            </m:oMath>
            <w:r>
              <w:rPr>
                <w:rFonts w:ascii="Times New Roman" w:hAnsi="Times New Roman"/>
                <w:sz w:val="19"/>
              </w:rPr>
              <w:t xml:space="preserve">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w:t>
            </w:r>
            <m:oMath>
              <m:r>
                <m:t>k</m:t>
              </m:r>
            </m:oMath>
            <w:r>
              <w:rPr>
                <w:rFonts w:ascii="Times New Roman" w:hAnsi="Times New Roman"/>
                <w:sz w:val="19"/>
              </w:rPr>
              <w:t xml:space="preserve">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 xml:space="preserve">We formalize explicit ratings as a multiclass categorization problem over </w:t>
      </w:r>
      <m:oMath>
        <m:r>
          <m:t>K</m:t>
        </m:r>
      </m:oMath>
      <w:r>
        <w:rPr>
          <w:rFonts w:ascii="Times New Roman" w:hAnsi="Times New Roman"/>
          <w:sz w:val="24"/>
        </w:rPr>
        <w:t xml:space="preserve"> discrete ordinal classes </w:t>
      </w:r>
      <m:oMath>
        <m:d>
          <m:dPr>
            <m:begChr m:val="{"/>
            <m:sepChr m:val=""/>
            <m:endChr m:val="}"/>
          </m:dPr>
          <m:e>
            <m:r>
              <m:t>1</m:t>
            </m:r>
            <m:r>
              <m:t>,</m:t>
            </m:r>
            <m:r>
              <m:t>2</m:t>
            </m:r>
            <m:r>
              <m:t>,</m:t>
            </m:r>
            <m:r>
              <m:t>…</m:t>
            </m:r>
            <m:r>
              <m:t>,</m:t>
            </m:r>
            <m:r>
              <m:t>K</m:t>
            </m:r>
          </m:e>
        </m:d>
      </m:oMath>
      <w:r>
        <w:rPr>
          <w:rFonts w:ascii="Times New Roman" w:hAnsi="Times New Roman"/>
          <w:sz w:val="24"/>
        </w:rPr>
        <w:t xml:space="preserve"> (where </w:t>
      </w:r>
      <m:oMath>
        <m:r>
          <m:t>K=5</m:t>
        </m:r>
      </m:oMath>
      <w:r>
        <w:rPr>
          <w:rFonts w:ascii="Times New Roman" w:hAnsi="Times New Roman"/>
          <w:sz w:val="24"/>
        </w:rPr>
        <w:t xml:space="preserve"> for standard 1-to-5 star platforms). Let </w:t>
      </w:r>
      <m:oMath>
        <m:sSup>
          <m:e>
            <m:r>
              <m:t>Y</m:t>
            </m:r>
          </m:e>
          <m:sup>
            <m:r>
              <m:t>*</m:t>
            </m:r>
          </m:sup>
        </m:sSup>
        <m:r>
          <m:t>∈{1,…,K}</m:t>
        </m:r>
      </m:oMath>
      <w:r>
        <w:rPr>
          <w:rFonts w:ascii="Times New Roman" w:hAnsi="Times New Roman"/>
          <w:sz w:val="24"/>
        </w:rPr>
        <w:t xml:space="preserve"> denote the unobserved true clean rating reflecting authentic user affinity, and let </w:t>
      </w:r>
      <m:oMath>
        <m:limUpp>
          <m:e>
            <m:r>
              <m:t>Y</m:t>
            </m:r>
          </m:e>
          <m:lim>
            <m:r>
              <m:t>~</m:t>
            </m:r>
          </m:lim>
        </m:limUpp>
        <m:r>
          <m:t>∈{1,…,K}</m:t>
        </m:r>
      </m:oMath>
      <w:r>
        <w:rPr>
          <w:rFonts w:ascii="Times New Roman" w:hAnsi="Times New Roman"/>
          <w:sz w:val="24"/>
        </w:rPr>
        <w:t xml:space="preserve"> represent the observed, potentially corrupted rating in the poisoned training graph. The stochastic label noise process is governed by a conditional transition matrix </w:t>
      </w:r>
      <m:oMath>
        <m:r>
          <m:t>T∈</m:t>
        </m:r>
        <m:sSup>
          <m:e>
            <m:r>
              <m:t>ℝ</m:t>
            </m:r>
          </m:e>
          <m:sup>
            <m:r>
              <m:t>K×K</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 xml:space="preserve">Let </w:t>
      </w:r>
      <m:oMath>
        <m:r>
          <m:t>𝐳(u,i)∈</m:t>
        </m:r>
        <m:sSup>
          <m:e>
            <m:r>
              <m:t>ℝ</m:t>
            </m:r>
          </m:e>
          <m:sup>
            <m:r>
              <m:t>K</m:t>
            </m:r>
          </m:sup>
        </m:sSup>
      </m:oMath>
      <w:r>
        <w:rPr>
          <w:rFonts w:ascii="Times New Roman" w:hAnsi="Times New Roman"/>
          <w:sz w:val="24"/>
        </w:rPr>
        <w:t xml:space="preserve"> denote the neural model's output logits for user-item pair </w:t>
      </w:r>
      <m:oMath>
        <m:d>
          <m:dPr>
            <m:sepChr m:val=","/>
          </m:dPr>
          <m:e>
            <m:r>
              <m:t>u</m:t>
            </m:r>
          </m:e>
          <m:e>
            <m:r>
              <m:t>i</m:t>
            </m:r>
          </m:e>
        </m:d>
      </m:oMath>
      <w:r>
        <w:rPr>
          <w:rFonts w:ascii="Times New Roman" w:hAnsi="Times New Roman"/>
          <w:sz w:val="24"/>
        </w:rPr>
        <w:t xml:space="preserve">. The predicted probability distribution over clean rating classes is parameterized via the Softmax activation function: </w:t>
      </w:r>
      <m:oMath>
        <m:r>
          <m:t>𝐩(u,i)=</m:t>
        </m:r>
        <m:r>
          <m:rPr>
            <m:sty m:val="p"/>
          </m:rPr>
          <m:t>Softmax</m:t>
        </m:r>
        <m:r>
          <m:t>(𝐳(u,i))∈</m:t>
        </m:r>
        <m:sSup>
          <m:e>
            <m:r>
              <m:t>Δ</m:t>
            </m:r>
          </m:e>
          <m:sup>
            <m:r>
              <m:t>K−1</m:t>
            </m:r>
          </m:sup>
        </m:sSup>
      </m:oMath>
      <w:r>
        <w:rPr>
          <w:rFonts w:ascii="Times New Roman" w:hAnsi="Times New Roman"/>
          <w:sz w:val="24"/>
        </w:rPr>
        <w:t xml:space="preserve">, where </w:t>
      </w:r>
      <m:oMath>
        <m:sSup>
          <m:e>
            <m:r>
              <m:t>Δ</m:t>
            </m:r>
          </m:e>
          <m:sup>
            <m:r>
              <m:t>K−1</m:t>
            </m:r>
          </m:sup>
        </m:sSup>
      </m:oMath>
      <w:r>
        <w:rPr>
          <w:rFonts w:ascii="Times New Roman" w:hAnsi="Times New Roman"/>
          <w:sz w:val="24"/>
        </w:rPr>
        <w:t xml:space="preserve">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 xml:space="preserve">Assumption 3.1 (Anchor Separability and Prior Consistency): For each rating class </w:t>
      </w:r>
      <m:oMath>
        <m:r>
          <m:t>k∈{1,…,K}</m:t>
        </m:r>
      </m:oMath>
      <w:r>
        <w:rPr>
          <w:rFonts w:ascii="Times New Roman" w:hAnsi="Times New Roman"/>
          <w:sz w:val="24"/>
        </w:rPr>
        <w:t xml:space="preserve">, there exists a subset of consensus anchor items </w:t>
      </w:r>
      <m:oMath>
        <m:sSub>
          <m:e>
            <m:r>
              <m:t>𝒜</m:t>
            </m:r>
          </m:e>
          <m:sub>
            <m:r>
              <m:t>k</m:t>
            </m:r>
          </m:sub>
        </m:sSub>
        <m:r>
          <m:t>⊂ℐ</m:t>
        </m:r>
      </m:oMath>
      <w:r>
        <w:rPr>
          <w:rFonts w:ascii="Times New Roman" w:hAnsi="Times New Roman"/>
          <w:sz w:val="24"/>
        </w:rPr>
        <w:t xml:space="preserve"> identified via cross-user rating agreement such that </w:t>
      </w:r>
      <m:oMath>
        <m:r>
          <m:t>P(</m:t>
        </m:r>
        <m:sSup>
          <m:e>
            <m:r>
              <m:t>Y</m:t>
            </m:r>
          </m:e>
          <m:sup>
            <m:r>
              <m:t>*</m:t>
            </m:r>
          </m:sup>
        </m:sSup>
        <m:r>
          <m:t>=k∣i∈</m:t>
        </m:r>
        <m:sSub>
          <m:e>
            <m:r>
              <m:t>𝒜</m:t>
            </m:r>
          </m:e>
          <m:sub>
            <m:r>
              <m:t>k</m:t>
            </m:r>
          </m:sub>
        </m:sSub>
        <m:r>
          <m:t>)≥1−</m:t>
        </m:r>
        <m:sSub>
          <m:e>
            <m:r>
              <m:t>ϵ</m:t>
            </m:r>
          </m:e>
          <m:sub>
            <m:r>
              <m:rPr>
                <m:sty m:val="p"/>
              </m:rPr>
              <m:t>anchor</m:t>
            </m:r>
          </m:sub>
        </m:sSub>
      </m:oMath>
      <w:r>
        <w:rPr>
          <w:rFonts w:ascii="Times New Roman" w:hAnsi="Times New Roman"/>
          <w:sz w:val="24"/>
        </w:rPr>
        <w:t xml:space="preserve">. This enables consistent empirical estimation of the anchor transition prior </w:t>
      </w:r>
      <m:oMath>
        <m:sSub>
          <m:e>
            <m:acc>
              <m:accPr>
                <m:chr m:val="̂"/>
              </m:accPr>
              <m:e>
                <m:r>
                  <m:t>T</m:t>
                </m:r>
              </m:e>
            </m:acc>
          </m:e>
          <m:sub>
            <m:r>
              <m:t>kj</m:t>
            </m:r>
          </m:sub>
        </m:sSub>
        <m:r>
          <m:t>=</m:t>
        </m:r>
        <m:f>
          <m:fPr>
            <m:type m:val="bar"/>
          </m:fPr>
          <m:num>
            <m:r>
              <m:t>1</m:t>
            </m:r>
          </m:num>
          <m:den>
            <m:d>
              <m:dPr>
                <m:begChr m:val="|"/>
                <m:sepChr m:val=""/>
                <m:endChr m:val="|"/>
              </m:dPr>
              <m:e>
                <m:sSub>
                  <m:e>
                    <m:r>
                      <m:t>𝒜</m:t>
                    </m:r>
                  </m:e>
                  <m:sub>
                    <m:r>
                      <m:t>k</m:t>
                    </m:r>
                  </m:sub>
                </m:sSub>
              </m:e>
            </m:d>
          </m:den>
        </m:f>
        <m:nary>
          <m:naryPr>
            <m:chr m:val="∑"/>
            <m:limLoc m:val="subSup"/>
            <m:grow m:val="1"/>
            <m:subHide m:val="off"/>
            <m:supHide m:val="on"/>
          </m:naryPr>
          <m:sub>
            <m:r>
              <m:t>i∈</m:t>
            </m:r>
            <m:sSub>
              <m:e>
                <m:r>
                  <m:t>𝒜</m:t>
                </m:r>
              </m:e>
              <m:sub>
                <m:r>
                  <m:t>k</m:t>
                </m:r>
              </m:sub>
            </m:sSub>
          </m:sub>
          <m:sup/>
          <m:e>
            <m:r>
              <m:t>P(</m:t>
            </m:r>
          </m:e>
        </m:nary>
        <m:sSub>
          <m:e>
            <m:limUpp>
              <m:e>
                <m:r>
                  <m:t>r</m:t>
                </m:r>
              </m:e>
              <m:lim>
                <m:r>
                  <m:t>~</m:t>
                </m:r>
              </m:lim>
            </m:limUpp>
          </m:e>
          <m:sub>
            <m:r>
              <m:t>ui</m:t>
            </m:r>
          </m:sub>
        </m:sSub>
        <m:r>
          <m:t>=j)</m:t>
        </m:r>
      </m:oMath>
      <w:r>
        <w:rPr>
          <w:rFonts w:ascii="Times New Roman" w:hAnsi="Times New Roman"/>
          <w:sz w:val="24"/>
        </w:rPr>
        <w:t xml:space="preserve">, satisfying Frobenius estimation error </w:t>
      </w:r>
      <m:oMath>
        <m:r>
          <m:t>‖</m:t>
        </m:r>
        <m:acc>
          <m:accPr>
            <m:chr m:val="̂"/>
          </m:accPr>
          <m:e>
            <m:r>
              <m:t>T</m:t>
            </m:r>
          </m:e>
        </m:acc>
        <m:r>
          <m:t>−</m:t>
        </m:r>
        <m:sSup>
          <m:e>
            <m:r>
              <m:t>T</m:t>
            </m:r>
          </m:e>
          <m:sup>
            <m:r>
              <m:t>*</m:t>
            </m:r>
          </m:sup>
        </m:sSup>
        <m:sSub>
          <m:e>
            <m:r>
              <m:t>‖</m:t>
            </m:r>
          </m:e>
          <m:sub>
            <m:r>
              <m:t>F</m:t>
            </m:r>
          </m:sub>
        </m:sSub>
        <m:r>
          <m:t>≤δ</m:t>
        </m:r>
      </m:oMath>
      <w:r>
        <w:rPr>
          <w:rFonts w:ascii="Times New Roman" w:hAnsi="Times New Roman"/>
          <w:sz w:val="24"/>
        </w:rPr>
        <w:t>.</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 xml:space="preserve">Assumption 3.2 (Bounded Logits and Non-Singular Transition Spectrum): The neural model logits satisfy </w:t>
      </w:r>
      <m:oMath>
        <m:r>
          <m:t>‖𝐳(u,i)</m:t>
        </m:r>
        <m:sSub>
          <m:e>
            <m:r>
              <m:t>‖</m:t>
            </m:r>
          </m:e>
          <m:sub>
            <m:r>
              <m:t>∞</m:t>
            </m:r>
          </m:sub>
        </m:sSub>
        <m:r>
          <m:t>≤C&lt;∞</m:t>
        </m:r>
      </m:oMath>
      <w:r>
        <w:rPr>
          <w:rFonts w:ascii="Times New Roman" w:hAnsi="Times New Roman"/>
          <w:sz w:val="24"/>
        </w:rPr>
        <w:t xml:space="preserve"> for a universal constant </w:t>
      </w:r>
      <m:oMath>
        <m:r>
          <m:t>C</m:t>
        </m:r>
      </m:oMath>
      <w:r>
        <w:rPr>
          <w:rFonts w:ascii="Times New Roman" w:hAnsi="Times New Roman"/>
          <w:sz w:val="24"/>
        </w:rPr>
        <w:t xml:space="preserve">, and the ground-truth transition matrix </w:t>
      </w:r>
      <m:oMath>
        <m:sSup>
          <m:e>
            <m:r>
              <m:t>T</m:t>
            </m:r>
          </m:e>
          <m:sup>
            <m:r>
              <m:t>*</m:t>
            </m:r>
          </m:sup>
        </m:sSup>
      </m:oMath>
      <w:r>
        <w:rPr>
          <w:rFonts w:ascii="Times New Roman" w:hAnsi="Times New Roman"/>
          <w:sz w:val="24"/>
        </w:rPr>
        <w:t xml:space="preserve"> is regular with strictly positive minimum singular value: </w:t>
      </w:r>
      <m:oMath>
        <m:sSub>
          <m:e>
            <m:r>
              <m:t>σ</m:t>
            </m:r>
          </m:e>
          <m:sub>
            <m:r>
              <m:t>min</m:t>
            </m:r>
          </m:sub>
        </m:sSub>
        <m:r>
          <m:t>(</m:t>
        </m:r>
        <m:sSup>
          <m:e>
            <m:r>
              <m:t>T</m:t>
            </m:r>
          </m:e>
          <m:sup>
            <m:r>
              <m:t>*</m:t>
            </m:r>
          </m:sup>
        </m:sSup>
        <m:r>
          <m:t>)≥</m:t>
        </m:r>
        <m:sSub>
          <m:e>
            <m:r>
              <m:t>σ</m:t>
            </m:r>
          </m:e>
          <m:sub>
            <m:r>
              <m:t>0</m:t>
            </m:r>
          </m:sub>
        </m:sSub>
        <m:r>
          <m:t>&gt;0</m:t>
        </m:r>
      </m:oMath>
      <w:r>
        <w:rPr>
          <w:rFonts w:ascii="Times New Roman" w:hAnsi="Times New Roman"/>
          <w:sz w:val="24"/>
        </w:rPr>
        <w:t>.</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 xml:space="preserve">In practical recommender systems, empirical transition matrices estimated from sparse interaction subsets frequently suffer from near-singularity, high condition numbers </w:t>
      </w:r>
      <m:oMath>
        <m:r>
          <m:t>κ(T)=</m:t>
        </m:r>
        <m:f>
          <m:fPr>
            <m:type m:val="bar"/>
          </m:fPr>
          <m:num>
            <m:sSub>
              <m:e>
                <m:r>
                  <m:t>σ</m:t>
                </m:r>
              </m:e>
              <m:sub>
                <m:r>
                  <m:t>max</m:t>
                </m:r>
              </m:sub>
            </m:sSub>
            <m:r>
              <m:t>(T)</m:t>
            </m:r>
          </m:num>
          <m:den>
            <m:sSub>
              <m:e>
                <m:r>
                  <m:t>σ</m:t>
                </m:r>
              </m:e>
              <m:sub>
                <m:r>
                  <m:t>min</m:t>
                </m:r>
              </m:sub>
            </m:sSub>
            <m:r>
              <m:t>(T)</m:t>
            </m:r>
          </m:den>
        </m:f>
        <m:r>
          <m:t>≫1</m:t>
        </m:r>
      </m:oMath>
      <w:r>
        <w:rPr>
          <w:rFonts w:ascii="Times New Roman" w:hAnsi="Times New Roman"/>
          <w:sz w:val="24"/>
        </w:rPr>
        <w:t xml:space="preserve">, and numerical ill-conditioning. If backward loss correction or confidence inversion is attempted via naive matrix inversion </w:t>
      </w:r>
      <m:oMath>
        <m:sSup>
          <m:e>
            <m:r>
              <m:t>T</m:t>
            </m:r>
          </m:e>
          <m:sup>
            <m:r>
              <m:t>−1</m:t>
            </m:r>
          </m:sup>
        </m:sSup>
      </m:oMath>
      <w:r>
        <w:rPr>
          <w:rFonts w:ascii="Times New Roman" w:hAnsi="Times New Roman"/>
          <w:sz w:val="24"/>
        </w:rPr>
        <w:t xml:space="preserve">, small estimation perturbations </w:t>
      </w:r>
      <m:oMath>
        <m:r>
          <m:t>δ</m:t>
        </m:r>
      </m:oMath>
      <w:r>
        <w:rPr>
          <w:rFonts w:ascii="Times New Roman" w:hAnsi="Times New Roman"/>
          <w:sz w:val="24"/>
        </w:rPr>
        <w:t xml:space="preserve"> in </w:t>
      </w:r>
      <m:oMath>
        <m:r>
          <m:t>T</m:t>
        </m:r>
      </m:oMath>
      <w:r>
        <w:rPr>
          <w:rFonts w:ascii="Times New Roman" w:hAnsi="Times New Roman"/>
          <w:sz w:val="24"/>
        </w:rPr>
        <w:t xml:space="preserve"> are amplified by </w:t>
      </w:r>
      <m:oMath>
        <m:r>
          <m:t>κ(T)</m:t>
        </m:r>
      </m:oMath>
      <w:r>
        <w:rPr>
          <w:rFonts w:ascii="Times New Roman" w:hAnsi="Times New Roman"/>
          <w:sz w:val="24"/>
        </w:rPr>
        <w:t>, causing explosive gradient updates that collapse neural training.</w:t>
      </w:r>
    </w:p>
    <w:p>
      <w:pPr>
        <w:spacing w:line="360" w:lineRule="auto" w:before="0" w:after="120"/>
        <w:jc w:val="both"/>
      </w:pPr>
      <w:r>
        <w:rPr>
          <w:rFonts w:ascii="Times New Roman" w:hAnsi="Times New Roman"/>
          <w:sz w:val="24"/>
        </w:rPr>
        <w:t xml:space="preserve">To guarantee unconditional spectral stability, we introduce Tikhonov regularization into the noise inversion operator. For a regularization parameter </w:t>
      </w:r>
      <m:oMath>
        <m:r>
          <m:t>λ&gt;0</m:t>
        </m:r>
      </m:oMath>
      <w:r>
        <w:rPr>
          <w:rFonts w:ascii="Times New Roman" w:hAnsi="Times New Roman"/>
          <w:sz w:val="24"/>
        </w:rPr>
        <w:t>,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 xml:space="preserve">Rather than relying on backward loss division, we implement a forward-corrected surrogate loss regularized against the consensus anchor prior </w:t>
      </w:r>
      <m:oMath>
        <m:acc>
          <m:accPr>
            <m:chr m:val="̂"/>
          </m:accPr>
          <m:e>
            <m:r>
              <m:t>T</m:t>
            </m:r>
          </m:e>
        </m:acc>
      </m:oMath>
      <w:r>
        <w:rPr>
          <w:rFonts w:ascii="Times New Roman" w:hAnsi="Times New Roman"/>
          <w:sz w:val="24"/>
        </w:rPr>
        <w:t xml:space="preserve">. Given a mini-batch of interactions </w:t>
      </w:r>
      <m:oMath>
        <m:r>
          <m:t>ℬ</m:t>
        </m:r>
      </m:oMath>
      <w:r>
        <w:rPr>
          <w:rFonts w:ascii="Times New Roman" w:hAnsi="Times New Roman"/>
          <w:sz w:val="24"/>
        </w:rPr>
        <w:t xml:space="preserve"> with sample reliability weights </w:t>
      </w:r>
      <m:oMath>
        <m:sSub>
          <m:e>
            <m:r>
              <m:t>w</m:t>
            </m:r>
          </m:e>
          <m:sub>
            <m:r>
              <m:t>i</m:t>
            </m:r>
          </m:sub>
        </m:sSub>
      </m:oMath>
      <w:r>
        <w:rPr>
          <w:rFonts w:ascii="Times New Roman" w:hAnsi="Times New Roman"/>
          <w:sz w:val="24"/>
        </w:rPr>
        <w:t>,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ℓ</m:t>
            </m:r>
          </m:e>
          <m:sub>
            <m:r>
              <m:rPr>
                <m:sty m:val="p"/>
              </m:rPr>
              <m:t>CE</m:t>
            </m:r>
          </m:sub>
        </m:sSub>
        <m:r>
          <m:t>(</m:t>
        </m:r>
        <m:limUpp>
          <m:e>
            <m:r>
              <m:t>𝐩</m:t>
            </m:r>
          </m:e>
          <m:lim>
            <m:r>
              <m:t>~</m:t>
            </m:r>
          </m:lim>
        </m:limUpp>
        <m:r>
          <m:t>,</m:t>
        </m:r>
        <m:limUpp>
          <m:e>
            <m:r>
              <m:t>𝐲</m:t>
            </m:r>
          </m:e>
          <m:lim>
            <m:r>
              <m:t>~</m:t>
            </m:r>
          </m:lim>
        </m:limUpp>
        <m:r>
          <m:t>)=−</m:t>
        </m:r>
        <m:nary>
          <m:naryPr>
            <m:chr m:val="∑"/>
            <m:limLoc m:val="subSup"/>
            <m:grow m:val="1"/>
            <m:subHide m:val="off"/>
            <m:supHide m:val="off"/>
          </m:naryPr>
          <m:sub>
            <m:r>
              <m:t>k=1</m:t>
            </m:r>
          </m:sub>
          <m:sup>
            <m:r>
              <m:t>K</m:t>
            </m:r>
          </m:sup>
          <m:e>
            <m:sSub>
              <m:e>
                <m:limUpp>
                  <m:e>
                    <m:r>
                      <m:t>y</m:t>
                    </m:r>
                  </m:e>
                  <m:lim>
                    <m:r>
                      <m:t>~</m:t>
                    </m:r>
                  </m:lim>
                </m:limUpp>
              </m:e>
              <m:sub>
                <m:r>
                  <m:t>k</m:t>
                </m:r>
              </m:sub>
            </m:sSub>
          </m:e>
        </m:nary>
        <m:r>
          <m:rPr>
            <m:sty m:val="p"/>
          </m:rPr>
          <m:t>log</m:t>
        </m:r>
        <m:r>
          <m:t>(</m:t>
        </m:r>
        <m:sSub>
          <m:e>
            <m:limUpp>
              <m:e>
                <m:r>
                  <m:t>p</m:t>
                </m:r>
              </m:e>
              <m:lim>
                <m:r>
                  <m:t>~</m:t>
                </m:r>
              </m:lim>
            </m:limUpp>
          </m:e>
          <m:sub>
            <m:r>
              <m:t>k</m:t>
            </m:r>
          </m:sub>
        </m:sSub>
        <m:r>
          <m:t>)</m:t>
        </m:r>
      </m:oMath>
      <w:r>
        <w:rPr>
          <w:rFonts w:ascii="Times New Roman" w:hAnsi="Times New Roman"/>
          <w:sz w:val="24"/>
        </w:rPr>
        <w:t xml:space="preserve"> is the categorical cross-entropy loss, and </w:t>
      </w:r>
      <m:oMath>
        <m:sSub>
          <m:e>
            <m:r>
              <m:t>β</m:t>
            </m:r>
          </m:e>
          <m:sub>
            <m:r>
              <m:rPr>
                <m:sty m:val="p"/>
              </m:rPr>
              <m:t>reg</m:t>
            </m:r>
          </m:sub>
        </m:sSub>
      </m:oMath>
      <w:r>
        <w:rPr>
          <w:rFonts w:ascii="Times New Roman" w:hAnsi="Times New Roman"/>
          <w:sz w:val="24"/>
        </w:rPr>
        <w:t xml:space="preserve">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 xml:space="preserve">The first signal view evaluates whether the observed numeric rating </w:t>
      </w:r>
      <m:oMath>
        <m:sSub>
          <m:e>
            <m:limUpp>
              <m:e>
                <m:r>
                  <m:t>r</m:t>
                </m:r>
              </m:e>
              <m:lim>
                <m:r>
                  <m:t>~</m:t>
                </m:r>
              </m:lim>
            </m:limUpp>
          </m:e>
          <m:sub>
            <m:r>
              <m:t>ui</m:t>
            </m:r>
          </m:sub>
        </m:sSub>
      </m:oMath>
      <w:r>
        <w:rPr>
          <w:rFonts w:ascii="Times New Roman" w:hAnsi="Times New Roman"/>
          <w:sz w:val="24"/>
        </w:rPr>
        <w:t xml:space="preserve"> deviates abnormally from the expected clean rating predicted by the neural backbone. Given model prediction distribution </w:t>
      </w:r>
      <m:oMath>
        <m:r>
          <m:t>𝐩(u,i)</m:t>
        </m:r>
      </m:oMath>
      <w:r>
        <w:rPr>
          <w:rFonts w:ascii="Times New Roman" w:hAnsi="Times New Roman"/>
          <w:sz w:val="24"/>
        </w:rPr>
        <w:t xml:space="preserve">, the expected clean rating is </w:t>
      </w:r>
      <m:oMath>
        <m:sSub>
          <m:e>
            <m:r>
              <m:t>𝔼</m:t>
            </m:r>
          </m:e>
          <m:sub>
            <m:r>
              <m:t>𝐩</m:t>
            </m:r>
          </m:sub>
        </m:sSub>
        <m:r>
          <m:t>[</m:t>
        </m:r>
        <m:sSup>
          <m:e>
            <m:r>
              <m:t>Y</m:t>
            </m:r>
          </m:e>
          <m:sup>
            <m:r>
              <m:t>*</m:t>
            </m:r>
          </m:sup>
        </m:sSup>
        <m:r>
          <m:t>]=</m:t>
        </m:r>
        <m:nary>
          <m:naryPr>
            <m:chr m:val="∑"/>
            <m:limLoc m:val="subSup"/>
            <m:grow m:val="1"/>
            <m:subHide m:val="off"/>
            <m:supHide m:val="off"/>
          </m:naryPr>
          <m:sub>
            <m:r>
              <m:t>k=1</m:t>
            </m:r>
          </m:sub>
          <m:sup>
            <m:r>
              <m:t>K</m:t>
            </m:r>
          </m:sup>
          <m:e>
            <m:r>
              <m:t>k·</m:t>
            </m:r>
          </m:e>
        </m:nary>
        <m:sSub>
          <m:e>
            <m:r>
              <m:t>p</m:t>
            </m:r>
          </m:e>
          <m:sub>
            <m:r>
              <m:t>k</m:t>
            </m:r>
          </m:sub>
        </m:sSub>
        <m:r>
          <m:t>(u,i)</m:t>
        </m:r>
      </m:oMath>
      <w:r>
        <w:rPr>
          <w:rFonts w:ascii="Times New Roman" w:hAnsi="Times New Roman"/>
          <w:sz w:val="24"/>
        </w:rPr>
        <w:t>.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σ</m:t>
            </m:r>
          </m:e>
          <m:sub>
            <m:r>
              <m:rPr>
                <m:sty m:val="p"/>
              </m:rPr>
              <m:t>RRFN</m:t>
            </m:r>
          </m:sub>
        </m:sSub>
      </m:oMath>
      <w:r>
        <w:rPr>
          <w:rFonts w:ascii="Times New Roman" w:hAnsi="Times New Roman"/>
          <w:sz w:val="24"/>
        </w:rPr>
        <w:t xml:space="preserve"> controls the sensitivity bandwidth. Interactions with high prediction residual (e.g., a bot injecting a 5-star rating on an item whose collaborative representation strongly indicates low preference) receive low reliability </w:t>
      </w:r>
      <m:oMath>
        <m:sSub>
          <m:e>
            <m:r>
              <m:t>R</m:t>
            </m:r>
          </m:e>
          <m:sub>
            <m:r>
              <m:rPr>
                <m:sty m:val="p"/>
              </m:rPr>
              <m:t>RRFN</m:t>
            </m:r>
          </m:sub>
        </m:sSub>
        <m:r>
          <m:t>→0</m:t>
        </m:r>
      </m:oMath>
      <w:r>
        <w:rPr>
          <w:rFonts w:ascii="Times New Roman" w:hAnsi="Times New Roman"/>
          <w:sz w:val="24"/>
        </w:rPr>
        <w:t>.</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 xml:space="preserve">When an interaction edge includes natural language review text </w:t>
      </w:r>
      <m:oMath>
        <m:sSub>
          <m:e>
            <m:r>
              <m:t>S</m:t>
            </m:r>
          </m:e>
          <m:sub>
            <m:r>
              <m:t>ui</m:t>
            </m:r>
          </m:sub>
        </m:sSub>
      </m:oMath>
      <w:r>
        <w:rPr>
          <w:rFonts w:ascii="Times New Roman" w:hAnsi="Times New Roman"/>
          <w:sz w:val="24"/>
        </w:rPr>
        <w:t xml:space="preserve">, MIRF deploys a Large Language Model audit query. The LLM evaluates two crucial authenticity criteria: (1) Sentiment Polarity Consistency (does the semantic sentiment expressed in the text align with numeric score </w:t>
      </w:r>
      <m:oMath>
        <m:sSub>
          <m:e>
            <m:limUpp>
              <m:e>
                <m:r>
                  <m:t>r</m:t>
                </m:r>
              </m:e>
              <m:lim>
                <m:r>
                  <m:t>~</m:t>
                </m:r>
              </m:lim>
            </m:limUpp>
          </m:e>
          <m:sub>
            <m:r>
              <m:t>ui</m:t>
            </m:r>
          </m:sub>
        </m:sSub>
      </m:oMath>
      <w:r>
        <w:rPr>
          <w:rFonts w:ascii="Times New Roman" w:hAnsi="Times New Roman"/>
          <w:sz w:val="24"/>
        </w:rPr>
        <w:t>?),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 xml:space="preserve">For datasets devoid of review text (such as MovieLens-1M), </w:t>
      </w:r>
      <m:oMath>
        <m:r>
          <m:t>β</m:t>
        </m:r>
      </m:oMath>
      <w:r>
        <w:rPr>
          <w:rFonts w:ascii="Times New Roman" w:hAnsi="Times New Roman"/>
          <w:sz w:val="24"/>
        </w:rPr>
        <w:t xml:space="preserve">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 xml:space="preserve">For each item </w:t>
      </w:r>
      <m:oMath>
        <m:r>
          <m:t>i</m:t>
        </m:r>
      </m:oMath>
      <w:r>
        <w:rPr>
          <w:rFonts w:ascii="Times New Roman" w:hAnsi="Times New Roman"/>
          <w:sz w:val="24"/>
        </w:rPr>
        <w:t xml:space="preserve"> at timestamp </w:t>
      </w:r>
      <m:oMath>
        <m:r>
          <m:t>t</m:t>
        </m:r>
      </m:oMath>
      <w:r>
        <w:rPr>
          <w:rFonts w:ascii="Times New Roman" w:hAnsi="Times New Roman"/>
          <w:sz w:val="24"/>
        </w:rPr>
        <w:t xml:space="preserve">, we compute the temporal acceleration </w:t>
      </w:r>
      <m:oMath>
        <m:sSub>
          <m:e>
            <m:r>
              <m:t>Z</m:t>
            </m:r>
          </m:e>
          <m:sub>
            <m:r>
              <m:rPr>
                <m:sty m:val="p"/>
              </m:rPr>
              <m:t>temp</m:t>
            </m:r>
          </m:sub>
        </m:sSub>
      </m:oMath>
      <w:r>
        <w:rPr>
          <w:rFonts w:ascii="Times New Roman" w:hAnsi="Times New Roman"/>
          <w:sz w:val="24"/>
        </w:rPr>
        <w:t xml:space="preserve"> and polarity skew </w:t>
      </w:r>
      <m:oMath>
        <m:sSub>
          <m:e>
            <m:r>
              <m:t>S</m:t>
            </m:r>
          </m:e>
          <m:sub>
            <m:r>
              <m:rPr>
                <m:sty m:val="p"/>
              </m:rPr>
              <m:t>pol</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D</m:t>
            </m:r>
          </m:e>
          <m:sub>
            <m:r>
              <m:rPr>
                <m:sty m:val="p"/>
              </m:rPr>
              <m:t>recent</m:t>
            </m:r>
          </m:sub>
        </m:sSub>
        <m:r>
          <m:t>(i,t)</m:t>
        </m:r>
      </m:oMath>
      <w:r>
        <w:rPr>
          <w:rFonts w:ascii="Times New Roman" w:hAnsi="Times New Roman"/>
          <w:sz w:val="24"/>
        </w:rPr>
        <w:t xml:space="preserve"> denotes the rolling 7-day interaction density, </w:t>
      </w:r>
      <m:oMath>
        <m:sSub>
          <m:e>
            <m:r>
              <m:t>μ</m:t>
            </m:r>
          </m:e>
          <m:sub>
            <m:r>
              <m:t>D</m:t>
            </m:r>
          </m:sub>
        </m:sSub>
      </m:oMath>
      <w:r>
        <w:rPr>
          <w:rFonts w:ascii="Times New Roman" w:hAnsi="Times New Roman"/>
          <w:sz w:val="24"/>
        </w:rPr>
        <w:t xml:space="preserve"> and </w:t>
      </w:r>
      <m:oMath>
        <m:sSub>
          <m:e>
            <m:r>
              <m:t>σ</m:t>
            </m:r>
          </m:e>
          <m:sub>
            <m:r>
              <m:t>D</m:t>
            </m:r>
          </m:sub>
        </m:sSub>
      </m:oMath>
      <w:r>
        <w:rPr>
          <w:rFonts w:ascii="Times New Roman" w:hAnsi="Times New Roman"/>
          <w:sz w:val="24"/>
        </w:rPr>
        <w:t xml:space="preserve"> denote historical density baseline parameters, and </w:t>
      </w:r>
      <m:oMath>
        <m:sSub>
          <m:e>
            <m:r>
              <m:t>N</m:t>
            </m:r>
          </m:e>
          <m:sub>
            <m:r>
              <m:t>1</m:t>
            </m:r>
          </m:sub>
        </m:sSub>
        <m:r>
          <m:t>,</m:t>
        </m:r>
        <m:sSub>
          <m:e>
            <m:r>
              <m:t>N</m:t>
            </m:r>
          </m:e>
          <m:sub>
            <m:r>
              <m:t>5</m:t>
            </m:r>
          </m:sub>
        </m:sSub>
      </m:oMath>
      <w:r>
        <w:rPr>
          <w:rFonts w:ascii="Times New Roman" w:hAnsi="Times New Roman"/>
          <w:sz w:val="24"/>
        </w:rPr>
        <w:t xml:space="preserve">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 xml:space="preserve">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w:t>
      </w:r>
      <m:oMath>
        <m:r>
          <m:rPr>
            <m:sty m:val="p"/>
          </m:rPr>
          <m:t>Score_Matrix</m:t>
        </m:r>
        <m:r>
          <m:t>=W·</m:t>
        </m:r>
        <m:r>
          <m:rPr>
            <m:sty m:val="p"/>
          </m:rPr>
          <m:t>Feature_Tensor</m:t>
        </m:r>
      </m:oMath>
      <w:r>
        <w:rPr>
          <w:rFonts w:ascii="Times New Roman" w:hAnsi="Times New Roman"/>
          <w:sz w:val="24"/>
        </w:rPr>
        <w:t>,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 xml:space="preserve">The unified sample reliability weight </w:t>
      </w:r>
      <m:oMath>
        <m:sSub>
          <m:e>
            <m:r>
              <m:t>w</m:t>
            </m:r>
          </m:e>
          <m:sub>
            <m:r>
              <m:t>ui</m:t>
            </m:r>
          </m:sub>
        </m:sSub>
        <m:r>
          <m:t>=</m:t>
        </m:r>
        <m:sSub>
          <m:e>
            <m:r>
              <m:t>R</m:t>
            </m:r>
          </m:e>
          <m:sub>
            <m:r>
              <m:rPr>
                <m:sty m:val="p"/>
              </m:rPr>
              <m:t>MIRF</m:t>
            </m:r>
          </m:sub>
        </m:sSub>
        <m:r>
          <m:t>(u,i)∈[0,1]</m:t>
        </m:r>
      </m:oMath>
      <w:r>
        <w:rPr>
          <w:rFonts w:ascii="Times New Roman" w:hAnsi="Times New Roman"/>
          <w:sz w:val="24"/>
        </w:rPr>
        <w:t xml:space="preserve">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 xml:space="preserve">To prevent malicious interaction edges from corrupting high-order graph representations, we integrate Graph Contrastive Learning (GCL) backbones with our reliability weights. For SimGCL, augmented representations </w:t>
      </w:r>
      <m:oMath>
        <m:sSubSup>
          <m:e>
            <m:r>
              <m:t>𝐳</m:t>
            </m:r>
          </m:e>
          <m:sub>
            <m:r>
              <m:t>i</m:t>
            </m:r>
          </m:sub>
          <m:sup>
            <m:r>
              <m:t>′</m:t>
            </m:r>
          </m:sup>
        </m:sSubSup>
        <m:r>
          <m:t>,</m:t>
        </m:r>
        <m:sSup>
          <m:e>
            <m:sSubSup>
              <m:e>
                <m:r>
                  <m:t>𝐳</m:t>
                </m:r>
              </m:e>
              <m:sub>
                <m:r>
                  <m:t>i</m:t>
                </m:r>
              </m:sub>
              <m:sup>
                <m:r>
                  <m:t>′</m:t>
                </m:r>
              </m:sup>
            </m:sSubSup>
          </m:e>
          <m:sup>
            <m:r>
              <m:t>′</m:t>
            </m:r>
          </m:sup>
        </m:sSup>
      </m:oMath>
      <w:r>
        <w:rPr>
          <w:rFonts w:ascii="Times New Roman" w:hAnsi="Times New Roman"/>
          <w:sz w:val="24"/>
        </w:rPr>
        <w:t xml:space="preserve"> are generated by injecting latent uniform noise: </w:t>
      </w:r>
      <m:oMath>
        <m:sSubSup>
          <m:e>
            <m:r>
              <m:t>𝐳</m:t>
            </m:r>
          </m:e>
          <m:sub>
            <m:r>
              <m:t>i</m:t>
            </m:r>
          </m:sub>
          <m:sup>
            <m:r>
              <m:t>′</m:t>
            </m:r>
          </m:sup>
        </m:sSubSup>
        <m:r>
          <m:t>=</m:t>
        </m:r>
        <m:sSub>
          <m:e>
            <m:r>
              <m:t>𝐞</m:t>
            </m:r>
          </m:e>
          <m:sub>
            <m:r>
              <m:t>i</m:t>
            </m:r>
          </m:sub>
        </m:sSub>
        <m:r>
          <m:t>+ϵ·</m:t>
        </m:r>
        <m:r>
          <m:rPr>
            <m:sty m:val="p"/>
          </m:rPr>
          <m:t>sgn</m:t>
        </m:r>
        <m:r>
          <m:t>(</m:t>
        </m:r>
        <m:sSub>
          <m:e>
            <m:r>
              <m:t>𝐞</m:t>
            </m:r>
          </m:e>
          <m:sub>
            <m:r>
              <m:t>i</m:t>
            </m:r>
          </m:sub>
        </m:sSub>
        <m:r>
          <m:t>)⊙</m:t>
        </m:r>
        <m:sSup>
          <m:e>
            <m:r>
              <m:rPr>
                <m:sty m:val="b"/>
              </m:rPr>
              <m:t>Δ</m:t>
            </m:r>
          </m:e>
          <m:sup>
            <m:r>
              <m:t>′</m:t>
            </m:r>
          </m:sup>
        </m:sSup>
        <m:r>
          <m:t>,</m:t>
        </m:r>
        <m:sSup>
          <m:e>
            <m:r>
              <m:rPr>
                <m:sty m:val="b"/>
              </m:rPr>
              <m:t>Δ</m:t>
            </m:r>
          </m:e>
          <m:sup>
            <m:r>
              <m:t>′</m:t>
            </m:r>
          </m:sup>
        </m:sSup>
        <m:r>
          <m:t>~𝒰(0,1)</m:t>
        </m:r>
      </m:oMath>
      <w:r>
        <w:rPr>
          <w:rFonts w:ascii="Times New Roman" w:hAnsi="Times New Roman"/>
          <w:sz w:val="24"/>
        </w:rPr>
        <w:t xml:space="preserve">. For SGL, augmented views are constructed via structural edge dropout: </w:t>
      </w:r>
      <m:oMath>
        <m:sSup>
          <m:e>
            <m:acc>
              <m:accPr>
                <m:chr m:val="̂"/>
              </m:accPr>
              <m:e>
                <m:r>
                  <m:t>A</m:t>
                </m:r>
              </m:e>
            </m:acc>
          </m:e>
          <m:sup>
            <m:r>
              <m:t>′</m:t>
            </m:r>
          </m:sup>
        </m:sSup>
        <m:r>
          <m:t>=(</m:t>
        </m:r>
        <m:sSup>
          <m:e>
            <m:r>
              <m:t>M</m:t>
            </m:r>
          </m:e>
          <m:sup>
            <m:r>
              <m:t>′</m:t>
            </m:r>
          </m:sup>
        </m:sSup>
        <m:r>
          <m:t>⊙A)</m:t>
        </m:r>
        <m:sSup>
          <m:e>
            <m:r>
              <m:t>D</m:t>
            </m:r>
          </m:e>
          <m:sup>
            <m:r>
              <m:t>′</m:t>
            </m:r>
            <m:r>
              <m:t>−1</m:t>
            </m:r>
          </m:sup>
        </m:sSup>
      </m:oMath>
      <w:r>
        <w:rPr>
          <w:rFonts w:ascii="Times New Roman" w:hAnsi="Times New Roman"/>
          <w:sz w:val="24"/>
        </w:rPr>
        <w:t>.</w:t>
      </w:r>
    </w:p>
    <w:p>
      <w:pPr>
        <w:spacing w:line="360" w:lineRule="auto" w:before="0" w:after="120"/>
        <w:jc w:val="both"/>
      </w:pPr>
      <w:r>
        <w:rPr>
          <w:rFonts w:ascii="Times New Roman" w:hAnsi="Times New Roman"/>
          <w:sz w:val="24"/>
        </w:rPr>
        <w:t xml:space="preserve">Standard GCL minimizes an unweighted InfoNCE loss over all batch items. Under our framework, we formulate the Risk-Aware InfoNCE Loss, directly modulated by the MIRF sample reliability weights </w:t>
      </w:r>
      <m:oMath>
        <m:sSub>
          <m:e>
            <m:r>
              <m:t>w</m:t>
            </m:r>
          </m:e>
          <m:sub>
            <m:r>
              <m:t>i</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 xml:space="preserve">Notice the crucial mathematical mechanism: when an interaction edge is poisoned or injected by a bot, MIRF assigns </w:t>
      </w:r>
      <m:oMath>
        <m:sSub>
          <m:e>
            <m:r>
              <m:t>w</m:t>
            </m:r>
          </m:e>
          <m:sub>
            <m:r>
              <m:t>i</m:t>
            </m:r>
          </m:sub>
        </m:sSub>
        <m:r>
          <m:t>→0</m:t>
        </m:r>
      </m:oMath>
      <w:r>
        <w:rPr>
          <w:rFonts w:ascii="Times New Roman" w:hAnsi="Times New Roman"/>
          <w:sz w:val="24"/>
        </w:rPr>
        <w:t xml:space="preserve">. Consequently, the contrastive pull force for that edge vanishes entirely from </w:t>
      </w:r>
      <m:oMath>
        <m:sSub>
          <m:e>
            <m:r>
              <m:t>ℒ</m:t>
            </m:r>
          </m:e>
          <m:sub>
            <m:r>
              <m:rPr>
                <m:sty m:val="p"/>
              </m:rPr>
              <m:t>cl</m:t>
            </m:r>
          </m:sub>
        </m:sSub>
      </m:oMath>
      <w:r>
        <w:rPr>
          <w:rFonts w:ascii="Times New Roman" w:hAnsi="Times New Roman"/>
          <w:sz w:val="24"/>
        </w:rPr>
        <w:t>, preventing poisoned representations from distorting the self-supervised embedding geometry.</w:t>
      </w:r>
    </w:p>
    <w:p>
      <w:pPr>
        <w:spacing w:line="360" w:lineRule="auto" w:before="0" w:after="120"/>
        <w:jc w:val="both"/>
      </w:pPr>
      <w:r>
        <w:rPr>
          <w:rFonts w:ascii="Times New Roman" w:hAnsi="Times New Roman"/>
          <w:sz w:val="24"/>
        </w:rPr>
        <w:t xml:space="preserve">Dual Partition Training: The catalog </w:t>
      </w:r>
      <m:oMath>
        <m:r>
          <m:t>ℐ</m:t>
        </m:r>
      </m:oMath>
      <w:r>
        <w:rPr>
          <w:rFonts w:ascii="Times New Roman" w:hAnsi="Times New Roman"/>
          <w:sz w:val="24"/>
        </w:rPr>
        <w:t xml:space="preserve"> is partitioned at Pareto ratio </w:t>
      </w:r>
      <m:oMath>
        <m:sSub>
          <m:e>
            <m:r>
              <m:t>ρ</m:t>
            </m:r>
          </m:e>
          <m:sub>
            <m:r>
              <m:rPr>
                <m:sty m:val="p"/>
              </m:rPr>
              <m:t>pareto</m:t>
            </m:r>
          </m:sub>
        </m:sSub>
        <m:r>
          <m:t>=0.20</m:t>
        </m:r>
      </m:oMath>
      <w:r>
        <w:rPr>
          <w:rFonts w:ascii="Times New Roman" w:hAnsi="Times New Roman"/>
          <w:sz w:val="24"/>
        </w:rPr>
        <w:t xml:space="preserve"> into Head catalog </w:t>
      </w:r>
      <m:oMath>
        <m:sSub>
          <m:e>
            <m:r>
              <m:t>ℐ</m:t>
            </m:r>
          </m:e>
          <m:sub>
            <m:r>
              <m:rPr>
                <m:sty m:val="p"/>
              </m:rPr>
              <m:t>head</m:t>
            </m:r>
          </m:sub>
        </m:sSub>
      </m:oMath>
      <w:r>
        <w:rPr>
          <w:rFonts w:ascii="Times New Roman" w:hAnsi="Times New Roman"/>
          <w:sz w:val="24"/>
        </w:rPr>
        <w:t xml:space="preserve"> and Tail catalog </w:t>
      </w:r>
      <m:oMath>
        <m:sSub>
          <m:e>
            <m:r>
              <m:t>ℐ</m:t>
            </m:r>
          </m:e>
          <m:sub>
            <m:r>
              <m:rPr>
                <m:sty m:val="p"/>
              </m:rPr>
              <m:t>tail</m:t>
            </m:r>
          </m:sub>
        </m:sSub>
      </m:oMath>
      <w:r>
        <w:rPr>
          <w:rFonts w:ascii="Times New Roman" w:hAnsi="Times New Roman"/>
          <w:sz w:val="24"/>
        </w:rPr>
        <w:t>.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 xml:space="preserve">During recommendation inference, the system purifies each user's historical interaction blueprint by discarding edges whose reliability falls below trust threshold </w:t>
      </w:r>
      <m:oMath>
        <m:sSub>
          <m:e>
            <m:r>
              <m:t>θ</m:t>
            </m:r>
          </m:e>
          <m:sub>
            <m:r>
              <m:rPr>
                <m:sty m:val="p"/>
              </m:rPr>
              <m:t>trust</m:t>
            </m:r>
          </m:sub>
        </m:sSub>
      </m:oMath>
      <w:r>
        <w:rPr>
          <w:rFonts w:ascii="Times New Roman" w:hAnsi="Times New Roman"/>
          <w:sz w:val="24"/>
        </w:rPr>
        <w:t xml:space="preserve"> (e.g., </w:t>
      </w:r>
      <m:oMath>
        <m:sSub>
          <m:e>
            <m:r>
              <m:t>θ</m:t>
            </m:r>
          </m:e>
          <m:sub>
            <m:r>
              <m:rPr>
                <m:sty m:val="p"/>
              </m:rPr>
              <m:t>trust</m:t>
            </m:r>
          </m:sub>
        </m:sSub>
        <m:r>
          <m:t>=0.50</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 xml:space="preserve">The personalized tail inclination </w:t>
      </w:r>
      <m:oMath>
        <m:sSub>
          <m:e>
            <m:r>
              <m:t>α</m:t>
            </m:r>
          </m:e>
          <m:sub>
            <m:r>
              <m:t>u</m:t>
            </m:r>
          </m:sub>
        </m:sSub>
        <m:r>
          <m:t>∈[0,1]</m:t>
        </m:r>
      </m:oMath>
      <w:r>
        <w:rPr>
          <w:rFonts w:ascii="Times New Roman" w:hAnsi="Times New Roman"/>
          <w:sz w:val="24"/>
        </w:rPr>
        <w:t xml:space="preserve">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sz w:val="21"/>
        </w:rPr>
        <w:t>SUPER Denoised Blueprint and Calibrated Quota Merging Workflow, illustrating the purification of user history via MIRF trust filtering (</w:t>
      </w:r>
      <m:oMath>
        <m:sSub>
          <m:e>
            <m:r>
              <m:t>w</m:t>
            </m:r>
          </m:e>
          <m:sub>
            <m:r>
              <m:t>ui</m:t>
            </m:r>
          </m:sub>
        </m:sSub>
        <m:r>
          <m:t>≥</m:t>
        </m:r>
        <m:sSub>
          <m:e>
            <m:r>
              <m:t>θ</m:t>
            </m:r>
          </m:e>
          <m:sub>
            <m:r>
              <m:rPr>
                <m:sty m:val="p"/>
              </m:rPr>
              <m:t>trust</m:t>
            </m:r>
          </m:sub>
        </m:sSub>
      </m:oMath>
      <w:r>
        <w:rPr>
          <w:rFonts w:ascii="Times New Roman" w:hAnsi="Times New Roman"/>
          <w:sz w:val="21"/>
        </w:rPr>
        <w:t xml:space="preserve">) to compute honest personalized tail inclination </w:t>
      </w:r>
      <m:oMath>
        <m:sSub>
          <m:e>
            <m:r>
              <m:t>α</m:t>
            </m:r>
          </m:e>
          <m:sub>
            <m:r>
              <m:t>u</m:t>
            </m:r>
          </m:sub>
        </m:sSub>
      </m:oMath>
      <w:r>
        <w:rPr>
          <w:rFonts w:ascii="Times New Roman" w:hAnsi="Times New Roman"/>
          <w:sz w:val="21"/>
        </w:rPr>
        <w:t xml:space="preserve"> and assemble top-</w:t>
      </w:r>
      <m:oMath>
        <m:r>
          <m:t>K</m:t>
        </m:r>
      </m:oMath>
      <w:r>
        <w:rPr>
          <w:rFonts w:ascii="Times New Roman" w:hAnsi="Times New Roman"/>
          <w:sz w:val="21"/>
        </w:rPr>
        <w:t xml:space="preserve"> recommendations via rank-calibrated trajectory interleaving.</w:t>
      </w:r>
    </w:p>
    <w:p>
      <w:pPr>
        <w:spacing w:line="360" w:lineRule="auto" w:before="0" w:after="120"/>
        <w:jc w:val="both"/>
      </w:pPr>
      <w:r>
        <w:rPr>
          <w:rFonts w:ascii="Times New Roman" w:hAnsi="Times New Roman"/>
          <w:sz w:val="24"/>
        </w:rPr>
        <w:t xml:space="preserve">Top-K Assembly via Rank-Calibrated Trajectory Interleaving: Rather than applying fixed quota splitting, the recommendation list is assembled greedily rank-by-rank across ranks </w:t>
      </w:r>
      <m:oMath>
        <m:r>
          <m:t>k∈{1,…,K}</m:t>
        </m:r>
      </m:oMath>
      <w:r>
        <w:rPr>
          <w:rFonts w:ascii="Times New Roman" w:hAnsi="Times New Roman"/>
          <w:sz w:val="24"/>
        </w:rPr>
        <w:t xml:space="preserve">. Let </w:t>
      </w:r>
      <m:oMath>
        <m:sSub>
          <m:e>
            <m:r>
              <m:t>c</m:t>
            </m:r>
          </m:e>
          <m:sub>
            <m:r>
              <m:rPr>
                <m:sty m:val="p"/>
              </m:rPr>
              <m:t>tail</m:t>
            </m:r>
          </m:sub>
        </m:sSub>
        <m:r>
          <m:t>(k−1)</m:t>
        </m:r>
      </m:oMath>
      <w:r>
        <w:rPr>
          <w:rFonts w:ascii="Times New Roman" w:hAnsi="Times New Roman"/>
          <w:sz w:val="24"/>
        </w:rPr>
        <w:t xml:space="preserve"> denote the cumulative count of tail items selected up to rank </w:t>
      </w:r>
      <m:oMath>
        <m:r>
          <m:t>k−1</m:t>
        </m:r>
      </m:oMath>
      <w:r>
        <w:rPr>
          <w:rFonts w:ascii="Times New Roman" w:hAnsi="Times New Roman"/>
          <w:sz w:val="24"/>
        </w:rPr>
        <w:t xml:space="preserve">. At rank </w:t>
      </w:r>
      <m:oMath>
        <m:r>
          <m:t>k</m:t>
        </m:r>
      </m:oMath>
      <w:r>
        <w:rPr>
          <w:rFonts w:ascii="Times New Roman" w:hAnsi="Times New Roman"/>
          <w:sz w:val="24"/>
        </w:rPr>
        <w:t xml:space="preserve">, if </w:t>
      </w:r>
      <m:oMath>
        <m:f>
          <m:fPr>
            <m:type m:val="bar"/>
          </m:fPr>
          <m:num>
            <m:sSub>
              <m:e>
                <m:r>
                  <m:t>c</m:t>
                </m:r>
              </m:e>
              <m:sub>
                <m:r>
                  <m:rPr>
                    <m:sty m:val="p"/>
                  </m:rPr>
                  <m:t>tail</m:t>
                </m:r>
              </m:sub>
            </m:sSub>
            <m:r>
              <m:t>(k−1)+1</m:t>
            </m:r>
          </m:num>
          <m:den>
            <m:r>
              <m:t>k</m:t>
            </m:r>
          </m:den>
        </m:f>
        <m:r>
          <m:t>≤</m:t>
        </m:r>
        <m:sSub>
          <m:e>
            <m:r>
              <m:t>α</m:t>
            </m:r>
          </m:e>
          <m:sub>
            <m:r>
              <m:t>u</m:t>
            </m:r>
          </m:sub>
        </m:sSub>
      </m:oMath>
      <w:r>
        <w:rPr>
          <w:rFonts w:ascii="Times New Roman" w:hAnsi="Times New Roman"/>
          <w:sz w:val="24"/>
        </w:rPr>
        <w:t xml:space="preserve">, the top unselected candidate from the Tail model queue </w:t>
      </w:r>
      <m:oMath>
        <m:sSub>
          <m:e>
            <m:r>
              <m:t>𝒞</m:t>
            </m:r>
          </m:e>
          <m:sub>
            <m:r>
              <m:rPr>
                <m:sty m:val="p"/>
              </m:rPr>
              <m:t>tail</m:t>
            </m:r>
          </m:sub>
        </m:sSub>
        <m:r>
          <m:t>⧵</m:t>
        </m:r>
        <m:sSub>
          <m:e>
            <m:r>
              <m:t>ℬ</m:t>
            </m:r>
          </m:e>
          <m:sub>
            <m:r>
              <m:t>u</m:t>
            </m:r>
          </m:sub>
        </m:sSub>
      </m:oMath>
      <w:r>
        <w:rPr>
          <w:rFonts w:ascii="Times New Roman" w:hAnsi="Times New Roman"/>
          <w:sz w:val="24"/>
        </w:rPr>
        <w:t xml:space="preserve"> is appended; otherwise, the top candidate from the Head model queue </w:t>
      </w:r>
      <m:oMath>
        <m:sSub>
          <m:e>
            <m:r>
              <m:t>𝒞</m:t>
            </m:r>
          </m:e>
          <m:sub>
            <m:r>
              <m:rPr>
                <m:sty m:val="p"/>
              </m:rPr>
              <m:t>head</m:t>
            </m:r>
          </m:sub>
        </m:sSub>
        <m:r>
          <m:t>⧵</m:t>
        </m:r>
        <m:sSub>
          <m:e>
            <m:r>
              <m:t>ℬ</m:t>
            </m:r>
          </m:e>
          <m:sub>
            <m:r>
              <m:t>u</m:t>
            </m:r>
          </m:sub>
        </m:sSub>
      </m:oMath>
      <w:r>
        <w:rPr>
          <w:rFonts w:ascii="Times New Roman" w:hAnsi="Times New Roman"/>
          <w:sz w:val="24"/>
        </w:rPr>
        <w:t xml:space="preserve">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 xml:space="preserve">Theorem 3.1 (Spectral Operator Norm Bound and Gradient Stability): Let </w:t>
      </w:r>
      <m:oMath>
        <m:r>
          <m:t>T∈</m:t>
        </m:r>
        <m:sSup>
          <m:e>
            <m:r>
              <m:t>ℝ</m:t>
            </m:r>
          </m:e>
          <m:sup>
            <m:r>
              <m:t>K×K</m:t>
            </m:r>
          </m:sup>
        </m:sSup>
      </m:oMath>
      <w:r>
        <w:rPr>
          <w:rFonts w:ascii="Times New Roman" w:hAnsi="Times New Roman"/>
          <w:sz w:val="24"/>
        </w:rPr>
        <w:t xml:space="preserve"> have singular value decomposition </w:t>
      </w:r>
      <m:oMath>
        <m:r>
          <m:t>T=UΣ</m:t>
        </m:r>
        <m:sSup>
          <m:e>
            <m:r>
              <m:t>V</m:t>
            </m:r>
          </m:e>
          <m:sup>
            <m:r>
              <m:t>T</m:t>
            </m:r>
          </m:sup>
        </m:sSup>
      </m:oMath>
      <w:r>
        <w:rPr>
          <w:rFonts w:ascii="Times New Roman" w:hAnsi="Times New Roman"/>
          <w:sz w:val="24"/>
        </w:rPr>
        <w:t xml:space="preserve"> with singular values </w:t>
      </w:r>
      <m:oMath>
        <m:sSub>
          <m:e>
            <m:r>
              <m:t>σ</m:t>
            </m:r>
          </m:e>
          <m:sub>
            <m:r>
              <m:t>1</m:t>
            </m:r>
          </m:sub>
        </m:sSub>
        <m:r>
          <m:t>≥</m:t>
        </m:r>
        <m:sSub>
          <m:e>
            <m:r>
              <m:t>σ</m:t>
            </m:r>
          </m:e>
          <m:sub>
            <m:r>
              <m:t>2</m:t>
            </m:r>
          </m:sub>
        </m:sSub>
        <m:r>
          <m:t>≥…≥</m:t>
        </m:r>
        <m:sSub>
          <m:e>
            <m:r>
              <m:t>σ</m:t>
            </m:r>
          </m:e>
          <m:sub>
            <m:r>
              <m:t>K</m:t>
            </m:r>
          </m:sub>
        </m:sSub>
        <m:r>
          <m:t>≥0</m:t>
        </m:r>
      </m:oMath>
      <w:r>
        <w:rPr>
          <w:rFonts w:ascii="Times New Roman" w:hAnsi="Times New Roman"/>
          <w:sz w:val="24"/>
        </w:rPr>
        <w:t xml:space="preserve">. For any Tikhonov regularization parameter </w:t>
      </w:r>
      <m:oMath>
        <m:r>
          <m:t>λ&gt;0</m:t>
        </m:r>
      </m:oMath>
      <w:r>
        <w:rPr>
          <w:rFonts w:ascii="Times New Roman" w:hAnsi="Times New Roman"/>
          <w:sz w:val="24"/>
        </w:rPr>
        <w:t xml:space="preserve">, the spectral operator norm of the regularized pseudo-inverse </w:t>
      </w:r>
      <m:oMath>
        <m:sSubSup>
          <m:e>
            <m:r>
              <m:t>T</m:t>
            </m:r>
          </m:e>
          <m:sub>
            <m:r>
              <m:t>λ</m:t>
            </m:r>
          </m:sub>
          <m:sup>
            <m:r>
              <m:t>†</m:t>
            </m:r>
          </m:sup>
        </m:sSubSup>
        <m:r>
          <m:t>=(</m:t>
        </m:r>
        <m:sSup>
          <m:e>
            <m:r>
              <m:t>T</m:t>
            </m:r>
          </m:e>
          <m:sup>
            <m:r>
              <m:t>T</m:t>
            </m:r>
          </m:sup>
        </m:sSup>
        <m:r>
          <m:t>T+λI</m:t>
        </m:r>
        <m:sSup>
          <m:e>
            <m:r>
              <m:t>)</m:t>
            </m:r>
          </m:e>
          <m:sup>
            <m:r>
              <m:t>−1</m:t>
            </m:r>
          </m:sup>
        </m:sSup>
        <m:sSup>
          <m:e>
            <m:r>
              <m:t>T</m:t>
            </m:r>
          </m:e>
          <m:sup>
            <m:r>
              <m:t>T</m:t>
            </m:r>
          </m:sup>
        </m:sSup>
      </m:oMath>
      <w:r>
        <w:rPr>
          <w:rFonts w:ascii="Times New Roman" w:hAnsi="Times New Roman"/>
          <w:sz w:val="24"/>
        </w:rPr>
        <w:t xml:space="preserve">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 xml:space="preserve">Furthermore, for the forward-corrected surrogate loss </w:t>
      </w:r>
      <m:oMath>
        <m:sSub>
          <m:e>
            <m:r>
              <m:t>ℒ</m:t>
            </m:r>
          </m:e>
          <m:sub>
            <m:r>
              <m:rPr>
                <m:sty m:val="p"/>
              </m:rPr>
              <m:t>risk</m:t>
            </m:r>
          </m:sub>
        </m:sSub>
        <m:r>
          <m:t>=</m:t>
        </m:r>
        <m:sSub>
          <m:e>
            <m:r>
              <m:t>ℓ</m:t>
            </m:r>
          </m:e>
          <m:sub>
            <m:r>
              <m:rPr>
                <m:sty m:val="p"/>
              </m:rPr>
              <m:t>CE</m:t>
            </m:r>
          </m:sub>
        </m:sSub>
        <m:r>
          <m:t>(</m:t>
        </m:r>
        <m:sSup>
          <m:e>
            <m:r>
              <m:t>T</m:t>
            </m:r>
          </m:e>
          <m:sup>
            <m:r>
              <m:t>T</m:t>
            </m:r>
          </m:sup>
        </m:sSup>
        <m:r>
          <m:t>𝐩(X),</m:t>
        </m:r>
        <m:limUpp>
          <m:e>
            <m:r>
              <m:t>y</m:t>
            </m:r>
          </m:e>
          <m:lim>
            <m:r>
              <m:t>~</m:t>
            </m:r>
          </m:lim>
        </m:limUpp>
        <m:r>
          <m:t>)</m:t>
        </m:r>
      </m:oMath>
      <w:r>
        <w:rPr>
          <w:rFonts w:ascii="Times New Roman" w:hAnsi="Times New Roman"/>
          <w:sz w:val="24"/>
        </w:rPr>
        <w:t xml:space="preserve"> with </w:t>
      </w:r>
      <m:oMath>
        <m:sSub>
          <m:e>
            <m:r>
              <m:t>L</m:t>
            </m:r>
          </m:e>
          <m:sub>
            <m:r>
              <m:rPr>
                <m:sty m:val="p"/>
              </m:rPr>
              <m:t>loss</m:t>
            </m:r>
          </m:sub>
        </m:sSub>
      </m:oMath>
      <w:r>
        <w:rPr>
          <w:rFonts w:ascii="Times New Roman" w:hAnsi="Times New Roman"/>
          <w:sz w:val="24"/>
        </w:rPr>
        <w:t xml:space="preserve">-Lipschitz cross-entropy, the parameter gradient satisfies: </w:t>
      </w:r>
      <m:oMath>
        <m:d>
          <m:dPr>
            <m:begChr m:val="‖"/>
            <m:sepChr m:val=""/>
            <m:endChr m:val="‖"/>
          </m:dPr>
          <m:e>
            <m:sSub>
              <m:e>
                <m:r>
                  <m:t>∇</m:t>
                </m:r>
              </m:e>
              <m:sub>
                <m:r>
                  <m:t>θ</m:t>
                </m:r>
              </m:sub>
            </m:sSub>
            <m:sSub>
              <m:e>
                <m:r>
                  <m:t>ℒ</m:t>
                </m:r>
              </m:e>
              <m:sub>
                <m:r>
                  <m:rPr>
                    <m:sty m:val="p"/>
                  </m:rPr>
                  <m:t>risk</m:t>
                </m:r>
              </m:sub>
            </m:sSub>
            <m:r>
              <m:t>‖</m:t>
            </m:r>
            <m:r>
              <m:t>≤</m:t>
            </m:r>
            <m:sSub>
              <m:e>
                <m:r>
                  <m:t>L</m:t>
                </m:r>
              </m:e>
              <m:sub>
                <m:r>
                  <m:rPr>
                    <m:sty m:val="p"/>
                  </m:rPr>
                  <m:t>loss</m:t>
                </m:r>
              </m:sub>
            </m:sSub>
            <m:r>
              <m:t>‖</m:t>
            </m:r>
            <m:r>
              <m:t>T</m:t>
            </m:r>
            <m:sSub>
              <m:e>
                <m:r>
                  <m:t>‖</m:t>
                </m:r>
              </m:e>
              <m:sub>
                <m:r>
                  <m:t>2</m:t>
                </m:r>
              </m:sub>
            </m:sSub>
            <m:r>
              <m:t>‖</m:t>
            </m:r>
            <m:sSub>
              <m:e>
                <m:r>
                  <m:t>∇</m:t>
                </m:r>
              </m:e>
              <m:sub>
                <m:r>
                  <m:t>θ</m:t>
                </m:r>
              </m:sub>
            </m:sSub>
            <m:r>
              <m:t>𝐩</m:t>
            </m:r>
            <m:r>
              <m:t>‖</m:t>
            </m:r>
            <m:r>
              <m:t>≤</m:t>
            </m:r>
            <m:sSub>
              <m:e>
                <m:r>
                  <m:t>L</m:t>
                </m:r>
              </m:e>
              <m:sub>
                <m:r>
                  <m:rPr>
                    <m:sty m:val="p"/>
                  </m:rPr>
                  <m:t>loss</m:t>
                </m:r>
              </m:sub>
            </m:sSub>
            <m:rad>
              <m:radPr>
                <m:degHide m:val="on"/>
              </m:radPr>
              <m:deg/>
              <m:e>
                <m:r>
                  <m:t>K</m:t>
                </m:r>
              </m:e>
            </m:rad>
            <m:r>
              <m:t>‖</m:t>
            </m:r>
            <m:sSub>
              <m:e>
                <m:r>
                  <m:t>∇</m:t>
                </m:r>
              </m:e>
              <m:sub>
                <m:r>
                  <m:t>θ</m:t>
                </m:r>
              </m:sub>
            </m:sSub>
            <m:r>
              <m:t>𝐩</m:t>
            </m:r>
          </m:e>
        </m:d>
      </m:oMath>
      <w:r>
        <w:rPr>
          <w:rFonts w:ascii="Times New Roman" w:hAnsi="Times New Roman"/>
          <w:sz w:val="24"/>
        </w:rPr>
        <w:t xml:space="preserve">, since </w:t>
      </w:r>
      <m:oMath>
        <m:r>
          <m:t>‖T</m:t>
        </m:r>
        <m:sSub>
          <m:e>
            <m:r>
              <m:t>‖</m:t>
            </m:r>
          </m:e>
          <m:sub>
            <m:r>
              <m:t>2</m:t>
            </m:r>
          </m:sub>
        </m:sSub>
        <m:r>
          <m:t>≤</m:t>
        </m:r>
        <m:rad>
          <m:radPr>
            <m:degHide m:val="on"/>
          </m:radPr>
          <m:deg/>
          <m:e>
            <m:sSub>
              <m:e>
                <m:d>
                  <m:dPr>
                    <m:begChr m:val="‖"/>
                    <m:sepChr m:val=""/>
                    <m:endChr m:val="‖"/>
                  </m:dPr>
                  <m:e>
                    <m:sSub>
                      <m:e>
                        <m:r>
                          <m:t>‖</m:t>
                        </m:r>
                      </m:e>
                      <m:sub>
                        <m:r>
                          <m:t>1</m:t>
                        </m:r>
                      </m:sub>
                    </m:sSub>
                    <m:r>
                      <m:t>‖T</m:t>
                    </m:r>
                  </m:e>
                </m:d>
              </m:e>
              <m:sub>
                <m:r>
                  <m:t>∞</m:t>
                </m:r>
              </m:sub>
            </m:sSub>
          </m:e>
        </m:rad>
        <m:r>
          <m:t>≤</m:t>
        </m:r>
        <m:rad>
          <m:radPr>
            <m:degHide m:val="on"/>
          </m:radPr>
          <m:deg/>
          <m:e>
            <m:r>
              <m:t>K</m:t>
            </m:r>
          </m:e>
        </m:rad>
      </m:oMath>
      <w:r>
        <w:rPr>
          <w:rFonts w:ascii="Times New Roman" w:hAnsi="Times New Roman"/>
          <w:sz w:val="24"/>
        </w:rPr>
        <w:t xml:space="preserve"> for any </w:t>
      </w:r>
      <m:oMath>
        <m:r>
          <m:t>K×K</m:t>
        </m:r>
      </m:oMath>
      <w:r>
        <w:rPr>
          <w:rFonts w:ascii="Times New Roman" w:hAnsi="Times New Roman"/>
          <w:sz w:val="24"/>
        </w:rPr>
        <w:t xml:space="preserve"> row-stochastic transition matrix by the Riesz-Thorin interpolation theorem. Moreover, inverting predicted ratings for confidence estimation and sample reliability </w:t>
      </w:r>
      <m:oMath>
        <m:sSub>
          <m:e>
            <m:r>
              <m:t>R</m:t>
            </m:r>
          </m:e>
          <m:sub>
            <m:r>
              <m:rPr>
                <m:sty m:val="p"/>
              </m:rPr>
              <m:t>RRFN</m:t>
            </m:r>
          </m:sub>
        </m:sSub>
      </m:oMath>
      <w:r>
        <w:rPr>
          <w:rFonts w:ascii="Times New Roman" w:hAnsi="Times New Roman"/>
          <w:sz w:val="24"/>
        </w:rPr>
        <w:t xml:space="preserve"> via </w:t>
      </w:r>
      <m:oMath>
        <m:sSubSup>
          <m:e>
            <m:r>
              <m:t>T</m:t>
            </m:r>
          </m:e>
          <m:sub>
            <m:r>
              <m:t>λ</m:t>
            </m:r>
          </m:sub>
          <m:sup>
            <m:r>
              <m:t>†</m:t>
            </m:r>
          </m:sup>
        </m:sSubSup>
      </m:oMath>
      <w:r>
        <w:rPr>
          <w:rFonts w:ascii="Times New Roman" w:hAnsi="Times New Roman"/>
          <w:sz w:val="24"/>
        </w:rPr>
        <w:t xml:space="preserve"> is strictly protected against gradient explosion and noise amplification by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independently of the matrix condition number </w:t>
      </w:r>
      <m:oMath>
        <m:r>
          <m:t>κ(T)</m:t>
        </m:r>
      </m:oMath>
      <w:r>
        <w:rPr>
          <w:rFonts w:ascii="Times New Roman" w:hAnsi="Times New Roman"/>
          <w:sz w:val="24"/>
        </w:rPr>
        <w:t>.</w:t>
      </w:r>
    </w:p>
    <w:p>
      <w:pPr>
        <w:spacing w:line="360" w:lineRule="auto" w:before="0" w:after="120"/>
        <w:jc w:val="both"/>
      </w:pPr>
      <w:r>
        <w:rPr>
          <w:rFonts w:ascii="Times New Roman" w:hAnsi="Times New Roman"/>
          <w:sz w:val="24"/>
        </w:rPr>
        <w:t xml:space="preserve">Proof of Theorem 3.1: Substituting the Singular Value Decomposition </w:t>
      </w:r>
      <m:oMath>
        <m:r>
          <m:t>T=UΣ</m:t>
        </m:r>
        <m:sSup>
          <m:e>
            <m:r>
              <m:t>V</m:t>
            </m:r>
          </m:e>
          <m:sup>
            <m:r>
              <m:t>T</m:t>
            </m:r>
          </m:sup>
        </m:sSup>
      </m:oMath>
      <w:r>
        <w:rPr>
          <w:rFonts w:ascii="Times New Roman" w:hAnsi="Times New Roman"/>
          <w:sz w:val="24"/>
        </w:rPr>
        <w:t xml:space="preserve"> into the definition of </w:t>
      </w:r>
      <m:oMath>
        <m:sSubSup>
          <m:e>
            <m:r>
              <m:t>T</m:t>
            </m:r>
          </m:e>
          <m:sub>
            <m:r>
              <m:t>λ</m:t>
            </m:r>
          </m:sub>
          <m:sup>
            <m:r>
              <m:t>†</m:t>
            </m:r>
          </m:sup>
        </m:sSub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 xml:space="preserve">Because </w:t>
      </w:r>
      <m:oMath>
        <m:r>
          <m:t>U</m:t>
        </m:r>
      </m:oMath>
      <w:r>
        <w:rPr>
          <w:rFonts w:ascii="Times New Roman" w:hAnsi="Times New Roman"/>
          <w:sz w:val="24"/>
        </w:rPr>
        <w:t xml:space="preserve"> and </w:t>
      </w:r>
      <m:oMath>
        <m:r>
          <m:t>V</m:t>
        </m:r>
      </m:oMath>
      <w:r>
        <w:rPr>
          <w:rFonts w:ascii="Times New Roman" w:hAnsi="Times New Roman"/>
          <w:sz w:val="24"/>
        </w:rPr>
        <w:t xml:space="preserve"> are orthonormal unitary matrices, the singular values of </w:t>
      </w:r>
      <m:oMath>
        <m:sSubSup>
          <m:e>
            <m:r>
              <m:t>T</m:t>
            </m:r>
          </m:e>
          <m:sub>
            <m:r>
              <m:t>λ</m:t>
            </m:r>
          </m:sub>
          <m:sup>
            <m:r>
              <m:t>†</m:t>
            </m:r>
          </m:sup>
        </m:sSubSup>
      </m:oMath>
      <w:r>
        <w:rPr>
          <w:rFonts w:ascii="Times New Roman" w:hAnsi="Times New Roman"/>
          <w:sz w:val="24"/>
        </w:rPr>
        <w:t xml:space="preserve"> correspond to the diagonal elements of </w:t>
      </w:r>
      <m:oMath>
        <m:d>
          <m:dPr>
            <m:sepChr m:val="+"/>
            <m:endChr m:val=""/>
          </m:dPr>
          <m:e>
            <m:sSup>
              <m:e>
                <m:r>
                  <m:t>Σ</m:t>
                </m:r>
              </m:e>
              <m:sup>
                <m:r>
                  <m:t>2</m:t>
                </m:r>
              </m:sup>
            </m:sSup>
          </m:e>
          <m:e>
            <m:r>
              <m:t>λ</m:t>
            </m:r>
            <m:r>
              <m:t>I</m:t>
            </m:r>
            <m:sSup>
              <m:e>
                <m:r>
                  <m:t>)</m:t>
                </m:r>
              </m:e>
              <m:sup>
                <m:r>
                  <m:t>−1</m:t>
                </m:r>
              </m:sup>
            </m:sSup>
            <m:r>
              <m:t>Σ</m:t>
            </m:r>
          </m:e>
        </m:d>
      </m:oMath>
      <w:r>
        <w:rPr>
          <w:rFonts w:ascii="Times New Roman" w:hAnsi="Times New Roman"/>
          <w:sz w:val="24"/>
        </w:rPr>
        <w:t xml:space="preserve">. These singular values are governed by the continuous scalar function </w:t>
      </w:r>
      <m:oMath>
        <m:r>
          <m:t>f(σ)=</m:t>
        </m:r>
        <m:f>
          <m:fPr>
            <m:type m:val="bar"/>
          </m:fPr>
          <m:num>
            <m:r>
              <m:t>σ</m:t>
            </m:r>
          </m:num>
          <m:den>
            <m:sSup>
              <m:e>
                <m:r>
                  <m:t>σ</m:t>
                </m:r>
              </m:e>
              <m:sup>
                <m:r>
                  <m:t>2</m:t>
                </m:r>
              </m:sup>
            </m:sSup>
            <m:r>
              <m:t>+λ</m:t>
            </m:r>
          </m:den>
        </m:f>
      </m:oMath>
      <w:r>
        <w:rPr>
          <w:rFonts w:ascii="Times New Roman" w:hAnsi="Times New Roman"/>
          <w:sz w:val="24"/>
        </w:rPr>
        <w:t xml:space="preserve"> for </w:t>
      </w:r>
      <m:oMath>
        <m:r>
          <m:t>σ≥0</m:t>
        </m:r>
      </m:oMath>
      <w:r>
        <w:rPr>
          <w:rFonts w:ascii="Times New Roman" w:hAnsi="Times New Roman"/>
          <w:sz w:val="24"/>
        </w:rPr>
        <w:t xml:space="preserve">. Differentiating </w:t>
      </w:r>
      <m:oMath>
        <m:r>
          <m:t>f(σ)</m:t>
        </m:r>
      </m:oMath>
      <w:r>
        <w:rPr>
          <w:rFonts w:ascii="Times New Roman" w:hAnsi="Times New Roman"/>
          <w:sz w:val="24"/>
        </w:rPr>
        <w:t xml:space="preserve"> with respect to </w:t>
      </w:r>
      <m:oMath>
        <m:r>
          <m:t>σ</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 xml:space="preserve">Setting the first derivative to zero </w:t>
      </w:r>
      <m:oMath>
        <m:sSup>
          <m:e>
            <m:r>
              <m:t>f</m:t>
            </m:r>
          </m:e>
          <m:sup>
            <m:r>
              <m:t>′</m:t>
            </m:r>
          </m:sup>
        </m:sSup>
        <m:r>
          <m:t>(σ)=0</m:t>
        </m:r>
      </m:oMath>
      <w:r>
        <w:rPr>
          <w:rFonts w:ascii="Times New Roman" w:hAnsi="Times New Roman"/>
          <w:sz w:val="24"/>
        </w:rPr>
        <w:t xml:space="preserve"> yields the unique stationary critical point at </w:t>
      </w:r>
      <m:oMath>
        <m:sSup>
          <m:e>
            <m:r>
              <m:t>σ</m:t>
            </m:r>
          </m:e>
          <m:sup>
            <m:r>
              <m:t>*</m:t>
            </m:r>
          </m:sup>
        </m:sSup>
        <m:r>
          <m:t>=</m:t>
        </m:r>
        <m:rad>
          <m:radPr>
            <m:degHide m:val="on"/>
          </m:radPr>
          <m:deg/>
          <m:e>
            <m:r>
              <m:t>λ</m:t>
            </m:r>
          </m:e>
        </m:rad>
      </m:oMath>
      <w:r>
        <w:rPr>
          <w:rFonts w:ascii="Times New Roman" w:hAnsi="Times New Roman"/>
          <w:sz w:val="24"/>
        </w:rPr>
        <w:t xml:space="preserve">. Evaluating </w:t>
      </w:r>
      <m:oMath>
        <m:r>
          <m:t>f</m:t>
        </m:r>
      </m:oMath>
      <w:r>
        <w:rPr>
          <w:rFonts w:ascii="Times New Roman" w:hAnsi="Times New Roman"/>
          <w:sz w:val="24"/>
        </w:rPr>
        <w:t xml:space="preserve"> at </w:t>
      </w:r>
      <m:oMath>
        <m:sSup>
          <m:e>
            <m:r>
              <m:t>σ</m:t>
            </m:r>
          </m:e>
          <m:sup>
            <m:r>
              <m:t>*</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 xml:space="preserve">Evaluating the boundary limits: </w:t>
      </w:r>
      <m:oMath>
        <m:r>
          <m:t>f(0)=0</m:t>
        </m:r>
      </m:oMath>
      <w:r>
        <w:rPr>
          <w:rFonts w:ascii="Times New Roman" w:hAnsi="Times New Roman"/>
          <w:sz w:val="24"/>
        </w:rPr>
        <w:t xml:space="preserve">, and </w:t>
      </w:r>
      <m:oMath>
        <m:sSub>
          <m:e>
            <m:r>
              <m:t>lim</m:t>
            </m:r>
          </m:e>
          <m:sub>
            <m:r>
              <m:t>σ→∞</m:t>
            </m:r>
          </m:sub>
        </m:sSub>
        <m:r>
          <m:t>f(σ)=0</m:t>
        </m:r>
      </m:oMath>
      <w:r>
        <w:rPr>
          <w:rFonts w:ascii="Times New Roman" w:hAnsi="Times New Roman"/>
          <w:sz w:val="24"/>
        </w:rPr>
        <w:t xml:space="preserve">. Since </w:t>
      </w:r>
      <m:oMath>
        <m:sSup>
          <m:e>
            <m:r>
              <m:t>f</m:t>
            </m:r>
          </m:e>
          <m:sup>
            <m:r>
              <m:t>′</m:t>
            </m:r>
          </m:sup>
        </m:sSup>
        <m:r>
          <m:t>(σ)&gt;0</m:t>
        </m:r>
      </m:oMath>
      <w:r>
        <w:rPr>
          <w:rFonts w:ascii="Times New Roman" w:hAnsi="Times New Roman"/>
          <w:sz w:val="24"/>
        </w:rPr>
        <w:t xml:space="preserve"> for </w:t>
      </w:r>
      <m:oMath>
        <m:d>
          <m:dPr>
            <m:begChr m:val=""/>
            <m:sepChr m:val=""/>
          </m:dPr>
          <m:e>
            <m:r>
              <m:t>σ</m:t>
            </m:r>
            <m:r>
              <m:t>∈</m:t>
            </m:r>
            <m:r>
              <m:t>[</m:t>
            </m:r>
            <m:r>
              <m:t>0</m:t>
            </m:r>
            <m:r>
              <m:t>,</m:t>
            </m:r>
            <m:rad>
              <m:radPr>
                <m:degHide m:val="on"/>
              </m:radPr>
              <m:deg/>
              <m:e>
                <m:r>
                  <m:t>λ</m:t>
                </m:r>
              </m:e>
            </m:rad>
          </m:e>
        </m:d>
      </m:oMath>
      <w:r>
        <w:rPr>
          <w:rFonts w:ascii="Times New Roman" w:hAnsi="Times New Roman"/>
          <w:sz w:val="24"/>
        </w:rPr>
        <w:t xml:space="preserve"> and </w:t>
      </w:r>
      <m:oMath>
        <m:sSup>
          <m:e>
            <m:r>
              <m:t>f</m:t>
            </m:r>
          </m:e>
          <m:sup>
            <m:r>
              <m:t>′</m:t>
            </m:r>
          </m:sup>
        </m:sSup>
        <m:r>
          <m:t>(σ)&lt;0</m:t>
        </m:r>
      </m:oMath>
      <w:r>
        <w:rPr>
          <w:rFonts w:ascii="Times New Roman" w:hAnsi="Times New Roman"/>
          <w:sz w:val="24"/>
        </w:rPr>
        <w:t xml:space="preserve"> for </w:t>
      </w:r>
      <m:oMath>
        <m:r>
          <m:t>σ&gt;</m:t>
        </m:r>
        <m:rad>
          <m:radPr>
            <m:degHide m:val="on"/>
          </m:radPr>
          <m:deg/>
          <m:e>
            <m:r>
              <m:t>λ</m:t>
            </m:r>
          </m:e>
        </m:rad>
      </m:oMath>
      <w:r>
        <w:rPr>
          <w:rFonts w:ascii="Times New Roman" w:hAnsi="Times New Roman"/>
          <w:sz w:val="24"/>
        </w:rPr>
        <w:t xml:space="preserve">, </w:t>
      </w:r>
      <m:oMath>
        <m:sSup>
          <m:e>
            <m:r>
              <m:t>σ</m:t>
            </m:r>
          </m:e>
          <m:sup>
            <m:r>
              <m:t>*</m:t>
            </m:r>
          </m:sup>
        </m:sSup>
        <m:r>
          <m:t>=</m:t>
        </m:r>
        <m:rad>
          <m:radPr>
            <m:degHide m:val="on"/>
          </m:radPr>
          <m:deg/>
          <m:e>
            <m:r>
              <m:t>λ</m:t>
            </m:r>
          </m:e>
        </m:rad>
      </m:oMath>
      <w:r>
        <w:rPr>
          <w:rFonts w:ascii="Times New Roman" w:hAnsi="Times New Roman"/>
          <w:sz w:val="24"/>
        </w:rPr>
        <w:t xml:space="preserve"> represents the unique global maximum of </w:t>
      </w:r>
      <m:oMath>
        <m:r>
          <m:t>f(σ)</m:t>
        </m:r>
      </m:oMath>
      <w:r>
        <w:rPr>
          <w:rFonts w:ascii="Times New Roman" w:hAnsi="Times New Roman"/>
          <w:sz w:val="24"/>
        </w:rPr>
        <w:t xml:space="preserve"> on </w:t>
      </w:r>
      <m:oMath>
        <m:r>
          <m:t>[0,∞)</m:t>
        </m:r>
      </m:oMath>
      <w:r>
        <w:rPr>
          <w:rFonts w:ascii="Times New Roman" w:hAnsi="Times New Roman"/>
          <w:sz w:val="24"/>
        </w:rPr>
        <w:t xml:space="preserve">. Consequently, for any matrix </w:t>
      </w:r>
      <m:oMath>
        <m:r>
          <m:t>T</m:t>
        </m:r>
      </m:oMath>
      <w:r>
        <w:rPr>
          <w:rFonts w:ascii="Times New Roman" w:hAnsi="Times New Roman"/>
          <w:sz w:val="24"/>
        </w:rPr>
        <w:t xml:space="preserve">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 xml:space="preserve">For forward-corrected loss </w:t>
      </w:r>
      <m:oMath>
        <m:sSub>
          <m:e>
            <m:r>
              <m:t>ℒ</m:t>
            </m:r>
          </m:e>
          <m:sub>
            <m:r>
              <m:rPr>
                <m:sty m:val="p"/>
              </m:rPr>
              <m:t>risk</m:t>
            </m:r>
          </m:sub>
        </m:sSub>
      </m:oMath>
      <w:r>
        <w:rPr>
          <w:rFonts w:ascii="Times New Roman" w:hAnsi="Times New Roman"/>
          <w:sz w:val="24"/>
        </w:rPr>
        <w:t xml:space="preserve">, applying the multivariable chain rule gives: </w:t>
      </w:r>
      <m:oMath>
        <m:sSub>
          <m:e>
            <m:r>
              <m:t>∇</m:t>
            </m:r>
          </m:e>
          <m:sub>
            <m:r>
              <m:t>θ</m:t>
            </m:r>
          </m:sub>
        </m:sSub>
        <m:sSub>
          <m:e>
            <m:r>
              <m:t>ℒ</m:t>
            </m:r>
          </m:e>
          <m:sub>
            <m:r>
              <m:rPr>
                <m:sty m:val="p"/>
              </m:rPr>
              <m:t>risk</m:t>
            </m:r>
          </m:sub>
        </m:sSub>
        <m:r>
          <m:t>=(</m:t>
        </m:r>
        <m:sSub>
          <m:e>
            <m:r>
              <m:t>∇</m:t>
            </m:r>
          </m:e>
          <m:sub>
            <m:limUpp>
              <m:e>
                <m:r>
                  <m:t>𝐩</m:t>
                </m:r>
              </m:e>
              <m:lim>
                <m:r>
                  <m:t>~</m:t>
                </m:r>
              </m:lim>
            </m:limUpp>
          </m:sub>
        </m:sSub>
        <m:sSub>
          <m:e>
            <m:r>
              <m:t>ℓ</m:t>
            </m:r>
          </m:e>
          <m:sub>
            <m:r>
              <m:rPr>
                <m:sty m:val="p"/>
              </m:rPr>
              <m:t>CE</m:t>
            </m:r>
          </m:sub>
        </m:sSub>
        <m:r>
          <m:t>)</m:t>
        </m:r>
        <m:sSup>
          <m:e>
            <m:r>
              <m:t>T</m:t>
            </m:r>
          </m:e>
          <m:sup>
            <m:r>
              <m:t>T</m:t>
            </m:r>
          </m:sup>
        </m:sSup>
        <m:sSub>
          <m:e>
            <m:r>
              <m:t>∇</m:t>
            </m:r>
          </m:e>
          <m:sub>
            <m:r>
              <m:t>θ</m:t>
            </m:r>
          </m:sub>
        </m:sSub>
        <m:r>
          <m:t>𝐩</m:t>
        </m:r>
      </m:oMath>
      <w:r>
        <w:rPr>
          <w:rFonts w:ascii="Times New Roman" w:hAnsi="Times New Roman"/>
          <w:sz w:val="24"/>
        </w:rPr>
        <w:t xml:space="preserve">. Since </w:t>
      </w:r>
      <m:oMath>
        <m:r>
          <m:t>T∈</m:t>
        </m:r>
        <m:sSup>
          <m:e>
            <m:r>
              <m:t>ℝ</m:t>
            </m:r>
          </m:e>
          <m:sup>
            <m:r>
              <m:t>K×K</m:t>
            </m:r>
          </m:sup>
        </m:sSup>
      </m:oMath>
      <w:r>
        <w:rPr>
          <w:rFonts w:ascii="Times New Roman" w:hAnsi="Times New Roman"/>
          <w:sz w:val="24"/>
        </w:rPr>
        <w:t xml:space="preserve"> is row-stochastic, its maximum row sum satisfies </w:t>
      </w:r>
      <m:oMath>
        <m:r>
          <m:t>‖T</m:t>
        </m:r>
        <m:sSub>
          <m:e>
            <m:r>
              <m:t>‖</m:t>
            </m:r>
          </m:e>
          <m:sub>
            <m:r>
              <m:t>∞</m:t>
            </m:r>
          </m:sub>
        </m:sSub>
        <m:r>
          <m:t>=</m:t>
        </m:r>
        <m:sSub>
          <m:e>
            <m:r>
              <m:t>max</m:t>
            </m:r>
          </m:e>
          <m:sub>
            <m:r>
              <m:t>i</m:t>
            </m:r>
          </m:sub>
        </m:sSub>
        <m:nary>
          <m:naryPr>
            <m:chr m:val="∑"/>
            <m:limLoc m:val="subSup"/>
            <m:grow m:val="1"/>
            <m:subHide m:val="off"/>
            <m:supHide m:val="off"/>
          </m:naryPr>
          <m:sub>
            <m:r>
              <m:t>j=1</m:t>
            </m:r>
          </m:sub>
          <m:sup>
            <m:r>
              <m:t>K</m:t>
            </m:r>
          </m:sup>
          <m:e>
            <m:sSub>
              <m:e>
                <m:r>
                  <m:t>T</m:t>
                </m:r>
              </m:e>
              <m:sub>
                <m:r>
                  <m:t>ij</m:t>
                </m:r>
              </m:sub>
            </m:sSub>
          </m:e>
        </m:nary>
        <m:r>
          <m:t>=1</m:t>
        </m:r>
      </m:oMath>
      <w:r>
        <w:rPr>
          <w:rFonts w:ascii="Times New Roman" w:hAnsi="Times New Roman"/>
          <w:sz w:val="24"/>
        </w:rPr>
        <w:t xml:space="preserve">. Its maximum column sum satisfies </w:t>
      </w:r>
      <m:oMath>
        <m:r>
          <m:t>‖T</m:t>
        </m:r>
        <m:sSub>
          <m:e>
            <m:r>
              <m:t>‖</m:t>
            </m:r>
          </m:e>
          <m:sub>
            <m:r>
              <m:t>1</m:t>
            </m:r>
          </m:sub>
        </m:sSub>
        <m:r>
          <m:t>=</m:t>
        </m:r>
        <m:sSub>
          <m:e>
            <m:r>
              <m:t>max</m:t>
            </m:r>
          </m:e>
          <m:sub>
            <m:r>
              <m:t>j</m:t>
            </m:r>
          </m:sub>
        </m:sSub>
        <m:nary>
          <m:naryPr>
            <m:chr m:val="∑"/>
            <m:limLoc m:val="subSup"/>
            <m:grow m:val="1"/>
            <m:subHide m:val="off"/>
            <m:supHide m:val="off"/>
          </m:naryPr>
          <m:sub>
            <m:r>
              <m:t>i=1</m:t>
            </m:r>
          </m:sub>
          <m:sup>
            <m:r>
              <m:t>K</m:t>
            </m:r>
          </m:sup>
          <m:e>
            <m:sSub>
              <m:e>
                <m:r>
                  <m:t>T</m:t>
                </m:r>
              </m:e>
              <m:sub>
                <m:r>
                  <m:t>ij</m:t>
                </m:r>
              </m:sub>
            </m:sSub>
          </m:e>
        </m:nary>
        <m:r>
          <m:t>≤K</m:t>
        </m:r>
      </m:oMath>
      <w:r>
        <w:rPr>
          <w:rFonts w:ascii="Times New Roman" w:hAnsi="Times New Roman"/>
          <w:sz w:val="24"/>
        </w:rPr>
        <w:t xml:space="preserve">. By the Riesz-Thorin interpolation theorem, the operator 2-norm satisfies </w:t>
      </w:r>
      <m:oMath>
        <m:r>
          <m:t>‖T</m:t>
        </m:r>
        <m:sSub>
          <m:e>
            <m:r>
              <m:t>‖</m:t>
            </m:r>
          </m:e>
          <m:sub>
            <m:r>
              <m:t>2</m:t>
            </m:r>
          </m:sub>
        </m:sSub>
        <m:r>
          <m:t>≤</m:t>
        </m:r>
        <m:rad>
          <m:radPr>
            <m:degHide m:val="on"/>
          </m:radPr>
          <m:deg/>
          <m:e>
            <m:sSub>
              <m:e>
                <m:d>
                  <m:dPr>
                    <m:begChr m:val="‖"/>
                    <m:sepChr m:val=""/>
                    <m:endChr m:val="‖"/>
                  </m:dPr>
                  <m:e>
                    <m:sSub>
                      <m:e>
                        <m:r>
                          <m:t>‖</m:t>
                        </m:r>
                      </m:e>
                      <m:sub>
                        <m:r>
                          <m:t>1</m:t>
                        </m:r>
                      </m:sub>
                    </m:sSub>
                    <m:r>
                      <m:t>‖T</m:t>
                    </m:r>
                  </m:e>
                </m:d>
              </m:e>
              <m:sub>
                <m:r>
                  <m:t>∞</m:t>
                </m:r>
              </m:sub>
            </m:sSub>
          </m:e>
        </m:rad>
        <m:r>
          <m:t>≤</m:t>
        </m:r>
        <m:rad>
          <m:radPr>
            <m:degHide m:val="on"/>
          </m:radPr>
          <m:deg/>
          <m:e>
            <m:r>
              <m:t>K·1</m:t>
            </m:r>
          </m:e>
        </m:rad>
        <m:r>
          <m:t>=</m:t>
        </m:r>
        <m:rad>
          <m:radPr>
            <m:degHide m:val="on"/>
          </m:radPr>
          <m:deg/>
          <m:e>
            <m:r>
              <m:t>K</m:t>
            </m:r>
          </m:e>
        </m:rad>
      </m:oMath>
      <w:r>
        <w:rPr>
          <w:rFonts w:ascii="Times New Roman" w:hAnsi="Times New Roman"/>
          <w:sz w:val="24"/>
        </w:rPr>
        <w:t xml:space="preserve">. Therefore, </w:t>
      </w:r>
      <m:oMath>
        <m:d>
          <m:dPr>
            <m:begChr m:val="‖"/>
            <m:sepChr m:val=""/>
            <m:endChr m:val="‖"/>
          </m:dPr>
          <m:e>
            <m:sSub>
              <m:e>
                <m:r>
                  <m:t>∇</m:t>
                </m:r>
              </m:e>
              <m:sub>
                <m:r>
                  <m:t>θ</m:t>
                </m:r>
              </m:sub>
            </m:sSub>
            <m:sSub>
              <m:e>
                <m:r>
                  <m:t>ℒ</m:t>
                </m:r>
              </m:e>
              <m:sub>
                <m:r>
                  <m:rPr>
                    <m:sty m:val="p"/>
                  </m:rPr>
                  <m:t>risk</m:t>
                </m:r>
              </m:sub>
            </m:sSub>
            <m:r>
              <m:t>‖</m:t>
            </m:r>
            <m:r>
              <m:t>≤</m:t>
            </m:r>
            <m:sSub>
              <m:e>
                <m:r>
                  <m:t>L</m:t>
                </m:r>
              </m:e>
              <m:sub>
                <m:r>
                  <m:rPr>
                    <m:sty m:val="p"/>
                  </m:rPr>
                  <m:t>loss</m:t>
                </m:r>
              </m:sub>
            </m:sSub>
            <m:rad>
              <m:radPr>
                <m:degHide m:val="on"/>
              </m:radPr>
              <m:deg/>
              <m:e>
                <m:r>
                  <m:t>K</m:t>
                </m:r>
              </m:e>
            </m:rad>
            <m:r>
              <m:t>‖</m:t>
            </m:r>
            <m:sSub>
              <m:e>
                <m:r>
                  <m:t>∇</m:t>
                </m:r>
              </m:e>
              <m:sub>
                <m:r>
                  <m:t>θ</m:t>
                </m:r>
              </m:sub>
            </m:sSub>
            <m:r>
              <m:t>𝐩</m:t>
            </m:r>
          </m:e>
        </m:d>
      </m:oMath>
      <w:r>
        <w:rPr>
          <w:rFonts w:ascii="Times New Roman" w:hAnsi="Times New Roman"/>
          <w:sz w:val="24"/>
        </w:rPr>
        <w:t>,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 xml:space="preserve">Theorem 3.2 (Forward Surrogate Risk Consistency and Excess Clean Risk Bounds): Let </w:t>
      </w:r>
      <m:oMath>
        <m:sSubSup>
          <m:e>
            <m:r>
              <m:t>R</m:t>
            </m:r>
          </m:e>
          <m:sub>
            <m:r>
              <m:rPr>
                <m:sty m:val="p"/>
              </m:rPr>
              <m:t>CE</m:t>
            </m:r>
          </m:sub>
          <m:sup>
            <m:r>
              <m:t>*</m:t>
            </m:r>
          </m:sup>
        </m:sSubSup>
        <m:r>
          <m:t>(f)=</m:t>
        </m:r>
        <m:sSub>
          <m:e>
            <m:r>
              <m:t>𝔼</m:t>
            </m:r>
          </m:e>
          <m:sub>
            <m:d>
              <m:dPr>
                <m:sepChr m:val=","/>
              </m:dPr>
              <m:e>
                <m:r>
                  <m:t>X</m:t>
                </m:r>
              </m:e>
              <m:e>
                <m:sSup>
                  <m:e>
                    <m:r>
                      <m:t>Y</m:t>
                    </m:r>
                  </m:e>
                  <m:sup>
                    <m:r>
                      <m:t>*</m:t>
                    </m:r>
                  </m:sup>
                </m:sSup>
              </m:e>
            </m:d>
          </m:sub>
        </m:sSub>
        <m:r>
          <m:t>[</m:t>
        </m:r>
        <m:sSub>
          <m:e>
            <m:r>
              <m:t>ℓ</m:t>
            </m:r>
          </m:e>
          <m:sub>
            <m:r>
              <m:rPr>
                <m:sty m:val="p"/>
              </m:rPr>
              <m:t>CE</m:t>
            </m:r>
          </m:sub>
        </m:sSub>
        <m:r>
          <m:t>(f(X),</m:t>
        </m:r>
        <m:sSup>
          <m:e>
            <m:r>
              <m:t>Y</m:t>
            </m:r>
          </m:e>
          <m:sup>
            <m:r>
              <m:t>*</m:t>
            </m:r>
          </m:sup>
        </m:sSup>
        <m:r>
          <m:t>)]</m:t>
        </m:r>
      </m:oMath>
      <w:r>
        <w:rPr>
          <w:rFonts w:ascii="Times New Roman" w:hAnsi="Times New Roman"/>
          <w:sz w:val="24"/>
        </w:rPr>
        <w:t xml:space="preserve"> denote the clean Bayes risk over distribution </w:t>
      </w:r>
      <m:oMath>
        <m:r>
          <m:t>P(X,</m:t>
        </m:r>
        <m:sSup>
          <m:e>
            <m:r>
              <m:t>Y</m:t>
            </m:r>
          </m:e>
          <m:sup>
            <m:r>
              <m:t>*</m:t>
            </m:r>
          </m:sup>
        </m:sSup>
        <m:r>
          <m:t>)</m:t>
        </m:r>
      </m:oMath>
      <w:r>
        <w:rPr>
          <w:rFonts w:ascii="Times New Roman" w:hAnsi="Times New Roman"/>
          <w:sz w:val="24"/>
        </w:rPr>
        <w:t xml:space="preserve">, and let </w:t>
      </w:r>
      <m:oMath>
        <m:acc>
          <m:accPr>
            <m:chr m:val="̂"/>
          </m:accPr>
          <m:e>
            <m:r>
              <m:t>T</m:t>
            </m:r>
          </m:e>
        </m:acc>
      </m:oMath>
      <w:r>
        <w:rPr>
          <w:rFonts w:ascii="Times New Roman" w:hAnsi="Times New Roman"/>
          <w:sz w:val="24"/>
        </w:rPr>
        <w:t xml:space="preserve"> be the estimated anchor transition matrix satisfying Frobenius estimation error </w:t>
      </w:r>
      <m:oMath>
        <m:r>
          <m:t>‖</m:t>
        </m:r>
        <m:acc>
          <m:accPr>
            <m:chr m:val="̂"/>
          </m:accPr>
          <m:e>
            <m:r>
              <m:t>T</m:t>
            </m:r>
          </m:e>
        </m:acc>
        <m:r>
          <m:t>−</m:t>
        </m:r>
        <m:sSup>
          <m:e>
            <m:r>
              <m:t>T</m:t>
            </m:r>
          </m:e>
          <m:sup>
            <m:r>
              <m:t>*</m:t>
            </m:r>
          </m:sup>
        </m:sSup>
        <m:sSub>
          <m:e>
            <m:r>
              <m:t>‖</m:t>
            </m:r>
          </m:e>
          <m:sub>
            <m:r>
              <m:t>F</m:t>
            </m:r>
          </m:sub>
        </m:sSub>
        <m:r>
          <m:t>≤δ</m:t>
        </m:r>
      </m:oMath>
      <w:r>
        <w:rPr>
          <w:rFonts w:ascii="Times New Roman" w:hAnsi="Times New Roman"/>
          <w:sz w:val="24"/>
        </w:rPr>
        <w:t xml:space="preserve">. Let the forward-corrected surrogate loss be </w:t>
      </w:r>
      <m:oMath>
        <m:sSub>
          <m:e>
            <m:r>
              <m:t>ℓ</m:t>
            </m:r>
          </m:e>
          <m:sub>
            <m:r>
              <m:rPr>
                <m:sty m:val="p"/>
              </m:rPr>
              <m:t>forward</m:t>
            </m:r>
          </m:sub>
        </m:sSub>
        <m:r>
          <m:t>(f(X),</m:t>
        </m:r>
        <m:limUpp>
          <m:e>
            <m:r>
              <m:t>Y</m:t>
            </m:r>
          </m:e>
          <m:lim>
            <m:r>
              <m:t>~</m:t>
            </m:r>
          </m:lim>
        </m:limUpp>
        <m:r>
          <m:t>;</m:t>
        </m:r>
        <m:acc>
          <m:accPr>
            <m:chr m:val="̂"/>
          </m:accPr>
          <m:e>
            <m:r>
              <m:t>T</m:t>
            </m:r>
          </m:e>
        </m:acc>
        <m:r>
          <m:t>)=−</m:t>
        </m:r>
        <m:r>
          <m:rPr>
            <m:sty m:val="p"/>
          </m:rPr>
          <m:t>log</m:t>
        </m:r>
        <m:r>
          <m:t>(</m:t>
        </m:r>
        <m:sSup>
          <m:e>
            <m:acc>
              <m:accPr>
                <m:chr m:val="̂"/>
              </m:accPr>
              <m:e>
                <m:r>
                  <m:t>T</m:t>
                </m:r>
              </m:e>
            </m:acc>
          </m:e>
          <m:sup>
            <m:r>
              <m:t>T</m:t>
            </m:r>
          </m:sup>
        </m:sSup>
        <m:r>
          <m:t>f(X)</m:t>
        </m:r>
        <m:sSub>
          <m:e>
            <m:r>
              <m:t>)</m:t>
            </m:r>
          </m:e>
          <m:sub>
            <m:limUpp>
              <m:e>
                <m:r>
                  <m:t>Y</m:t>
                </m:r>
              </m:e>
              <m:lim>
                <m:r>
                  <m:t>~</m:t>
                </m:r>
              </m:lim>
            </m:limUpp>
          </m:sub>
        </m:sSub>
      </m:oMath>
      <w:r>
        <w:rPr>
          <w:rFonts w:ascii="Times New Roman" w:hAnsi="Times New Roman"/>
          <w:sz w:val="24"/>
        </w:rPr>
        <w:t xml:space="preserve"> with empirical risk </w:t>
      </w:r>
      <m:oMath>
        <m:sSub>
          <m:e>
            <m:acc>
              <m:accPr>
                <m:chr m:val="̂"/>
              </m:accPr>
              <m:e>
                <m:r>
                  <m:t>R</m:t>
                </m:r>
              </m:e>
            </m:acc>
          </m:e>
          <m:sub>
            <m:r>
              <m:rPr>
                <m:sty m:val="p"/>
              </m:rPr>
              <m:t>forward</m:t>
            </m:r>
          </m:sub>
        </m:sSub>
        <m:r>
          <m:t>(f;</m:t>
        </m:r>
        <m:acc>
          <m:accPr>
            <m:chr m:val="̂"/>
          </m:accPr>
          <m:e>
            <m:r>
              <m:t>T</m:t>
            </m:r>
          </m:e>
        </m:acc>
        <m:r>
          <m:t>)=</m:t>
        </m:r>
        <m:f>
          <m:fPr>
            <m:type m:val="bar"/>
          </m:fPr>
          <m:num>
            <m:r>
              <m:t>1</m:t>
            </m:r>
          </m:num>
          <m:den>
            <m:r>
              <m:t>N</m:t>
            </m:r>
          </m:den>
        </m:f>
        <m:nary>
          <m:naryPr>
            <m:chr m:val="∑"/>
            <m:limLoc m:val="subSup"/>
            <m:grow m:val="1"/>
            <m:subHide m:val="off"/>
            <m:supHide m:val="off"/>
          </m:naryPr>
          <m:sub>
            <m:r>
              <m:t>i=1</m:t>
            </m:r>
          </m:sub>
          <m:sup>
            <m:r>
              <m:t>N</m:t>
            </m:r>
          </m:sup>
          <m:e>
            <m:sSub>
              <m:e>
                <m:r>
                  <m:t>ℓ</m:t>
                </m:r>
              </m:e>
              <m:sub>
                <m:r>
                  <m:rPr>
                    <m:sty m:val="p"/>
                  </m:rPr>
                  <m:t>forward</m:t>
                </m:r>
              </m:sub>
            </m:sSub>
          </m:e>
        </m:nary>
        <m:r>
          <m:t>(f(</m:t>
        </m:r>
        <m:sSub>
          <m:e>
            <m:r>
              <m:t>X</m:t>
            </m:r>
          </m:e>
          <m:sub>
            <m:r>
              <m:t>i</m:t>
            </m:r>
          </m:sub>
        </m:sSub>
        <m:r>
          <m:t>),</m:t>
        </m:r>
        <m:sSub>
          <m:e>
            <m:limUpp>
              <m:e>
                <m:r>
                  <m:t>Y</m:t>
                </m:r>
              </m:e>
              <m:lim>
                <m:r>
                  <m:t>~</m:t>
                </m:r>
              </m:lim>
            </m:limUpp>
          </m:e>
          <m:sub>
            <m:r>
              <m:t>i</m:t>
            </m:r>
          </m:sub>
        </m:sSub>
        <m:r>
          <m:t>;</m:t>
        </m:r>
        <m:acc>
          <m:accPr>
            <m:chr m:val="̂"/>
          </m:accPr>
          <m:e>
            <m:r>
              <m:t>T</m:t>
            </m:r>
          </m:e>
        </m:acc>
        <m:r>
          <m:t>)</m:t>
        </m:r>
      </m:oMath>
      <w:r>
        <w:rPr>
          <w:rFonts w:ascii="Times New Roman" w:hAnsi="Times New Roman"/>
          <w:sz w:val="24"/>
        </w:rPr>
        <w:t xml:space="preserve">. Under Assumptions 3.1 and 3.2 with bounded logits and Rademacher complexity </w:t>
      </w:r>
      <m:oMath>
        <m:sSub>
          <m:e>
            <m:r>
              <m:t>ℛ</m:t>
            </m:r>
          </m:e>
          <m:sub>
            <m:r>
              <m:t>N</m:t>
            </m:r>
          </m:sub>
        </m:sSub>
        <m:r>
          <m:t>(ℱ)≤</m:t>
        </m:r>
        <m:f>
          <m:fPr>
            <m:type m:val="bar"/>
          </m:fPr>
          <m:num>
            <m:sSub>
              <m:e>
                <m:r>
                  <m:t>C</m:t>
                </m:r>
              </m:e>
              <m:sub>
                <m:r>
                  <m:t>F</m:t>
                </m:r>
              </m:sub>
            </m:sSub>
          </m:num>
          <m:den>
            <m:rad>
              <m:radPr>
                <m:degHide m:val="on"/>
              </m:radPr>
              <m:deg/>
              <m:e>
                <m:r>
                  <m:t>N</m:t>
                </m:r>
              </m:e>
            </m:rad>
          </m:den>
        </m:f>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 xml:space="preserve">While expected forward surrogate risk and clean Bayes risk differ by the additive label transition entropy gap </w:t>
      </w:r>
      <m:oMath>
        <m:sSub>
          <m:e>
            <m:r>
              <m:t>Δ</m:t>
            </m:r>
          </m:e>
          <m:sub>
            <m:r>
              <m:t>H</m:t>
            </m:r>
          </m:sub>
        </m:sSub>
        <m:r>
          <m:t>=</m:t>
        </m:r>
        <m:sSub>
          <m:e>
            <m:r>
              <m:t>𝔼</m:t>
            </m:r>
          </m:e>
          <m:sub>
            <m:r>
              <m:t>X</m:t>
            </m:r>
          </m:sub>
        </m:sSub>
        <m:r>
          <m:t>[H(</m:t>
        </m:r>
        <m:sSup>
          <m:e>
            <m:r>
              <m:t>T</m:t>
            </m:r>
          </m:e>
          <m:sup>
            <m:r>
              <m:t>*T</m:t>
            </m:r>
          </m:sup>
        </m:sSup>
        <m:sSup>
          <m:e>
            <m:r>
              <m:t>𝐩</m:t>
            </m:r>
          </m:e>
          <m:sup>
            <m:r>
              <m:t>*</m:t>
            </m:r>
          </m:sup>
        </m:sSup>
        <m:r>
          <m:t>(X))−H(</m:t>
        </m:r>
        <m:sSup>
          <m:e>
            <m:r>
              <m:t>𝐩</m:t>
            </m:r>
          </m:e>
          <m:sup>
            <m:r>
              <m:t>*</m:t>
            </m:r>
          </m:sup>
        </m:sSup>
        <m:r>
          <m:t>(X))]≥0</m:t>
        </m:r>
      </m:oMath>
      <w:r>
        <w:rPr>
          <w:rFonts w:ascii="Times New Roman" w:hAnsi="Times New Roman"/>
          <w:sz w:val="24"/>
        </w:rPr>
        <w:t xml:space="preserve">, their unique global minimizers coincide identically: </w:t>
      </w:r>
      <m:oMath>
        <m:sSup>
          <m:e>
            <m:r>
              <m:t>f</m:t>
            </m:r>
          </m:e>
          <m:sup>
            <m:r>
              <m:t>*</m:t>
            </m:r>
          </m:sup>
        </m:sSup>
        <m:r>
          <m:t>(X)=</m:t>
        </m:r>
        <m:sSup>
          <m:e>
            <m:r>
              <m:t>𝐩</m:t>
            </m:r>
          </m:e>
          <m:sup>
            <m:r>
              <m:t>*</m:t>
            </m:r>
          </m:sup>
        </m:sSup>
        <m:r>
          <m:t>(X)=P(</m:t>
        </m:r>
        <m:sSup>
          <m:e>
            <m:r>
              <m:t>Y</m:t>
            </m:r>
          </m:e>
          <m:sup>
            <m:r>
              <m:t>*</m:t>
            </m:r>
          </m:sup>
        </m:sSup>
        <m:r>
          <m:t>∣X)</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 xml:space="preserve">For empirical surrogate minimizer </w:t>
      </w:r>
      <m:oMath>
        <m:acc>
          <m:accPr>
            <m:chr m:val="̂"/>
          </m:accPr>
          <m:e>
            <m:r>
              <m:t>f</m:t>
            </m:r>
          </m:e>
        </m:acc>
        <m:r>
          <m:t>=</m:t>
        </m:r>
        <m:r>
          <m:rPr>
            <m:sty m:val="p"/>
          </m:rPr>
          <m:t>\arg</m:t>
        </m:r>
        <m:sSub>
          <m:e>
            <m:r>
              <m:t>min</m:t>
            </m:r>
          </m:e>
          <m:sub>
            <m:r>
              <m:t>f∈ℱ</m:t>
            </m:r>
          </m:sub>
        </m:sSub>
        <m:sSub>
          <m:e>
            <m:acc>
              <m:accPr>
                <m:chr m:val="̂"/>
              </m:accPr>
              <m:e>
                <m:r>
                  <m:t>R</m:t>
                </m:r>
              </m:e>
            </m:acc>
          </m:e>
          <m:sub>
            <m:r>
              <m:rPr>
                <m:sty m:val="p"/>
              </m:rPr>
              <m:t>forward</m:t>
            </m:r>
          </m:sub>
        </m:sSub>
        <m:r>
          <m:t>(f;</m:t>
        </m:r>
        <m:acc>
          <m:accPr>
            <m:chr m:val="̂"/>
          </m:accPr>
          <m:e>
            <m:r>
              <m:t>T</m:t>
            </m:r>
          </m:e>
        </m:acc>
        <m:r>
          <m:t>)</m:t>
        </m:r>
      </m:oMath>
      <w:r>
        <w:rPr>
          <w:rFonts w:ascii="Times New Roman" w:hAnsi="Times New Roman"/>
          <w:sz w:val="24"/>
        </w:rPr>
        <w:t xml:space="preserve">, the clean excess risk satisfies: </w:t>
      </w:r>
      <m:oMath>
        <m:sSup>
          <m:e>
            <m:r>
              <m:t>ℰ</m:t>
            </m:r>
          </m:e>
          <m:sup>
            <m:r>
              <m:t>*</m:t>
            </m:r>
          </m:sup>
        </m:sSup>
        <m:r>
          <m:t>(</m:t>
        </m:r>
        <m:acc>
          <m:accPr>
            <m:chr m:val="̂"/>
          </m:accPr>
          <m:e>
            <m:r>
              <m:t>f</m:t>
            </m:r>
          </m:e>
        </m:acc>
        <m:r>
          <m:t>)=</m:t>
        </m:r>
        <m:sSup>
          <m:e>
            <m:r>
              <m:t>R</m:t>
            </m:r>
          </m:e>
          <m:sup>
            <m:r>
              <m:t>*</m:t>
            </m:r>
          </m:sup>
        </m:sSup>
        <m:r>
          <m:t>(</m:t>
        </m:r>
        <m:acc>
          <m:accPr>
            <m:chr m:val="̂"/>
          </m:accPr>
          <m:e>
            <m:r>
              <m:t>f</m:t>
            </m:r>
          </m:e>
        </m:acc>
        <m:r>
          <m:t>)−</m:t>
        </m:r>
        <m:sSub>
          <m:e>
            <m:r>
              <m:t>min</m:t>
            </m:r>
          </m:e>
          <m:sub>
            <m:r>
              <m:t>f</m:t>
            </m:r>
          </m:sub>
        </m:sSub>
        <m:sSup>
          <m:e>
            <m:r>
              <m:t>R</m:t>
            </m:r>
          </m:e>
          <m:sup>
            <m:r>
              <m:t>*</m:t>
            </m:r>
          </m:sup>
        </m:sSup>
        <m:r>
          <m:t>(f)≤</m:t>
        </m:r>
        <m:f>
          <m:fPr>
            <m:type m:val="bar"/>
          </m:fPr>
          <m:num>
            <m:sSub>
              <m:e>
                <m:r>
                  <m:t>L</m:t>
                </m:r>
              </m:e>
              <m:sub>
                <m:r>
                  <m:rPr>
                    <m:sty m:val="p"/>
                  </m:rPr>
                  <m:t>CE</m:t>
                </m:r>
              </m:sub>
            </m:sSub>
          </m:num>
          <m:den>
            <m:sSub>
              <m:e>
                <m:r>
                  <m:t>σ</m:t>
                </m:r>
              </m:e>
              <m:sub>
                <m:r>
                  <m:t>0</m:t>
                </m:r>
              </m:sub>
            </m:sSub>
          </m:den>
        </m:f>
        <m:r>
          <m:t>δ+𝒪</m:t>
        </m:r>
        <m:d>
          <m:dPr>
            <m:sepChr m:val=""/>
          </m:dPr>
          <m:e>
            <m:f>
              <m:fPr>
                <m:type m:val="bar"/>
              </m:fPr>
              <m:num>
                <m:r>
                  <m:t>1</m:t>
                </m:r>
              </m:num>
              <m:den>
                <m:rad>
                  <m:radPr>
                    <m:degHide m:val="on"/>
                  </m:radPr>
                  <m:deg/>
                  <m:e>
                    <m:r>
                      <m:t>N</m:t>
                    </m:r>
                  </m:e>
                </m:rad>
              </m:den>
            </m:f>
          </m:e>
        </m:d>
      </m:oMath>
      <w:r>
        <w:rPr>
          <w:rFonts w:ascii="Times New Roman" w:hAnsi="Times New Roman"/>
          <w:sz w:val="24"/>
        </w:rPr>
        <w:t xml:space="preserve">, where </w:t>
      </w:r>
      <m:oMath>
        <m:sSub>
          <m:e>
            <m:r>
              <m:t>L</m:t>
            </m:r>
          </m:e>
          <m:sub>
            <m:r>
              <m:rPr>
                <m:sty m:val="p"/>
              </m:rPr>
              <m:t>CE</m:t>
            </m:r>
          </m:sub>
        </m:sSub>
        <m:r>
          <m:t>≤</m:t>
        </m:r>
        <m:sSup>
          <m:e>
            <m:r>
              <m:t>e</m:t>
            </m:r>
          </m:e>
          <m:sup>
            <m:r>
              <m:t>2C</m:t>
            </m:r>
          </m:sup>
        </m:sSup>
      </m:oMath>
      <w:r>
        <w:rPr>
          <w:rFonts w:ascii="Times New Roman" w:hAnsi="Times New Roman"/>
          <w:sz w:val="24"/>
        </w:rPr>
        <w:t xml:space="preserve">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 xml:space="preserve">The Tikhonov-regularized confidence inversion error for sample reliability filtering satisfies: </w:t>
      </w: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r>
        <w:rPr>
          <w:rFonts w:ascii="Times New Roman" w:hAnsi="Times New Roman"/>
          <w:sz w:val="24"/>
        </w:rPr>
        <w:t>.</w:t>
      </w:r>
    </w:p>
    <w:p>
      <w:pPr>
        <w:spacing w:line="360" w:lineRule="auto" w:before="0" w:after="120"/>
        <w:jc w:val="both"/>
      </w:pPr>
      <w:r>
        <w:rPr>
          <w:rFonts w:ascii="Times New Roman" w:hAnsi="Times New Roman"/>
          <w:sz w:val="24"/>
        </w:rPr>
        <w:t xml:space="preserve">Proof of Theorem 3.2: For Part 1, by the law of total expectation conditioning on input </w:t>
      </w:r>
      <m:oMath>
        <m:r>
          <m:t>X</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p>
          <m:e>
            <m:r>
              <m:t>𝐩</m:t>
            </m:r>
          </m:e>
          <m:sup>
            <m:r>
              <m:t>*</m:t>
            </m:r>
          </m:sup>
        </m:sSup>
        <m:r>
          <m:t>(X)=P(</m:t>
        </m:r>
        <m:sSup>
          <m:e>
            <m:r>
              <m:t>Y</m:t>
            </m:r>
          </m:e>
          <m:sup>
            <m:r>
              <m:t>*</m:t>
            </m:r>
          </m:sup>
        </m:sSup>
        <m:r>
          <m:t>∣X)</m:t>
        </m:r>
      </m:oMath>
      <w:r>
        <w:rPr>
          <w:rFonts w:ascii="Times New Roman" w:hAnsi="Times New Roman"/>
          <w:sz w:val="24"/>
        </w:rPr>
        <w:t xml:space="preserve">. For clean Bayes risk: </w:t>
      </w:r>
      <m:oMath>
        <m:sSup>
          <m:e>
            <m:r>
              <m:t>R</m:t>
            </m:r>
          </m:e>
          <m:sup>
            <m:r>
              <m:t>*</m:t>
            </m:r>
          </m:sup>
        </m:sSup>
        <m:r>
          <m:t>(f)=</m:t>
        </m:r>
        <m:sSub>
          <m:e>
            <m:r>
              <m:t>𝔼</m:t>
            </m:r>
          </m:e>
          <m:sub>
            <m:r>
              <m:t>X</m:t>
            </m:r>
          </m:sub>
        </m:sSub>
        <m:r>
          <m:t>[H(</m:t>
        </m:r>
        <m:sSup>
          <m:e>
            <m:r>
              <m:t>𝐩</m:t>
            </m:r>
          </m:e>
          <m:sup>
            <m:r>
              <m:t>*</m:t>
            </m:r>
          </m:sup>
        </m:sSup>
        <m:r>
          <m:t>(X))+</m:t>
        </m:r>
        <m:sSub>
          <m:e>
            <m:r>
              <m:t>D</m:t>
            </m:r>
          </m:e>
          <m:sub>
            <m:r>
              <m:rPr>
                <m:sty m:val="p"/>
              </m:rPr>
              <m:t>KL</m:t>
            </m:r>
          </m:sub>
        </m:sSub>
        <m:r>
          <m:t>(</m:t>
        </m:r>
        <m:sSup>
          <m:e>
            <m:r>
              <m:t>𝐩</m:t>
            </m:r>
          </m:e>
          <m:sup>
            <m:r>
              <m:t>*</m:t>
            </m:r>
          </m:sup>
        </m:sSup>
        <m:r>
          <m:t>(X)∥f(X))]</m:t>
        </m:r>
      </m:oMath>
      <w:r>
        <w:rPr>
          <w:rFonts w:ascii="Times New Roman" w:hAnsi="Times New Roman"/>
          <w:sz w:val="24"/>
        </w:rPr>
        <w:t xml:space="preserve">. Both risks attain their minimum when KL divergence vanishes: </w:t>
      </w:r>
      <m:oMath>
        <m:sSub>
          <m:e>
            <m:r>
              <m:t>D</m:t>
            </m:r>
          </m:e>
          <m:sub>
            <m:r>
              <m:rPr>
                <m:sty m:val="p"/>
              </m:rPr>
              <m:t>KL</m:t>
            </m:r>
          </m:sub>
        </m:sSub>
        <m:r>
          <m:t>(</m:t>
        </m:r>
        <m:sSup>
          <m:e>
            <m:r>
              <m:t>T</m:t>
            </m:r>
          </m:e>
          <m:sup>
            <m:r>
              <m:t>*T</m:t>
            </m:r>
          </m:sup>
        </m:sSup>
        <m:sSup>
          <m:e>
            <m:r>
              <m:t>𝐩</m:t>
            </m:r>
          </m:e>
          <m:sup>
            <m:r>
              <m:t>*</m:t>
            </m:r>
          </m:sup>
        </m:sSup>
        <m:r>
          <m:t>∥</m:t>
        </m:r>
        <m:sSup>
          <m:e>
            <m:r>
              <m:t>T</m:t>
            </m:r>
          </m:e>
          <m:sup>
            <m:r>
              <m:t>*T</m:t>
            </m:r>
          </m:sup>
        </m:sSup>
        <m:r>
          <m:t>f)=0⟺</m:t>
        </m:r>
        <m:sSup>
          <m:e>
            <m:r>
              <m:t>T</m:t>
            </m:r>
          </m:e>
          <m:sup>
            <m:r>
              <m:t>*T</m:t>
            </m:r>
          </m:sup>
        </m:sSup>
        <m:r>
          <m:t>f(X)=</m:t>
        </m:r>
        <m:sSup>
          <m:e>
            <m:r>
              <m:t>T</m:t>
            </m:r>
          </m:e>
          <m:sup>
            <m:r>
              <m:t>*T</m:t>
            </m:r>
          </m:sup>
        </m:sSup>
        <m:sSup>
          <m:e>
            <m:r>
              <m:t>𝐩</m:t>
            </m:r>
          </m:e>
          <m:sup>
            <m:r>
              <m:t>*</m:t>
            </m:r>
          </m:sup>
        </m:sSup>
        <m:r>
          <m:t>(X)</m:t>
        </m:r>
      </m:oMath>
      <w:r>
        <w:rPr>
          <w:rFonts w:ascii="Times New Roman" w:hAnsi="Times New Roman"/>
          <w:sz w:val="24"/>
        </w:rPr>
        <w:t xml:space="preserve">. By Assumption 3.2, </w:t>
      </w:r>
      <m:oMath>
        <m:sSub>
          <m:e>
            <m:r>
              <m:t>σ</m:t>
            </m:r>
          </m:e>
          <m:sub>
            <m:r>
              <m:t>min</m:t>
            </m:r>
          </m:sub>
        </m:sSub>
        <m:r>
          <m:t>(</m:t>
        </m:r>
        <m:sSup>
          <m:e>
            <m:r>
              <m:t>T</m:t>
            </m:r>
          </m:e>
          <m:sup>
            <m:r>
              <m:t>*</m:t>
            </m:r>
          </m:sup>
        </m:sSup>
        <m:r>
          <m:t>)≥</m:t>
        </m:r>
        <m:sSub>
          <m:e>
            <m:r>
              <m:t>σ</m:t>
            </m:r>
          </m:e>
          <m:sub>
            <m:r>
              <m:t>0</m:t>
            </m:r>
          </m:sub>
        </m:sSub>
        <m:r>
          <m:t>&gt;0</m:t>
        </m:r>
      </m:oMath>
      <w:r>
        <w:rPr>
          <w:rFonts w:ascii="Times New Roman" w:hAnsi="Times New Roman"/>
          <w:sz w:val="24"/>
        </w:rPr>
        <w:t xml:space="preserve">, so </w:t>
      </w:r>
      <m:oMath>
        <m:sSup>
          <m:e>
            <m:r>
              <m:t>T</m:t>
            </m:r>
          </m:e>
          <m:sup>
            <m:r>
              <m:t>*T</m:t>
            </m:r>
          </m:sup>
        </m:sSup>
      </m:oMath>
      <w:r>
        <w:rPr>
          <w:rFonts w:ascii="Times New Roman" w:hAnsi="Times New Roman"/>
          <w:sz w:val="24"/>
        </w:rPr>
        <w:t xml:space="preserve"> is strictly invertible, uniquely yielding </w:t>
      </w:r>
      <m:oMath>
        <m:sSup>
          <m:e>
            <m:r>
              <m:t>f</m:t>
            </m:r>
          </m:e>
          <m:sup>
            <m:r>
              <m:t>*</m:t>
            </m:r>
          </m:sup>
        </m:sSup>
        <m:r>
          <m:t>(X)=</m:t>
        </m:r>
        <m:sSup>
          <m:e>
            <m:r>
              <m:t>𝐩</m:t>
            </m:r>
          </m:e>
          <m:sup>
            <m:r>
              <m:t>*</m:t>
            </m:r>
          </m:sup>
        </m:sSup>
        <m:r>
          <m:t>(X)</m:t>
        </m:r>
      </m:oMath>
      <w:r>
        <w:rPr>
          <w:rFonts w:ascii="Times New Roman" w:hAnsi="Times New Roman"/>
          <w:sz w:val="24"/>
        </w:rPr>
        <w:t xml:space="preserve">. The baseline risks differ solely by the constant </w:t>
      </w:r>
      <m:oMath>
        <m:sSub>
          <m:e>
            <m:r>
              <m:t>Δ</m:t>
            </m:r>
          </m:e>
          <m:sub>
            <m:r>
              <m:t>H</m:t>
            </m:r>
          </m:sub>
        </m:sSub>
        <m:r>
          <m:t>=</m:t>
        </m:r>
        <m:sSub>
          <m:e>
            <m:r>
              <m:t>𝔼</m:t>
            </m:r>
          </m:e>
          <m:sub>
            <m:r>
              <m:t>X</m:t>
            </m:r>
          </m:sub>
        </m:sSub>
        <m:r>
          <m:t>[H(</m:t>
        </m:r>
        <m:sSup>
          <m:e>
            <m:r>
              <m:t>T</m:t>
            </m:r>
          </m:e>
          <m:sup>
            <m:r>
              <m:t>*T</m:t>
            </m:r>
          </m:sup>
        </m:sSup>
        <m:sSup>
          <m:e>
            <m:r>
              <m:t>𝐩</m:t>
            </m:r>
          </m:e>
          <m:sup>
            <m:r>
              <m:t>*</m:t>
            </m:r>
          </m:sup>
        </m:sSup>
        <m:r>
          <m:t>(X))−H(</m:t>
        </m:r>
        <m:sSup>
          <m:e>
            <m:r>
              <m:t>𝐩</m:t>
            </m:r>
          </m:e>
          <m:sup>
            <m:r>
              <m:t>*</m:t>
            </m:r>
          </m:sup>
        </m:sSup>
        <m:r>
          <m:t>(X))]</m:t>
        </m:r>
      </m:oMath>
      <w:r>
        <w:rPr>
          <w:rFonts w:ascii="Times New Roman" w:hAnsi="Times New Roman"/>
          <w:sz w:val="24"/>
        </w:rPr>
        <w:t>, proving Part 1.</w:t>
      </w:r>
    </w:p>
    <w:p>
      <w:pPr>
        <w:spacing w:line="360" w:lineRule="auto" w:before="0" w:after="120"/>
        <w:jc w:val="both"/>
      </w:pPr>
      <w:r>
        <w:rPr>
          <w:rFonts w:ascii="Times New Roman" w:hAnsi="Times New Roman"/>
          <w:sz w:val="24"/>
        </w:rPr>
        <w:t xml:space="preserve">For Part 2, for any candidate </w:t>
      </w:r>
      <m:oMath>
        <m:r>
          <m:t>f</m:t>
        </m:r>
      </m:oMath>
      <w:r>
        <w:rPr>
          <w:rFonts w:ascii="Times New Roman" w:hAnsi="Times New Roman"/>
          <w:sz w:val="24"/>
        </w:rPr>
        <w:t xml:space="preserve">, clean excess risk is </w:t>
      </w:r>
      <m:oMath>
        <m:sSup>
          <m:e>
            <m:r>
              <m:t>ℰ</m:t>
            </m:r>
          </m:e>
          <m:sup>
            <m:r>
              <m:t>*</m:t>
            </m:r>
          </m:sup>
        </m:sSup>
        <m:r>
          <m:t>(f)=</m:t>
        </m:r>
        <m:sSub>
          <m:e>
            <m:r>
              <m:t>𝔼</m:t>
            </m:r>
          </m:e>
          <m:sub>
            <m:r>
              <m:t>X</m:t>
            </m:r>
          </m:sub>
        </m:sSub>
        <m:r>
          <m:t>[</m:t>
        </m:r>
        <m:sSub>
          <m:e>
            <m:r>
              <m:t>D</m:t>
            </m:r>
          </m:e>
          <m:sub>
            <m:r>
              <m:rPr>
                <m:sty m:val="p"/>
              </m:rPr>
              <m:t>KL</m:t>
            </m:r>
          </m:sub>
        </m:sSub>
        <m:r>
          <m:t>(</m:t>
        </m:r>
        <m:sSup>
          <m:e>
            <m:r>
              <m:t>𝐩</m:t>
            </m:r>
          </m:e>
          <m:sup>
            <m:r>
              <m:t>*</m:t>
            </m:r>
          </m:sup>
        </m:sSup>
        <m:r>
          <m:t>(X)∥f(X))]</m:t>
        </m:r>
      </m:oMath>
      <w:r>
        <w:rPr>
          <w:rFonts w:ascii="Times New Roman" w:hAnsi="Times New Roman"/>
          <w:sz w:val="24"/>
        </w:rPr>
        <w:t xml:space="preserve">. By Pinsker's inequality and the minimum singular value bound </w:t>
      </w:r>
      <m:oMath>
        <m:sSub>
          <m:e>
            <m:d>
              <m:dPr>
                <m:begChr m:val="‖"/>
                <m:sepChr m:val=""/>
                <m:endChr m:val="‖"/>
              </m:dPr>
              <m:e>
                <m:sSup>
                  <m:e>
                    <m:r>
                      <m:t>T</m:t>
                    </m:r>
                  </m:e>
                  <m:sup>
                    <m:r>
                      <m:t>*T</m:t>
                    </m:r>
                  </m:sup>
                </m:sSup>
                <m:r>
                  <m:t>𝐯</m:t>
                </m:r>
                <m:sSub>
                  <m:e>
                    <m:r>
                      <m:t>‖</m:t>
                    </m:r>
                  </m:e>
                  <m:sub>
                    <m:r>
                      <m:t>2</m:t>
                    </m:r>
                  </m:sub>
                </m:sSub>
                <m:r>
                  <m:t>≥</m:t>
                </m:r>
                <m:sSub>
                  <m:e>
                    <m:r>
                      <m:t>σ</m:t>
                    </m:r>
                  </m:e>
                  <m:sub>
                    <m:r>
                      <m:t>0</m:t>
                    </m:r>
                  </m:sub>
                </m:sSub>
                <m:r>
                  <m:t>‖𝐯</m:t>
                </m:r>
              </m:e>
            </m:d>
          </m:e>
          <m:sub>
            <m:r>
              <m:t>2</m:t>
            </m:r>
          </m:sub>
        </m:sSub>
      </m:oMath>
      <w:r>
        <w:rPr>
          <w:rFonts w:ascii="Times New Roman" w:hAnsi="Times New Roman"/>
          <w:sz w:val="24"/>
        </w:rPr>
        <w:t xml:space="preserve">: </w:t>
      </w:r>
      <m:oMath>
        <m:sSub>
          <m:e>
            <m:d>
              <m:dPr>
                <m:begChr m:val="‖"/>
                <m:sepChr m:val=""/>
                <m:endChr m:val="‖"/>
              </m:dPr>
              <m:e>
                <m:sSup>
                  <m:e>
                    <m:r>
                      <m:t>𝐩</m:t>
                    </m:r>
                  </m:e>
                  <m:sup>
                    <m:r>
                      <m:t>*</m:t>
                    </m:r>
                  </m:sup>
                </m:sSup>
                <m:r>
                  <m:t>(X)−f(X)</m:t>
                </m:r>
                <m:sSub>
                  <m:e>
                    <m:r>
                      <m:t>‖</m:t>
                    </m:r>
                  </m:e>
                  <m:sub>
                    <m:r>
                      <m:t>1</m:t>
                    </m:r>
                  </m:sub>
                </m:sSub>
                <m:r>
                  <m:t>≤</m:t>
                </m:r>
                <m:f>
                  <m:fPr>
                    <m:type m:val="bar"/>
                  </m:fPr>
                  <m:num>
                    <m:r>
                      <m:t>1</m:t>
                    </m:r>
                  </m:num>
                  <m:den>
                    <m:sSub>
                      <m:e>
                        <m:r>
                          <m:t>σ</m:t>
                        </m:r>
                      </m:e>
                      <m:sub>
                        <m:r>
                          <m:t>0</m:t>
                        </m:r>
                      </m:sub>
                    </m:sSub>
                  </m:den>
                </m:f>
                <m:r>
                  <m:t>‖</m:t>
                </m:r>
                <m:sSup>
                  <m:e>
                    <m:r>
                      <m:t>T</m:t>
                    </m:r>
                  </m:e>
                  <m:sup>
                    <m:r>
                      <m:t>*T</m:t>
                    </m:r>
                  </m:sup>
                </m:sSup>
                <m:r>
                  <m:t>(</m:t>
                </m:r>
                <m:sSup>
                  <m:e>
                    <m:r>
                      <m:t>𝐩</m:t>
                    </m:r>
                  </m:e>
                  <m:sup>
                    <m:r>
                      <m:t>*</m:t>
                    </m:r>
                  </m:sup>
                </m:sSup>
                <m:r>
                  <m:t>(X)−f(X))</m:t>
                </m:r>
              </m:e>
            </m:d>
          </m:e>
          <m:sub>
            <m:r>
              <m:t>1</m:t>
            </m:r>
          </m:sub>
        </m:sSub>
      </m:oMath>
      <w:r>
        <w:rPr>
          <w:rFonts w:ascii="Times New Roman" w:hAnsi="Times New Roman"/>
          <w:sz w:val="24"/>
        </w:rPr>
        <w:t xml:space="preserve">. Applying uniform Rademacher generalization bounds on </w:t>
      </w:r>
      <m:oMath>
        <m:r>
          <m:t>ℱ</m:t>
        </m:r>
      </m:oMath>
      <w:r>
        <w:rPr>
          <w:rFonts w:ascii="Times New Roman" w:hAnsi="Times New Roman"/>
          <w:sz w:val="24"/>
        </w:rPr>
        <w:t xml:space="preserve"> with bounded loss, with probability at least </w:t>
      </w:r>
      <m:oMath>
        <m:r>
          <m:t>1−η</m:t>
        </m:r>
      </m:oMath>
      <w:r>
        <w:rPr>
          <w:rFonts w:ascii="Times New Roman" w:hAnsi="Times New Roman"/>
          <w:sz w:val="24"/>
        </w:rPr>
        <w:t xml:space="preserve">: </w:t>
      </w:r>
      <m:oMath>
        <m:sSub>
          <m:e>
            <m:r>
              <m:t>sup</m:t>
            </m:r>
          </m:e>
          <m:sub>
            <m:r>
              <m:t>f∈ℱ</m:t>
            </m:r>
          </m:sub>
        </m:sSub>
        <m:r>
          <m:t>|</m:t>
        </m:r>
        <m:sSub>
          <m:e>
            <m:acc>
              <m:accPr>
                <m:chr m:val="̂"/>
              </m:accPr>
              <m:e>
                <m:r>
                  <m:t>R</m:t>
                </m:r>
              </m:e>
            </m:acc>
          </m:e>
          <m:sub>
            <m:r>
              <m:rPr>
                <m:sty m:val="p"/>
              </m:rPr>
              <m:t>forward</m:t>
            </m:r>
          </m:sub>
        </m:sSub>
        <m:r>
          <m:t>(f;</m:t>
        </m:r>
        <m:acc>
          <m:accPr>
            <m:chr m:val="̂"/>
          </m:accPr>
          <m:e>
            <m:r>
              <m:t>T</m:t>
            </m:r>
          </m:e>
        </m:acc>
        <m:r>
          <m:t>)−</m:t>
        </m:r>
        <m:sSub>
          <m:e>
            <m:r>
              <m:t>R</m:t>
            </m:r>
          </m:e>
          <m:sub>
            <m:r>
              <m:rPr>
                <m:sty m:val="p"/>
              </m:rPr>
              <m:t>forward</m:t>
            </m:r>
          </m:sub>
        </m:sSub>
        <m:r>
          <m:t>(f;</m:t>
        </m:r>
        <m:sSup>
          <m:e>
            <m:r>
              <m:t>T</m:t>
            </m:r>
          </m:e>
          <m:sup>
            <m:r>
              <m:t>*</m:t>
            </m:r>
          </m:sup>
        </m:sSup>
        <m:r>
          <m:t>)|≤</m:t>
        </m:r>
        <m:sSub>
          <m:e>
            <m:r>
              <m:t>L</m:t>
            </m:r>
          </m:e>
          <m:sub>
            <m:r>
              <m:rPr>
                <m:sty m:val="p"/>
              </m:rPr>
              <m:t>CE</m:t>
            </m:r>
          </m:sub>
        </m:sSub>
        <m:r>
          <m:t>δ+𝒪</m:t>
        </m:r>
        <m:d>
          <m:dPr>
            <m:sepChr m:val=""/>
          </m:dPr>
          <m:e>
            <m:f>
              <m:fPr>
                <m:type m:val="bar"/>
              </m:fPr>
              <m:num>
                <m:r>
                  <m:t>1</m:t>
                </m:r>
              </m:num>
              <m:den>
                <m:rad>
                  <m:radPr>
                    <m:degHide m:val="on"/>
                  </m:radPr>
                  <m:deg/>
                  <m:e>
                    <m:r>
                      <m:t>N</m:t>
                    </m:r>
                  </m:e>
                </m:rad>
              </m:den>
            </m:f>
          </m:e>
        </m:d>
      </m:oMath>
      <w:r>
        <w:rPr>
          <w:rFonts w:ascii="Times New Roman" w:hAnsi="Times New Roman"/>
          <w:sz w:val="24"/>
        </w:rPr>
        <w:t xml:space="preserve">. Evaluating at empirical minimizer </w:t>
      </w:r>
      <m:oMath>
        <m:acc>
          <m:accPr>
            <m:chr m:val="̂"/>
          </m:accPr>
          <m:e>
            <m:r>
              <m:t>f</m:t>
            </m:r>
          </m:e>
        </m:acc>
      </m:oMath>
      <w:r>
        <w:rPr>
          <w:rFonts w:ascii="Times New Roman" w:hAnsi="Times New Roman"/>
          <w:sz w:val="24"/>
        </w:rPr>
        <w:t xml:space="preserve"> yields: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m:t>
        </m:r>
        <m:d>
          <m:dPr>
            <m:sepChr m:val=""/>
          </m:dPr>
          <m:e>
            <m:f>
              <m:fPr>
                <m:type m:val="bar"/>
              </m:fPr>
              <m:num>
                <m:r>
                  <m:t>1</m:t>
                </m:r>
              </m:num>
              <m:den>
                <m:rad>
                  <m:radPr>
                    <m:degHide m:val="on"/>
                  </m:radPr>
                  <m:deg/>
                  <m:e>
                    <m:r>
                      <m:t>N</m:t>
                    </m:r>
                  </m:e>
                </m:rad>
              </m:den>
            </m:f>
          </m:e>
        </m:d>
      </m:oMath>
      <w:r>
        <w:rPr>
          <w:rFonts w:ascii="Times New Roman" w:hAnsi="Times New Roman"/>
          <w:sz w:val="24"/>
        </w:rPr>
        <w:t>,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f>
          <m:fPr>
            <m:type m:val="bar"/>
          </m:fPr>
          <m:num>
            <m:r>
              <m:t>1</m:t>
            </m:r>
          </m:num>
          <m:den>
            <m:rad>
              <m:radPr>
                <m:degHide m:val="on"/>
              </m:radPr>
              <m:deg/>
              <m:e>
                <m:r>
                  <m:t>λ</m:t>
                </m:r>
              </m:e>
            </m:rad>
          </m:den>
        </m:f>
        <m:r>
          <m:t>‖</m:t>
        </m:r>
        <m:acc>
          <m:accPr>
            <m:chr m:val="̂"/>
          </m:accPr>
          <m:e>
            <m:r>
              <m:t>T</m:t>
            </m:r>
          </m:e>
        </m:acc>
        <m:r>
          <m:t>−</m:t>
        </m:r>
        <m:sSup>
          <m:e>
            <m:r>
              <m:t>T</m:t>
            </m:r>
          </m:e>
          <m:sup>
            <m:r>
              <m:t>*</m:t>
            </m:r>
          </m:sup>
        </m:sSup>
        <m:sSub>
          <m:e>
            <m:r>
              <m:t>‖</m:t>
            </m:r>
          </m:e>
          <m:sub>
            <m:r>
              <m:t>2</m:t>
            </m:r>
          </m:sub>
        </m:sSub>
        <m:r>
          <m:t>≤</m:t>
        </m:r>
        <m:f>
          <m:fPr>
            <m:type m:val="bar"/>
          </m:fPr>
          <m:num>
            <m:r>
              <m:t>δ</m:t>
            </m:r>
          </m:num>
          <m:den>
            <m:rad>
              <m:radPr>
                <m:degHide m:val="on"/>
              </m:radPr>
              <m:deg/>
              <m:e>
                <m:r>
                  <m:t>λ</m:t>
                </m:r>
              </m:e>
            </m:rad>
          </m:den>
        </m:f>
      </m:oMath>
      <w:r>
        <w:rPr>
          <w:rFonts w:ascii="Times New Roman" w:hAnsi="Times New Roman"/>
          <w:sz w:val="24"/>
        </w:rPr>
        <w:t xml:space="preserve"> via the Lipschitz resolvent mapping, and </w:t>
      </w:r>
      <m:oMath>
        <m:r>
          <m:t>‖</m:t>
        </m:r>
        <m:sSubSup>
          <m:e>
            <m:r>
              <m:t>T</m:t>
            </m:r>
          </m:e>
          <m:sub>
            <m:r>
              <m:t>λ</m:t>
            </m:r>
          </m:sub>
          <m:sup>
            <m:r>
              <m:t>*†</m:t>
            </m:r>
          </m:sup>
        </m:sSubSup>
        <m:r>
          <m:t>−(</m:t>
        </m:r>
        <m:sSup>
          <m:e>
            <m:r>
              <m:t>T</m:t>
            </m:r>
          </m:e>
          <m:sup>
            <m:r>
              <m:t>*</m:t>
            </m:r>
          </m:sup>
        </m:sSup>
        <m:sSup>
          <m:e>
            <m:r>
              <m:t>)</m:t>
            </m:r>
          </m:e>
          <m:sup>
            <m:r>
              <m:t>−1</m:t>
            </m:r>
          </m:sup>
        </m:sSup>
        <m:sSub>
          <m:e>
            <m:r>
              <m:t>‖</m:t>
            </m:r>
          </m:e>
          <m:sub>
            <m:r>
              <m:t>2</m:t>
            </m:r>
          </m:sub>
        </m:sSub>
        <m:r>
          <m:t>=‖λ(</m:t>
        </m:r>
        <m:sSup>
          <m:e>
            <m:r>
              <m:t>T</m:t>
            </m:r>
          </m:e>
          <m:sup>
            <m:r>
              <m:t>*T</m:t>
            </m:r>
          </m:sup>
        </m:sSup>
        <m:sSup>
          <m:e>
            <m:r>
              <m:t>T</m:t>
            </m:r>
          </m:e>
          <m:sup>
            <m:r>
              <m:t>*</m:t>
            </m:r>
          </m:sup>
        </m:sSup>
        <m:r>
          <m:t>+λI</m:t>
        </m:r>
        <m:sSup>
          <m:e>
            <m:r>
              <m:t>)</m:t>
            </m:r>
          </m:e>
          <m:sup>
            <m:r>
              <m:t>−1</m:t>
            </m:r>
          </m:sup>
        </m:sSup>
        <m:r>
          <m:t>(</m:t>
        </m:r>
        <m:sSup>
          <m:e>
            <m:r>
              <m:t>T</m:t>
            </m:r>
          </m:e>
          <m:sup>
            <m:r>
              <m:t>*</m:t>
            </m:r>
          </m:sup>
        </m:sSup>
        <m:sSup>
          <m:e>
            <m:r>
              <m:t>)</m:t>
            </m:r>
          </m:e>
          <m:sup>
            <m:r>
              <m:t>−1</m:t>
            </m:r>
          </m:sup>
        </m:sSup>
        <m:sSub>
          <m:e>
            <m:r>
              <m:t>‖</m:t>
            </m:r>
          </m:e>
          <m:sub>
            <m:r>
              <m:t>2</m:t>
            </m:r>
          </m:sub>
        </m:sSub>
        <m:r>
          <m:t>≤</m:t>
        </m:r>
        <m:f>
          <m:fPr>
            <m:type m:val="bar"/>
          </m:fPr>
          <m:num>
            <m:r>
              <m:t>λ</m:t>
            </m:r>
          </m:num>
          <m:den>
            <m:sSubSup>
              <m:e>
                <m:r>
                  <m:t>σ</m:t>
                </m:r>
              </m:e>
              <m:sub>
                <m:r>
                  <m:t>0</m:t>
                </m:r>
              </m:sub>
              <m:sup>
                <m:r>
                  <m:t>2</m:t>
                </m:r>
              </m:sup>
            </m:sSubSup>
            <m:r>
              <m:t>+λ</m:t>
            </m:r>
          </m:den>
        </m:f>
        <m:r>
          <m:t>·</m:t>
        </m:r>
        <m:f>
          <m:fPr>
            <m:type m:val="bar"/>
          </m:fPr>
          <m:num>
            <m:r>
              <m:t>1</m:t>
            </m:r>
          </m:num>
          <m:den>
            <m:sSub>
              <m:e>
                <m:r>
                  <m:t>σ</m:t>
                </m:r>
              </m:e>
              <m:sub>
                <m:r>
                  <m:t>0</m:t>
                </m:r>
              </m:sub>
            </m:sSub>
          </m:den>
        </m:f>
      </m:oMath>
      <w:r>
        <w:rPr>
          <w:rFonts w:ascii="Times New Roman" w:hAnsi="Times New Roman"/>
          <w:sz w:val="24"/>
        </w:rPr>
        <w:t>,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 xml:space="preserve">Recall@K &amp; nDCG@K: Top-K ranking accuracy computed against held-out ground truth test interactions </w:t>
      </w:r>
      <m:oMath>
        <m:sSubSup>
          <m:e>
            <m:r>
              <m:t>ℐ</m:t>
            </m:r>
          </m:e>
          <m:sub>
            <m:r>
              <m:t>u</m:t>
            </m:r>
          </m:sub>
          <m:sup>
            <m:r>
              <m:rPr>
                <m:sty m:val="p"/>
              </m:rPr>
              <m:t>test</m:t>
            </m:r>
          </m:sup>
        </m:sSubSup>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 xml:space="preserve">Raw Long-Tail Coverage (LTC@K): The fraction of unique long-tail items recommended across all users: </w:t>
      </w:r>
      <m:oMath>
        <m:r>
          <m:rPr>
            <m:sty m:val="p"/>
          </m:rPr>
          <m:t>LTC</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sSub>
                  <m:e>
                    <m:r>
                      <m:t>ℐ</m:t>
                    </m:r>
                  </m:e>
                  <m:sub>
                    <m:r>
                      <m:rPr>
                        <m:sty m:val="p"/>
                      </m:rPr>
                      <m:t>tail</m:t>
                    </m:r>
                  </m:sub>
                </m:sSub>
              </m:e>
            </m:d>
          </m:num>
          <m:den>
            <m:d>
              <m:dPr>
                <m:begChr m:val="|"/>
                <m:sepChr m:val=""/>
                <m:endChr m:val="|"/>
              </m:dPr>
              <m:e>
                <m:sSub>
                  <m:e>
                    <m:r>
                      <m:t>ℐ</m:t>
                    </m:r>
                  </m:e>
                  <m:sub>
                    <m:r>
                      <m:rPr>
                        <m:sty m:val="p"/>
                      </m:rPr>
                      <m:t>tail</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 xml:space="preserve">Genuine Long-Tail Coverage (g-LTC@K): Catalog coverage of authentic long-tail items strictly excluding injected attack targets </w:t>
      </w:r>
      <m:oMath>
        <m:sSub>
          <m:e>
            <m:r>
              <m:t>ℐ</m:t>
            </m:r>
          </m:e>
          <m:sub>
            <m:r>
              <m:rPr>
                <m:sty m:val="p"/>
              </m:rPr>
              <m:t>target</m:t>
            </m:r>
          </m:sub>
        </m:sSub>
      </m:oMath>
      <w:r>
        <w:rPr>
          <w:rFonts w:ascii="Times New Roman" w:hAnsi="Times New Roman"/>
          <w:sz w:val="24"/>
        </w:rPr>
        <w:t xml:space="preserve">: </w:t>
      </w:r>
      <m:oMath>
        <m:r>
          <m:t>g</m:t>
        </m:r>
        <m:r>
          <m:rPr>
            <m:nor/>
          </m:rPr>
          <m:t>-</m:t>
        </m:r>
        <m:r>
          <m:rPr>
            <m:sty m:val="p"/>
          </m:rPr>
          <m:t>LTC</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r>
                  <m:t>(</m:t>
                </m:r>
                <m:sSub>
                  <m:e>
                    <m:r>
                      <m:t>ℐ</m:t>
                    </m:r>
                  </m:e>
                  <m:sub>
                    <m:r>
                      <m:rPr>
                        <m:sty m:val="p"/>
                      </m:rPr>
                      <m:t>tail</m:t>
                    </m:r>
                  </m:sub>
                </m:sSub>
                <m:r>
                  <m:t>⧵</m:t>
                </m:r>
                <m:sSub>
                  <m:e>
                    <m:r>
                      <m:t>ℐ</m:t>
                    </m:r>
                  </m:e>
                  <m:sub>
                    <m:r>
                      <m:rPr>
                        <m:sty m:val="p"/>
                      </m:rPr>
                      <m:t>target</m:t>
                    </m:r>
                  </m:sub>
                </m:sSub>
                <m:r>
                  <m:t>)</m:t>
                </m:r>
              </m:e>
            </m:d>
          </m:num>
          <m:den>
            <m:d>
              <m:dPr>
                <m:begChr m:val="|"/>
                <m:sepChr m:val=""/>
                <m:endChr m:val="|"/>
              </m:dPr>
              <m:e>
                <m:sSub>
                  <m:e>
                    <m:r>
                      <m:t>ℐ</m:t>
                    </m:r>
                  </m:e>
                  <m:sub>
                    <m:r>
                      <m:rPr>
                        <m:sty m:val="p"/>
                      </m:rPr>
                      <m:t>tail</m:t>
                    </m:r>
                  </m:sub>
                </m:sSub>
                <m:r>
                  <m:t>⧵</m:t>
                </m:r>
                <m:sSub>
                  <m:e>
                    <m:r>
                      <m:t>ℐ</m:t>
                    </m:r>
                  </m:e>
                  <m:sub>
                    <m:r>
                      <m:rPr>
                        <m:sty m:val="p"/>
                      </m:rPr>
                      <m:t>target</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 xml:space="preserve">Spam Target Exposure Rate (STER@K): The fraction of designated attack targets forced into top-K recommendation lists: </w:t>
      </w:r>
      <m:oMath>
        <m:r>
          <m:rPr>
            <m:sty m:val="p"/>
          </m:rPr>
          <m:t>STER</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sSub>
                  <m:e>
                    <m:r>
                      <m:t>ℐ</m:t>
                    </m:r>
                  </m:e>
                  <m:sub>
                    <m:r>
                      <m:rPr>
                        <m:sty m:val="p"/>
                      </m:rPr>
                      <m:t>target</m:t>
                    </m:r>
                  </m:sub>
                </m:sSub>
              </m:e>
            </m:d>
          </m:num>
          <m:den>
            <m:d>
              <m:dPr>
                <m:begChr m:val="|"/>
                <m:sepChr m:val=""/>
                <m:endChr m:val="|"/>
              </m:dPr>
              <m:e>
                <m:sSub>
                  <m:e>
                    <m:r>
                      <m:t>ℐ</m:t>
                    </m:r>
                  </m:e>
                  <m:sub>
                    <m:r>
                      <m:rPr>
                        <m:sty m:val="p"/>
                      </m:rPr>
                      <m:t>target</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 xml:space="preserve">Root Mean Square Error of Popularity Calibration (RMSE-PC): Measures the divergence between recommended tail proportions and historical user tail inclination </w:t>
      </w:r>
      <m:oMath>
        <m:sSubSup>
          <m:e>
            <m:r>
              <m:t>α</m:t>
            </m:r>
          </m:e>
          <m:sub>
            <m:r>
              <m:t>u</m:t>
            </m:r>
          </m:sub>
          <m:sup>
            <m:r>
              <m:t>*</m:t>
            </m:r>
          </m:sup>
        </m:sSubSup>
      </m:oMath>
      <w:r>
        <w:rPr>
          <w:rFonts w:ascii="Times New Roman" w:hAnsi="Times New Roman"/>
          <w:sz w:val="24"/>
        </w:rPr>
        <w:t xml:space="preserve">: </w:t>
      </w:r>
      <m:oMath>
        <m:r>
          <m:rPr>
            <m:sty m:val="p"/>
          </m:rPr>
          <m:t>RMSE</m:t>
        </m:r>
        <m:r>
          <m:rPr>
            <m:nor/>
          </m:rPr>
          <m:t>-</m:t>
        </m:r>
        <m:r>
          <m:rPr>
            <m:sty m:val="p"/>
          </m:rPr>
          <m:t>PC</m:t>
        </m:r>
        <m:r>
          <m:t>=</m:t>
        </m:r>
        <m:rad>
          <m:radPr>
            <m:degHide m:val="on"/>
          </m:radPr>
          <m:deg/>
          <m:e>
            <m:f>
              <m:fPr>
                <m:type m:val="bar"/>
              </m:fPr>
              <m:num>
                <m:r>
                  <m:t>1</m:t>
                </m:r>
              </m:num>
              <m:den>
                <m:d>
                  <m:dPr>
                    <m:begChr m:val="|"/>
                    <m:sepChr m:val=""/>
                    <m:endChr m:val="|"/>
                  </m:dPr>
                  <m:e>
                    <m:r>
                      <m:t>𝒰</m:t>
                    </m:r>
                  </m:e>
                </m:d>
              </m:den>
            </m:f>
            <m:nary>
              <m:naryPr>
                <m:chr m:val="∑"/>
                <m:limLoc m:val="subSup"/>
                <m:grow m:val="1"/>
                <m:subHide m:val="off"/>
                <m:supHide m:val="on"/>
              </m:naryPr>
              <m:sub>
                <m:r>
                  <m:t>u∈𝒰</m:t>
                </m:r>
              </m:sub>
              <m:sup/>
              <m:e>
                <m:sSup>
                  <m:e>
                    <m:d>
                      <m:dPr>
                        <m:sepChr m:val="−"/>
                      </m:dPr>
                      <m:e>
                        <m:f>
                          <m:fPr>
                            <m:type m:val="bar"/>
                          </m:fPr>
                          <m:num>
                            <m:d>
                              <m:dPr>
                                <m:begChr m:val="|"/>
                                <m:sepChr m:val=""/>
                                <m:endChr m:val="|"/>
                              </m:dPr>
                              <m:e>
                                <m:r>
                                  <m:rPr>
                                    <m:sty m:val="p"/>
                                  </m:rPr>
                                  <m:t>TopK</m:t>
                                </m:r>
                                <m:r>
                                  <m:t>(</m:t>
                                </m:r>
                                <m:r>
                                  <m:t>u</m:t>
                                </m:r>
                                <m:r>
                                  <m:t>)</m:t>
                                </m:r>
                                <m:r>
                                  <m:t>∩</m:t>
                                </m:r>
                                <m:sSub>
                                  <m:e>
                                    <m:r>
                                      <m:t>ℐ</m:t>
                                    </m:r>
                                  </m:e>
                                  <m:sub>
                                    <m:r>
                                      <m:rPr>
                                        <m:sty m:val="p"/>
                                      </m:rPr>
                                      <m:t>tail</m:t>
                                    </m:r>
                                  </m:sub>
                                </m:sSub>
                              </m:e>
                            </m:d>
                          </m:num>
                          <m:den>
                            <m:r>
                              <m:t>K</m:t>
                            </m:r>
                          </m:den>
                        </m:f>
                      </m:e>
                      <m:e>
                        <m:sSubSup>
                          <m:e>
                            <m:r>
                              <m:t>α</m:t>
                            </m:r>
                          </m:e>
                          <m:sub>
                            <m:r>
                              <m:t>u</m:t>
                            </m:r>
                          </m:sub>
                          <m:sup>
                            <m:r>
                              <m:t>*</m:t>
                            </m:r>
                          </m:sup>
                        </m:sSubSup>
                      </m:e>
                    </m:d>
                  </m:e>
                  <m:sup>
                    <m:r>
                      <m:t>2</m:t>
                    </m:r>
                  </m:sup>
                </m:sSup>
              </m:e>
            </m:nary>
          </m:e>
        </m:rad>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 xml:space="preserve">Mean Rank Miscalibration (MRMC): Measures KL divergence between recommended and historical popularity quintile distributions: </w:t>
      </w:r>
      <m:oMath>
        <m:r>
          <m:rPr>
            <m:sty m:val="p"/>
          </m:rPr>
          <m:t>MRMC</m:t>
        </m:r>
        <m:r>
          <m:t>=</m:t>
        </m:r>
        <m:f>
          <m:fPr>
            <m:type m:val="bar"/>
          </m:fPr>
          <m:num>
            <m:r>
              <m:t>1</m:t>
            </m:r>
          </m:num>
          <m:den>
            <m:d>
              <m:dPr>
                <m:begChr m:val="|"/>
                <m:sepChr m:val=""/>
                <m:endChr m:val="|"/>
              </m:dPr>
              <m:e>
                <m:r>
                  <m:t>𝒰</m:t>
                </m:r>
              </m:e>
            </m:d>
          </m:den>
        </m:f>
        <m:nary>
          <m:naryPr>
            <m:chr m:val="∑"/>
            <m:limLoc m:val="subSup"/>
            <m:grow m:val="1"/>
            <m:subHide m:val="off"/>
            <m:supHide m:val="on"/>
          </m:naryPr>
          <m:sub>
            <m:r>
              <m:t>u∈𝒰</m:t>
            </m:r>
          </m:sub>
          <m:sup/>
          <m:e>
            <m:sSub>
              <m:e>
                <m:r>
                  <m:t>D</m:t>
                </m:r>
              </m:e>
              <m:sub>
                <m:r>
                  <m:rPr>
                    <m:sty m:val="p"/>
                  </m:rPr>
                  <m:t>KL</m:t>
                </m:r>
              </m:sub>
            </m:sSub>
          </m:e>
        </m:nary>
        <m:r>
          <m:t>(</m:t>
        </m:r>
        <m:sSub>
          <m:e>
            <m:r>
              <m:t>𝐩</m:t>
            </m:r>
          </m:e>
          <m:sub>
            <m:r>
              <m:rPr>
                <m:sty m:val="p"/>
              </m:rPr>
              <m:t>rec</m:t>
            </m:r>
          </m:sub>
        </m:sSub>
        <m:r>
          <m:t>(u)∥</m:t>
        </m:r>
        <m:sSub>
          <m:e>
            <m:r>
              <m:t>𝐩</m:t>
            </m:r>
          </m:e>
          <m:sub>
            <m:r>
              <m:rPr>
                <m:sty m:val="p"/>
              </m:rPr>
              <m:t>hist</m:t>
            </m:r>
          </m:sub>
        </m:sSub>
        <m:r>
          <m:t>(u))</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 xml:space="preserve">General Key Performance Indicator (GKPI): The harmonic mean of ranking utility, calibration fidelity, catalog coverage, and novelty: </w:t>
      </w:r>
      <m:oMath>
        <m:r>
          <m:rPr>
            <m:sty m:val="p"/>
          </m:rPr>
          <m:t>GKPI</m:t>
        </m:r>
        <m:r>
          <m:t>=</m:t>
        </m:r>
        <m:f>
          <m:fPr>
            <m:type m:val="bar"/>
          </m:fPr>
          <m:num>
            <m:r>
              <m:t>4</m:t>
            </m:r>
          </m:num>
          <m:den>
            <m:sSup>
              <m:e>
                <m:r>
                  <m:rPr>
                    <m:sty m:val="p"/>
                  </m:rPr>
                  <m:t>nDCG</m:t>
                </m:r>
              </m:e>
              <m:sup>
                <m:r>
                  <m:t>−1</m:t>
                </m:r>
              </m:sup>
            </m:sSup>
            <m:r>
              <m:t>+(1−</m:t>
            </m:r>
            <m:r>
              <m:rPr>
                <m:sty m:val="p"/>
              </m:rPr>
              <m:t>RMSE</m:t>
            </m:r>
            <m:sSup>
              <m:e>
                <m:r>
                  <m:t>)</m:t>
                </m:r>
              </m:e>
              <m:sup>
                <m:r>
                  <m:t>−1</m:t>
                </m:r>
              </m:sup>
            </m:sSup>
            <m:r>
              <m:t>+</m:t>
            </m:r>
            <m:sSup>
              <m:e>
                <m:r>
                  <m:rPr>
                    <m:sty m:val="p"/>
                  </m:rPr>
                  <m:t>LTC</m:t>
                </m:r>
              </m:e>
              <m:sup>
                <m:r>
                  <m:t>−1</m:t>
                </m:r>
              </m:sup>
            </m:sSup>
            <m:r>
              <m:t>+(</m:t>
            </m:r>
            <m:sSub>
              <m:e>
                <m:r>
                  <m:t>K</m:t>
                </m:r>
              </m:e>
              <m:sub>
                <m:r>
                  <m:t>max</m:t>
                </m:r>
              </m:sub>
            </m:sSub>
            <m:r>
              <m:t>/</m:t>
            </m:r>
            <m:r>
              <m:rPr>
                <m:sty m:val="p"/>
              </m:rPr>
              <m:t>Nov</m:t>
            </m:r>
            <m:r>
              <m:t>)</m:t>
            </m:r>
          </m:den>
        </m:f>
      </m:oMath>
      <w:r>
        <w:rPr>
          <w:rFonts w:ascii="Times New Roman" w:hAnsi="Times New Roman"/>
          <w:sz w:val="24"/>
        </w:rPr>
        <w:t>.</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w:t>
      </w:r>
      <m:oMath>
        <m:sSub>
          <m:e>
            <m:r>
              <m:t>ℳ</m:t>
            </m:r>
          </m:e>
          <m:sub>
            <m:r>
              <m:rPr>
                <m:sty m:val="p"/>
              </m:rPr>
              <m:t>pop</m:t>
            </m:r>
          </m:sub>
        </m:sSub>
      </m:oMath>
      <w:r>
        <w:rPr>
          <w:rFonts w:ascii="Times New Roman" w:hAnsi="Times New Roman"/>
          <w:sz w:val="24"/>
        </w:rPr>
        <w:t>) and Tail (</w:t>
      </w:r>
      <m:oMath>
        <m:sSub>
          <m:e>
            <m:r>
              <m:t>ℳ</m:t>
            </m:r>
          </m:e>
          <m:sub>
            <m:r>
              <m:rPr>
                <m:sty m:val="p"/>
              </m:rPr>
              <m:t>tail</m:t>
            </m:r>
          </m:sub>
        </m:sSub>
      </m:oMath>
      <w:r>
        <w:rPr>
          <w:rFonts w:ascii="Times New Roman" w:hAnsi="Times New Roman"/>
          <w:sz w:val="24"/>
        </w:rPr>
        <w:t>)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 xml:space="preserve">MovieLens-1M sub-graph ingestion, </w:t>
            </w:r>
            <m:oMath>
              <m:r>
                <m:t>k</m:t>
              </m:r>
            </m:oMath>
            <w:r>
              <w:rPr>
                <w:rFonts w:ascii="Times New Roman" w:hAnsi="Times New Roman"/>
                <w:sz w:val="19"/>
              </w:rPr>
              <w:t>-core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 xml:space="preserve">Estimates </w:t>
            </w:r>
            <m:oMath>
              <m:r>
                <m:t>K×K</m:t>
              </m:r>
            </m:oMath>
            <w:r>
              <w:rPr>
                <w:rFonts w:ascii="Times New Roman" w:hAnsi="Times New Roman"/>
                <w:sz w:val="19"/>
              </w:rPr>
              <w:t xml:space="preserve"> stochastic rating transition matrix </w:t>
            </w:r>
            <m:oMath>
              <m:r>
                <m:t>T</m:t>
              </m:r>
            </m:oMath>
            <w:r>
              <w:rPr>
                <w:rFonts w:ascii="Times New Roman" w:hAnsi="Times New Roman"/>
                <w:sz w:val="19"/>
              </w:rPr>
              <w:t xml:space="preserve">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 xml:space="preserve">ACID-compliant SQLite database with Write-Ahead Logging (WAL) for </w:t>
            </w:r>
            <m:oMath>
              <m:r>
                <m:t>𝒪(1)</m:t>
              </m:r>
            </m:oMath>
            <w:r>
              <w:rPr>
                <w:rFonts w:ascii="Times New Roman" w:hAnsi="Times New Roman"/>
                <w:sz w:val="19"/>
              </w:rPr>
              <w:t xml:space="preserve">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 xml:space="preserve">Hardware-accelerated 2D BLAS matrix burst detection combining </w:t>
            </w:r>
            <m:oMath>
              <m:sSub>
                <m:e>
                  <m:r>
                    <m:t>Z</m:t>
                  </m:r>
                </m:e>
                <m:sub>
                  <m:r>
                    <m:rPr>
                      <m:sty m:val="p"/>
                    </m:rPr>
                    <m:t>temp</m:t>
                  </m:r>
                </m:sub>
              </m:sSub>
            </m:oMath>
            <w:r>
              <w:rPr>
                <w:rFonts w:ascii="Times New Roman" w:hAnsi="Times New Roman"/>
                <w:sz w:val="19"/>
              </w:rPr>
              <w:t xml:space="preserve"> and </w:t>
            </w:r>
            <m:oMath>
              <m:sSub>
                <m:e>
                  <m:r>
                    <m:t>S</m:t>
                  </m:r>
                </m:e>
                <m:sub>
                  <m:r>
                    <m:rPr>
                      <m:sty m:val="p"/>
                    </m:rPr>
                    <m:t>pol</m:t>
                  </m:r>
                </m:sub>
              </m:sSub>
            </m:oMath>
            <w:r>
              <w:rPr>
                <w:rFonts w:ascii="Times New Roman" w:hAnsi="Times New Roman"/>
                <w:sz w:val="19"/>
              </w:rPr>
              <w:t xml:space="preserve">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 xml:space="preserve">MIRF tri-view ensemble layer synthesizing </w:t>
            </w:r>
            <m:oMath>
              <m:sSub>
                <m:e>
                  <m:r>
                    <m:t>R</m:t>
                  </m:r>
                </m:e>
                <m:sub>
                  <m:r>
                    <m:rPr>
                      <m:sty m:val="p"/>
                    </m:rPr>
                    <m:t>RRFN</m:t>
                  </m:r>
                </m:sub>
              </m:sSub>
            </m:oMath>
            <w:r>
              <w:rPr>
                <w:rFonts w:ascii="Times New Roman" w:hAnsi="Times New Roman"/>
                <w:b/>
                <w:sz w:val="19"/>
              </w:rPr>
              <w:t xml:space="preserve">, </w:t>
            </w:r>
            <m:oMath>
              <m:sSub>
                <m:e>
                  <m:r>
                    <m:t>R</m:t>
                  </m:r>
                </m:e>
                <m:sub>
                  <m:r>
                    <m:rPr>
                      <m:sty m:val="p"/>
                    </m:rPr>
                    <m:t>LLM</m:t>
                  </m:r>
                </m:sub>
              </m:sSub>
            </m:oMath>
            <w:r>
              <w:rPr>
                <w:rFonts w:ascii="Times New Roman" w:hAnsi="Times New Roman"/>
                <w:b/>
                <w:sz w:val="19"/>
              </w:rPr>
              <w:t xml:space="preserve">, and </w:t>
            </w:r>
            <m:oMath>
              <m:sSub>
                <m:e>
                  <m:r>
                    <m:t>R</m:t>
                  </m:r>
                </m:e>
                <m:sub>
                  <m:r>
                    <m:rPr>
                      <m:sty m:val="p"/>
                    </m:rPr>
                    <m:t>bomb</m:t>
                  </m:r>
                </m:sub>
              </m:sSub>
            </m:oMath>
            <w:r>
              <w:rPr>
                <w:rFonts w:ascii="Times New Roman" w:hAnsi="Times New Roman"/>
                <w:b/>
                <w:sz w:val="19"/>
              </w:rPr>
              <w:t xml:space="preserve"> into weights </w:t>
            </w:r>
            <m:oMath>
              <m:sSub>
                <m:e>
                  <m:r>
                    <m:t>w</m:t>
                  </m:r>
                </m:e>
                <m:sub>
                  <m:r>
                    <m:t>ui</m:t>
                  </m:r>
                </m:sub>
              </m:sSub>
            </m:oMath>
            <w:r>
              <w:rPr>
                <w:rFonts w:ascii="Times New Roman" w:hAnsi="Times New Roman"/>
                <w:b/>
                <w:sz w:val="19"/>
              </w:rPr>
              <w:t>.</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 xml:space="preserve">Partitions catalog at </w:t>
            </w:r>
            <m:oMath>
              <m:r>
                <m:t>ρ=0.20</m:t>
              </m:r>
            </m:oMath>
            <w:r>
              <w:rPr>
                <w:rFonts w:ascii="Times New Roman" w:hAnsi="Times New Roman"/>
                <w:sz w:val="19"/>
              </w:rPr>
              <w:t xml:space="preserve"> into Head (</w:t>
            </w:r>
            <m:oMath>
              <m:sSub>
                <m:e>
                  <m:r>
                    <m:t>ℐ</m:t>
                  </m:r>
                </m:e>
                <m:sub>
                  <m:r>
                    <m:rPr>
                      <m:sty m:val="p"/>
                    </m:rPr>
                    <m:t>head</m:t>
                  </m:r>
                </m:sub>
              </m:sSub>
            </m:oMath>
            <w:r>
              <w:rPr>
                <w:rFonts w:ascii="Times New Roman" w:hAnsi="Times New Roman"/>
                <w:sz w:val="19"/>
              </w:rPr>
              <w:t>) and Tail (</w:t>
            </w:r>
            <m:oMath>
              <m:sSub>
                <m:e>
                  <m:r>
                    <m:t>ℐ</m:t>
                  </m:r>
                </m:e>
                <m:sub>
                  <m:r>
                    <m:rPr>
                      <m:sty m:val="p"/>
                    </m:rPr>
                    <m:t>tail</m:t>
                  </m:r>
                </m:sub>
              </m:sSub>
            </m:oMath>
            <w:r>
              <w:rPr>
                <w:rFonts w:ascii="Times New Roman" w:hAnsi="Times New Roman"/>
                <w:sz w:val="19"/>
              </w:rPr>
              <w:t>)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 xml:space="preserve">Purifies historical user blueprints by filtering edges below trust threshold </w:t>
            </w:r>
            <m:oMath>
              <m:sSub>
                <m:e>
                  <m:r>
                    <m:t>θ</m:t>
                  </m:r>
                </m:e>
                <m:sub>
                  <m:r>
                    <m:rPr>
                      <m:sty m:val="p"/>
                    </m:rPr>
                    <m:t>trust</m:t>
                  </m:r>
                </m:sub>
              </m:sSub>
            </m:oMath>
            <w:r>
              <w:rPr>
                <w:rFonts w:ascii="Times New Roman" w:hAnsi="Times New Roman"/>
                <w:sz w:val="19"/>
              </w:rPr>
              <w: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 xml:space="preserve">Computes personalized tail inclination </w:t>
            </w:r>
            <m:oMath>
              <m:sSub>
                <m:e>
                  <m:r>
                    <m:t>α</m:t>
                  </m:r>
                </m:e>
                <m:sub>
                  <m:r>
                    <m:t>u</m:t>
                  </m:r>
                </m:sub>
              </m:sSub>
            </m:oMath>
            <w:r>
              <w:rPr>
                <w:rFonts w:ascii="Times New Roman" w:hAnsi="Times New Roman"/>
                <w:sz w:val="19"/>
              </w:rPr>
              <w:t xml:space="preserve">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w:t>
            </w:r>
            <m:oMath>
              <m:r>
                <m:t>K</m:t>
              </m:r>
            </m:oMath>
            <w:r>
              <w:rPr>
                <w:rFonts w:ascii="Times New Roman" w:hAnsi="Times New Roman"/>
                <w:sz w:val="19"/>
              </w:rPr>
              <w:t xml:space="preserve">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 xml:space="preserve">InfoNCE contrastive loss modulated by sample-level reliability weights </w:t>
            </w:r>
            <m:oMath>
              <m:sSub>
                <m:e>
                  <m:r>
                    <m:t>w</m:t>
                  </m:r>
                </m:e>
                <m:sub>
                  <m:r>
                    <m:t>ui</m:t>
                  </m:r>
                </m:sub>
              </m:sSub>
            </m:oMath>
            <w:r>
              <w:rPr>
                <w:rFonts w:ascii="Times New Roman" w:hAnsi="Times New Roman"/>
                <w:sz w:val="19"/>
              </w:rPr>
              <w:t>.</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 xml:space="preserve">Evaluates </w:t>
            </w:r>
            <m:oMath>
              <m:r>
                <m:rPr>
                  <m:sty m:val="p"/>
                </m:rPr>
                <m:t>Recall</m:t>
              </m:r>
              <m:r>
                <m:t>@K</m:t>
              </m:r>
            </m:oMath>
            <w:r>
              <w:rPr>
                <w:rFonts w:ascii="Times New Roman" w:hAnsi="Times New Roman"/>
                <w:sz w:val="19"/>
              </w:rPr>
              <w:t xml:space="preserve">, </w:t>
            </w:r>
            <m:oMath>
              <m:r>
                <m:rPr>
                  <m:sty m:val="p"/>
                </m:rPr>
                <m:t>nDCG</m:t>
              </m:r>
              <m:r>
                <m:t>@K</m:t>
              </m:r>
            </m:oMath>
            <w:r>
              <w:rPr>
                <w:rFonts w:ascii="Times New Roman" w:hAnsi="Times New Roman"/>
                <w:sz w:val="19"/>
              </w:rPr>
              <w:t xml:space="preserve">, </w:t>
            </w:r>
            <m:oMath>
              <m:r>
                <m:rPr>
                  <m:sty m:val="p"/>
                </m:rPr>
                <m:t>RMSEext</m:t>
              </m:r>
              <m:r>
                <m:t>−</m:t>
              </m:r>
              <m:r>
                <m:rPr>
                  <m:sty m:val="p"/>
                </m:rPr>
                <m:t>PC</m:t>
              </m:r>
            </m:oMath>
            <w:r>
              <w:rPr>
                <w:rFonts w:ascii="Times New Roman" w:hAnsi="Times New Roman"/>
                <w:sz w:val="19"/>
              </w:rPr>
              <w:t xml:space="preserve">, </w:t>
            </w:r>
            <m:oMath>
              <m:r>
                <m:rPr>
                  <m:sty m:val="p"/>
                </m:rPr>
                <m:t>MRMC</m:t>
              </m:r>
            </m:oMath>
            <w:r>
              <w:rPr>
                <w:rFonts w:ascii="Times New Roman" w:hAnsi="Times New Roman"/>
                <w:sz w:val="19"/>
              </w:rPr>
              <w:t xml:space="preserve">, </w:t>
            </w:r>
            <m:oMath>
              <m:r>
                <m:rPr>
                  <m:sty m:val="p"/>
                </m:rPr>
                <m:t>LTC</m:t>
              </m:r>
              <m:r>
                <m:t>@K</m:t>
              </m:r>
            </m:oMath>
            <w:r>
              <w:rPr>
                <w:rFonts w:ascii="Times New Roman" w:hAnsi="Times New Roman"/>
                <w:sz w:val="19"/>
              </w:rPr>
              <w:t>,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w:t>
            </w:r>
            <m:oMath>
              <m:r>
                <m:t>g</m:t>
              </m:r>
              <m:r>
                <m:rPr>
                  <m:nor/>
                </m:rPr>
                <m:t>-</m:t>
              </m:r>
              <m:r>
                <m:rPr>
                  <m:sty m:val="p"/>
                </m:rPr>
                <m:t>LTC</m:t>
              </m:r>
            </m:oMath>
            <w:r>
              <w:rPr>
                <w:rFonts w:ascii="Times New Roman" w:hAnsi="Times New Roman"/>
                <w:sz w:val="19"/>
              </w:rPr>
              <w:t>), Spam Target Exposure (</w:t>
            </w:r>
            <m:oMath>
              <m:r>
                <m:rPr>
                  <m:sty m:val="p"/>
                </m:rPr>
                <m:t>STER</m:t>
              </m:r>
            </m:oMath>
            <w:r>
              <w:rPr>
                <w:rFonts w:ascii="Times New Roman" w:hAnsi="Times New Roman"/>
                <w:sz w:val="19"/>
              </w:rPr>
              <w:t>),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 xml:space="preserve">SimGCL (simgcl.py): Builds upon LightGCN message passing. In each forward training pass, two perturbed contrastive views are generated by injecting scaled uniform noise into normalized embeddings: </w:t>
      </w:r>
      <m:oMath>
        <m:sSup>
          <m:e>
            <m:r>
              <m:t>𝐳</m:t>
            </m:r>
          </m:e>
          <m:sup>
            <m:r>
              <m:t>′</m:t>
            </m:r>
          </m:sup>
        </m:sSup>
        <m:r>
          <m:t>=</m:t>
        </m:r>
        <m:r>
          <m:rPr>
            <m:sty m:val="p"/>
          </m:rPr>
          <m:t>Normalize</m:t>
        </m:r>
        <m:r>
          <m:t>(𝐞+ϵ·</m:t>
        </m:r>
        <m:r>
          <m:rPr>
            <m:sty m:val="p"/>
          </m:rPr>
          <m:t>sgn</m:t>
        </m:r>
        <m:r>
          <m:t>(𝐞)⊙</m:t>
        </m:r>
        <m:r>
          <m:rPr>
            <m:sty m:val="b"/>
          </m:rPr>
          <m:t>Δ</m:t>
        </m:r>
        <m:r>
          <m:t>)</m:t>
        </m:r>
      </m:oMath>
      <w:r>
        <w:rPr>
          <w:rFonts w:ascii="Times New Roman" w:hAnsi="Times New Roman"/>
          <w:sz w:val="24"/>
        </w:rPr>
        <w:t>.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 xml:space="preserve">SGL (sgl.py): Implements structural edge dropout on the normalized adjacency matrix: </w:t>
      </w:r>
      <m:oMath>
        <m:sSup>
          <m:e>
            <m:acc>
              <m:accPr>
                <m:chr m:val="̂"/>
              </m:accPr>
              <m:e>
                <m:r>
                  <m:t>A</m:t>
                </m:r>
              </m:e>
            </m:acc>
          </m:e>
          <m:sup>
            <m:r>
              <m:t>′</m:t>
            </m:r>
          </m:sup>
        </m:sSup>
        <m:r>
          <m:t>=(</m:t>
        </m:r>
        <m:sSup>
          <m:e>
            <m:r>
              <m:t>M</m:t>
            </m:r>
          </m:e>
          <m:sup>
            <m:r>
              <m:t>′</m:t>
            </m:r>
          </m:sup>
        </m:sSup>
        <m:r>
          <m:t>⊙A)</m:t>
        </m:r>
        <m:sSup>
          <m:e>
            <m:r>
              <m:t>D</m:t>
            </m:r>
          </m:e>
          <m:sup>
            <m:r>
              <m:t>′</m:t>
            </m:r>
            <m:r>
              <m:t>−1</m:t>
            </m:r>
          </m:sup>
        </m:sSup>
      </m:oMath>
      <w:r>
        <w:rPr>
          <w:rFonts w:ascii="Times New Roman" w:hAnsi="Times New Roman"/>
          <w:sz w:val="24"/>
        </w:rPr>
        <w:t xml:space="preserve"> with dropout ratio </w:t>
      </w:r>
      <m:oMath>
        <m:sSub>
          <m:e>
            <m:r>
              <m:t>p</m:t>
            </m:r>
          </m:e>
          <m:sub>
            <m:r>
              <m:rPr>
                <m:sty m:val="p"/>
              </m:rPr>
              <m:t>drop</m:t>
            </m:r>
          </m:sub>
        </m:sSub>
        <m:r>
          <m:t>=0.10</m:t>
        </m:r>
      </m:oMath>
      <w:r>
        <w:rPr>
          <w:rFonts w:ascii="Times New Roman" w:hAnsi="Times New Roman"/>
          <w:sz w:val="24"/>
        </w:rPr>
        <w:t>.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 xml:space="preserve">Review-Bombing Vectorization (bomb_scorer.py): Rolling interaction velocity and rating polarity skew are computed simultaneously via 2D BLAS array operations. Given interaction array </w:t>
      </w:r>
      <m:oMath>
        <m:r>
          <m:t>X</m:t>
        </m:r>
      </m:oMath>
      <w:r>
        <w:rPr>
          <w:rFonts w:ascii="Times New Roman" w:hAnsi="Times New Roman"/>
          <w:sz w:val="24"/>
        </w:rPr>
        <w:t xml:space="preserve"> of shape </w:t>
      </w:r>
      <m:oMath>
        <m:d>
          <m:dPr>
            <m:sepChr m:val=","/>
          </m:dPr>
          <m:e>
            <m:r>
              <m:t>N</m:t>
            </m:r>
          </m:e>
          <m:e>
            <m:r>
              <m:t>3</m:t>
            </m:r>
          </m:e>
        </m:d>
      </m:oMath>
      <w:r>
        <w:rPr>
          <w:rFonts w:ascii="Times New Roman" w:hAnsi="Times New Roman"/>
          <w:sz w:val="24"/>
        </w:rPr>
        <w:t xml:space="preserve"> containing [user_id, item_id, timestamp], items are pre-binned into temporal windows. The score matrix is computed as: </w:t>
      </w:r>
      <m:oMath>
        <m:r>
          <m:rPr>
            <m:sty m:val="p"/>
          </m:rPr>
          <m:t>Score_Matrix</m:t>
        </m:r>
        <m:r>
          <m:t>=W·</m:t>
        </m:r>
        <m:r>
          <m:rPr>
            <m:sty m:val="p"/>
          </m:rPr>
          <m:t>Feature_Tensor</m:t>
        </m:r>
      </m:oMath>
      <w:r>
        <w:rPr>
          <w:rFonts w:ascii="Times New Roman" w:hAnsi="Times New Roman"/>
          <w:sz w:val="24"/>
        </w:rPr>
        <w:t>,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 xml:space="preserve">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w:t>
      </w:r>
      <m:oMath>
        <m:r>
          <m:t>𝒪(1)</m:t>
        </m:r>
      </m:oMath>
      <w:r>
        <w:rPr>
          <w:rFonts w:ascii="Times New Roman" w:hAnsi="Times New Roman"/>
          <w:sz w:val="24"/>
        </w:rPr>
        <w:t xml:space="preserve">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 xml:space="preserve">Pareto Partitioning (pareto_partition.py): Sorts all catalog items by interaction frequency in descending order. The top items accounting for cumulative interaction fraction </w:t>
      </w:r>
      <m:oMath>
        <m:sSub>
          <m:e>
            <m:r>
              <m:t>ρ</m:t>
            </m:r>
          </m:e>
          <m:sub>
            <m:r>
              <m:rPr>
                <m:sty m:val="p"/>
              </m:rPr>
              <m:t>pareto</m:t>
            </m:r>
          </m:sub>
        </m:sSub>
        <m:r>
          <m:t>=0.20</m:t>
        </m:r>
      </m:oMath>
      <w:r>
        <w:rPr>
          <w:rFonts w:ascii="Times New Roman" w:hAnsi="Times New Roman"/>
          <w:sz w:val="24"/>
        </w:rPr>
        <w:t xml:space="preserve"> are assigned to Head catalog </w:t>
      </w:r>
      <m:oMath>
        <m:sSub>
          <m:e>
            <m:r>
              <m:t>ℐ</m:t>
            </m:r>
          </m:e>
          <m:sub>
            <m:r>
              <m:rPr>
                <m:sty m:val="p"/>
              </m:rPr>
              <m:t>head</m:t>
            </m:r>
          </m:sub>
        </m:sSub>
      </m:oMath>
      <w:r>
        <w:rPr>
          <w:rFonts w:ascii="Times New Roman" w:hAnsi="Times New Roman"/>
          <w:sz w:val="24"/>
        </w:rPr>
        <w:t xml:space="preserve">; the remaining items form Tail catalog </w:t>
      </w:r>
      <m:oMath>
        <m:sSub>
          <m:e>
            <m:r>
              <m:t>ℐ</m:t>
            </m:r>
          </m:e>
          <m:sub>
            <m:r>
              <m:rPr>
                <m:sty m:val="p"/>
              </m:rPr>
              <m:t>tail</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 xml:space="preserve">Blueprint Purification (blueprint.py): For user </w:t>
      </w:r>
      <m:oMath>
        <m:r>
          <m:t>u</m:t>
        </m:r>
      </m:oMath>
      <w:r>
        <w:rPr>
          <w:rFonts w:ascii="Times New Roman" w:hAnsi="Times New Roman"/>
          <w:sz w:val="24"/>
        </w:rPr>
        <w:t xml:space="preserve">, observed interaction edges are filtered against trust threshold </w:t>
      </w:r>
      <m:oMath>
        <m:sSub>
          <m:e>
            <m:r>
              <m:t>θ</m:t>
            </m:r>
          </m:e>
          <m:sub>
            <m:r>
              <m:rPr>
                <m:sty m:val="p"/>
              </m:rPr>
              <m:t>trust</m:t>
            </m:r>
          </m:sub>
        </m:sSub>
        <m:r>
          <m:t>=0.50</m:t>
        </m:r>
      </m:oMath>
      <w:r>
        <w:rPr>
          <w:rFonts w:ascii="Times New Roman" w:hAnsi="Times New Roman"/>
          <w:sz w:val="24"/>
        </w:rPr>
        <w:t xml:space="preserve">. Edges with </w:t>
      </w:r>
      <m:oMath>
        <m:sSub>
          <m:e>
            <m:r>
              <m:t>w</m:t>
            </m:r>
          </m:e>
          <m:sub>
            <m:r>
              <m:t>ui</m:t>
            </m:r>
          </m:sub>
        </m:sSub>
        <m:r>
          <m:t>&lt;</m:t>
        </m:r>
        <m:sSub>
          <m:e>
            <m:r>
              <m:t>θ</m:t>
            </m:r>
          </m:e>
          <m:sub>
            <m:r>
              <m:rPr>
                <m:sty m:val="p"/>
              </m:rPr>
              <m:t>trust</m:t>
            </m:r>
          </m:sub>
        </m:sSub>
      </m:oMath>
      <w:r>
        <w:rPr>
          <w:rFonts w:ascii="Times New Roman" w:hAnsi="Times New Roman"/>
          <w:sz w:val="24"/>
        </w:rPr>
        <w:t xml:space="preserve"> (malicious bot interactions) are expunged from blueprint </w:t>
      </w:r>
      <m:oMath>
        <m:sSub>
          <m:e>
            <m:r>
              <m:t>ℬ</m:t>
            </m:r>
          </m:e>
          <m:sub>
            <m:r>
              <m:t>u</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 xml:space="preserve">Calibrated Inclination (inclination.py): Calculates personalized tail preference </w:t>
      </w:r>
      <m:oMath>
        <m:sSub>
          <m:e>
            <m:r>
              <m:t>α</m:t>
            </m:r>
          </m:e>
          <m:sub>
            <m:r>
              <m:t>u</m:t>
            </m:r>
          </m:sub>
        </m:sSub>
      </m:oMath>
      <w:r>
        <w:rPr>
          <w:rFonts w:ascii="Times New Roman" w:hAnsi="Times New Roman"/>
          <w:sz w:val="24"/>
        </w:rPr>
        <w:t xml:space="preserve"> using reliability-weighted sums, smoothed by </w:t>
      </w:r>
      <m:oMath>
        <m:sSub>
          <m:e>
            <m:r>
              <m:t>ϵ</m:t>
            </m:r>
          </m:e>
          <m:sub>
            <m:r>
              <m:rPr>
                <m:sty m:val="p"/>
              </m:rPr>
              <m:t>smooth</m:t>
            </m:r>
          </m:sub>
        </m:sSub>
        <m:r>
          <m:t>=</m:t>
        </m:r>
        <m:sSup>
          <m:e>
            <m:r>
              <m:t>10</m:t>
            </m:r>
          </m:e>
          <m:sup>
            <m:r>
              <m:t>−6</m:t>
            </m:r>
          </m:sup>
        </m:sSup>
      </m:oMath>
      <w:r>
        <w:rPr>
          <w:rFonts w:ascii="Times New Roman" w:hAnsi="Times New Roman"/>
          <w:sz w:val="24"/>
        </w:rPr>
        <w:t xml:space="preserve">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 xml:space="preserve">Trajectory Interleaving (merger.py): Greedily selects candidate items from Head and Tail queues to maintain cumulative tail proportion </w:t>
      </w:r>
      <m:oMath>
        <m:r>
          <m:t>≤</m:t>
        </m:r>
        <m:sSub>
          <m:e>
            <m:r>
              <m:t>α</m:t>
            </m:r>
          </m:e>
          <m:sub>
            <m:r>
              <m:t>u</m:t>
            </m:r>
          </m:sub>
        </m:sSub>
      </m:oMath>
      <w:r>
        <w:rPr>
          <w:rFonts w:ascii="Times New Roman" w:hAnsi="Times New Roman"/>
          <w:sz w:val="24"/>
        </w:rPr>
        <w:t xml:space="preserve"> at every rank </w:t>
      </w:r>
      <m:oMath>
        <m:r>
          <m:t>k∈{1,…,K}</m:t>
        </m:r>
      </m:oMath>
      <w:r>
        <w:rPr>
          <w:rFonts w:ascii="Times New Roman" w:hAnsi="Times New Roman"/>
          <w:sz w:val="24"/>
        </w:rPr>
        <w:t>.</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 xml:space="preserve">All matrix inversion operations in transition_matrix.py utilize </w:t>
      </w:r>
      <m:oMath>
        <m:sSubSup>
          <m:e>
            <m:r>
              <m:t>T</m:t>
            </m:r>
          </m:e>
          <m:sub>
            <m:r>
              <m:t>λ</m:t>
            </m:r>
          </m:sub>
          <m:sup>
            <m:r>
              <m:t>†</m:t>
            </m:r>
          </m:sup>
        </m:sSubSup>
        <m:r>
          <m:t>=(</m:t>
        </m:r>
        <m:sSup>
          <m:e>
            <m:r>
              <m:t>T</m:t>
            </m:r>
          </m:e>
          <m:sup>
            <m:r>
              <m:t>T</m:t>
            </m:r>
          </m:sup>
        </m:sSup>
        <m:r>
          <m:t>T+λI</m:t>
        </m:r>
        <m:sSup>
          <m:e>
            <m:r>
              <m:t>)</m:t>
            </m:r>
          </m:e>
          <m:sup>
            <m:r>
              <m:t>−1</m:t>
            </m:r>
          </m:sup>
        </m:sSup>
        <m:sSup>
          <m:e>
            <m:r>
              <m:t>T</m:t>
            </m:r>
          </m:e>
          <m:sup>
            <m:r>
              <m:t>T</m:t>
            </m:r>
          </m:sup>
        </m:sSup>
      </m:oMath>
      <w:r>
        <w:rPr>
          <w:rFonts w:ascii="Times New Roman" w:hAnsi="Times New Roman"/>
          <w:sz w:val="24"/>
        </w:rPr>
        <w:t xml:space="preserve"> with damping factor </w:t>
      </w:r>
      <m:oMath>
        <m:r>
          <m:t>λ=</m:t>
        </m:r>
        <m:sSup>
          <m:e>
            <m:r>
              <m:t>10</m:t>
            </m:r>
          </m:e>
          <m:sup>
            <m:r>
              <m:t>−4</m:t>
            </m:r>
          </m:sup>
        </m:sSup>
      </m:oMath>
      <w:r>
        <w:rPr>
          <w:rFonts w:ascii="Times New Roman" w:hAnsi="Times New Roman"/>
          <w:sz w:val="24"/>
        </w:rPr>
        <w:t>.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 xml:space="preserve">In merger.py and inclination.py, user blueprints with zero tail interactions are protected by </w:t>
      </w:r>
      <m:oMath>
        <m:sSub>
          <m:e>
            <m:r>
              <m:t>ϵ</m:t>
            </m:r>
          </m:e>
          <m:sub>
            <m:r>
              <m:rPr>
                <m:sty m:val="p"/>
              </m:rPr>
              <m:t>smooth</m:t>
            </m:r>
          </m:sub>
        </m:sSub>
        <m:r>
          <m:t>=</m:t>
        </m:r>
        <m:sSup>
          <m:e>
            <m:r>
              <m:t>10</m:t>
            </m:r>
          </m:e>
          <m:sup>
            <m:r>
              <m:t>−6</m:t>
            </m:r>
          </m:sup>
        </m:sSup>
      </m:oMath>
      <w:r>
        <w:rPr>
          <w:rFonts w:ascii="Times New Roman" w:hAnsi="Times New Roman"/>
          <w:sz w:val="24"/>
        </w:rPr>
        <w:t>.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 xml:space="preserve">We simulate coordinated adversarial shilling campaigns adhering to standard security benchmark protocols (Si et al., 2022; Wu et al., 2021). For bot injection ratio </w:t>
      </w:r>
      <m:oMath>
        <m:r>
          <m:t>ρ=0.15</m:t>
        </m:r>
      </m:oMath>
      <w:r>
        <w:rPr>
          <w:rFonts w:ascii="Times New Roman" w:hAnsi="Times New Roman"/>
          <w:sz w:val="24"/>
        </w:rPr>
        <w:t xml:space="preserve">, </w:t>
      </w:r>
      <m:oMath>
        <m:sSub>
          <m:e>
            <m:r>
              <m:t>N</m:t>
            </m:r>
          </m:e>
          <m:sub>
            <m:r>
              <m:rPr>
                <m:sty m:val="p"/>
              </m:rPr>
              <m:t>shill</m:t>
            </m:r>
          </m:sub>
        </m:sSub>
        <m:r>
          <m:t>=⌈ρ·|𝒰|⌉</m:t>
        </m:r>
      </m:oMath>
      <w:r>
        <w:rPr>
          <w:rFonts w:ascii="Times New Roman" w:hAnsi="Times New Roman"/>
          <w:sz w:val="24"/>
        </w:rPr>
        <w:t xml:space="preserve">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w:t>
      </w:r>
      <m:oMath>
        <m:sSub>
          <m:e>
            <m:r>
              <m:t>ℐ</m:t>
            </m:r>
          </m:e>
          <m:sub>
            <m:r>
              <m:rPr>
                <m:sty m:val="p"/>
              </m:rPr>
              <m:t>target</m:t>
            </m:r>
          </m:sub>
        </m:sSub>
        <m:r>
          <m:t>⊂</m:t>
        </m:r>
        <m:sSub>
          <m:e>
            <m:r>
              <m:t>ℐ</m:t>
            </m:r>
          </m:e>
          <m:sub>
            <m:r>
              <m:rPr>
                <m:sty m:val="p"/>
              </m:rPr>
              <m:t>tail</m:t>
            </m:r>
          </m:sub>
        </m:sSub>
      </m:oMath>
      <w:r>
        <w:rPr>
          <w:rFonts w:ascii="Times New Roman" w:hAnsi="Times New Roman"/>
          <w:sz w:val="24"/>
        </w:rPr>
        <w:t xml:space="preserve">): The attacker designates a fixed set of obscure tail items (e.g., </w:t>
      </w:r>
      <m:oMath>
        <m:r>
          <m:t>|</m:t>
        </m:r>
        <m:sSub>
          <m:e>
            <m:r>
              <m:t>ℐ</m:t>
            </m:r>
          </m:e>
          <m:sub>
            <m:r>
              <m:rPr>
                <m:sty m:val="p"/>
              </m:rPr>
              <m:t>target</m:t>
            </m:r>
          </m:sub>
        </m:sSub>
        <m:r>
          <m:t>|=5</m:t>
        </m:r>
      </m:oMath>
      <w:r>
        <w:rPr>
          <w:rFonts w:ascii="Times New Roman" w:hAnsi="Times New Roman"/>
          <w:sz w:val="24"/>
        </w:rPr>
        <w:t>)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w:t>
      </w:r>
      <m:oMath>
        <m:sSub>
          <m:e>
            <m:r>
              <m:t>ℐ</m:t>
            </m:r>
          </m:e>
          <m:sub>
            <m:r>
              <m:rPr>
                <m:sty m:val="p"/>
              </m:rPr>
              <m:t>push</m:t>
            </m:r>
          </m:sub>
        </m:sSub>
        <m:r>
          <m:t>⊂</m:t>
        </m:r>
        <m:sSub>
          <m:e>
            <m:r>
              <m:t>ℐ</m:t>
            </m:r>
          </m:e>
          <m:sub>
            <m:r>
              <m:rPr>
                <m:sty m:val="p"/>
              </m:rPr>
              <m:t>head</m:t>
            </m:r>
          </m:sub>
        </m:sSub>
      </m:oMath>
      <w:r>
        <w:rPr>
          <w:rFonts w:ascii="Times New Roman" w:hAnsi="Times New Roman"/>
          <w:sz w:val="24"/>
        </w:rPr>
        <w:t>):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w:t>
      </w:r>
      <m:oMath>
        <m:sSub>
          <m:e>
            <m:r>
              <m:t>ℐ</m:t>
            </m:r>
          </m:e>
          <m:sub>
            <m:r>
              <m:rPr>
                <m:sty m:val="p"/>
              </m:rPr>
              <m:t>filler</m:t>
            </m:r>
          </m:sub>
        </m:sSub>
        <m:r>
          <m:t>⊂ℐ</m:t>
        </m:r>
      </m:oMath>
      <w:r>
        <w:rPr>
          <w:rFonts w:ascii="Times New Roman" w:hAnsi="Times New Roman"/>
          <w:sz w:val="24"/>
        </w:rPr>
        <w:t xml:space="preserve">): To evade variance-based anomaly detectors, bots sample filler ratings from Gaussian distribution </w:t>
      </w:r>
      <m:oMath>
        <m:r>
          <m:t>𝒩(</m:t>
        </m:r>
        <m:sSub>
          <m:e>
            <m:r>
              <m:t>μ</m:t>
            </m:r>
          </m:e>
          <m:sub>
            <m:r>
              <m:t>r</m:t>
            </m:r>
          </m:sub>
        </m:sSub>
        <m:r>
          <m:t>,</m:t>
        </m:r>
        <m:sSubSup>
          <m:e>
            <m:r>
              <m:t>σ</m:t>
            </m:r>
          </m:e>
          <m:sub>
            <m:r>
              <m:t>r</m:t>
            </m:r>
          </m:sub>
          <m:sup>
            <m:r>
              <m:t>2</m:t>
            </m:r>
          </m:sup>
        </m:sSubSup>
        <m:r>
          <m:t>)</m:t>
        </m:r>
      </m:oMath>
      <w:r>
        <w:rPr>
          <w:rFonts w:ascii="Times New Roman" w:hAnsi="Times New Roman"/>
          <w:sz w:val="24"/>
        </w:rPr>
        <w:t xml:space="preserve"> matching the global rating distribution.</w:t>
      </w:r>
    </w:p>
    <w:p>
      <w:pPr>
        <w:spacing w:line="360" w:lineRule="auto" w:before="0" w:after="120"/>
        <w:jc w:val="both"/>
      </w:pPr>
      <w:r>
        <w:rPr>
          <w:rFonts w:ascii="Times New Roman" w:hAnsi="Times New Roman"/>
          <w:sz w:val="24"/>
        </w:rPr>
        <w:t xml:space="preserve">Strict Zero-Leakage Split Protocol: In all experiments, data partitioning is executed chronologically strictly prior to attack injection. The test set </w:t>
      </w:r>
      <m:oMath>
        <m:sSubSup>
          <m:e>
            <m:r>
              <m:t>ℐ</m:t>
            </m:r>
          </m:e>
          <m:sub>
            <m:r>
              <m:t>u</m:t>
            </m:r>
          </m:sub>
          <m:sup>
            <m:r>
              <m:rPr>
                <m:sty m:val="p"/>
              </m:rPr>
              <m:t>test</m:t>
            </m:r>
          </m:sup>
        </m:sSubSup>
      </m:oMath>
      <w:r>
        <w:rPr>
          <w:rFonts w:ascii="Times New Roman" w:hAnsi="Times New Roman"/>
          <w:sz w:val="24"/>
        </w:rPr>
        <w:t xml:space="preserve"> and validation set </w:t>
      </w:r>
      <m:oMath>
        <m:sSubSup>
          <m:e>
            <m:r>
              <m:t>ℐ</m:t>
            </m:r>
          </m:e>
          <m:sub>
            <m:r>
              <m:t>u</m:t>
            </m:r>
          </m:sub>
          <m:sup>
            <m:r>
              <m:rPr>
                <m:sty m:val="p"/>
              </m:rPr>
              <m:t>val</m:t>
            </m:r>
          </m:sup>
        </m:sSubSup>
      </m:oMath>
      <w:r>
        <w:rPr>
          <w:rFonts w:ascii="Times New Roman" w:hAnsi="Times New Roman"/>
          <w:sz w:val="24"/>
        </w:rPr>
        <w:t xml:space="preserve"> remain completely clean and unpolluted. Adversarial edges are injected exclusively into the training graph </w:t>
      </w:r>
      <m:oMath>
        <m:sSub>
          <m:e>
            <m:r>
              <m:t>𝒢</m:t>
            </m:r>
          </m:e>
          <m:sub>
            <m:r>
              <m:rPr>
                <m:sty m:val="p"/>
              </m:rPr>
              <m:t>train</m:t>
            </m:r>
          </m:sub>
        </m:sSub>
      </m:oMath>
      <w:r>
        <w:rPr>
          <w:rFonts w:ascii="Times New Roman" w:hAnsi="Times New Roman"/>
          <w:sz w:val="24"/>
        </w:rPr>
        <w:t>,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w:t>
      </w:r>
      <m:oMath>
        <m:sSub>
          <m:e>
            <m:r>
              <m:t>y</m:t>
            </m:r>
          </m:e>
          <m:sub>
            <m:r>
              <m:rPr>
                <m:sty m:val="p"/>
              </m:rPr>
              <m:t>attack</m:t>
            </m:r>
          </m:sub>
        </m:sSub>
        <m:r>
          <m:t>=1</m:t>
        </m:r>
      </m:oMath>
      <w:r>
        <w:rPr>
          <w:rFonts w:ascii="Times New Roman" w:hAnsi="Times New Roman"/>
          <w:sz w:val="24"/>
        </w:rPr>
        <w:t xml:space="preserve">), scored by anomaly confidence </w:t>
      </w:r>
      <m:oMath>
        <m:sSub>
          <m:e>
            <m:r>
              <m:t>s</m:t>
            </m:r>
          </m:e>
          <m:sub>
            <m:r>
              <m:t>ui</m:t>
            </m:r>
          </m:sub>
        </m:sSub>
        <m:r>
          <m:t>=1−</m:t>
        </m:r>
        <m:sSub>
          <m:e>
            <m:r>
              <m:t>w</m:t>
            </m:r>
          </m:e>
          <m:sub>
            <m:r>
              <m:t>ui</m:t>
            </m:r>
          </m:sub>
        </m:sSub>
      </m:oMath>
      <w:r>
        <w:rPr>
          <w:rFonts w:ascii="Times New Roman" w:hAnsi="Times New Roman"/>
          <w:sz w:val="24"/>
        </w:rPr>
        <w:t xml:space="preserve">. On Amazon (attack prevalence </w:t>
      </w:r>
      <m:oMath>
        <m:sSub>
          <m:e>
            <m:r>
              <m:t>π</m:t>
            </m:r>
          </m:e>
          <m:sub>
            <m:r>
              <m:rPr>
                <m:sty m:val="p"/>
              </m:rPr>
              <m:t>edge</m:t>
            </m:r>
          </m:sub>
        </m:sSub>
        <m:r>
          <m:t>=17.40%</m:t>
        </m:r>
      </m:oMath>
      <w:r>
        <w:rPr>
          <w:rFonts w:ascii="Times New Roman" w:hAnsi="Times New Roman"/>
          <w:sz w:val="24"/>
        </w:rPr>
        <w:t xml:space="preserve">), MIRF achieves </w:t>
      </w:r>
      <m:oMath>
        <m:sSub>
          <m:e>
            <m:r>
              <m:rPr>
                <m:sty m:val="p"/>
              </m:rPr>
              <m:t>AP</m:t>
            </m:r>
          </m:e>
          <m:sub>
            <m:r>
              <m:rPr>
                <m:sty m:val="p"/>
              </m:rPr>
              <m:t>attack</m:t>
            </m:r>
          </m:sub>
        </m:sSub>
        <m:r>
          <m:t>=0.6884±0.0185</m:t>
        </m:r>
      </m:oMath>
      <w:r>
        <w:rPr>
          <w:rFonts w:ascii="Times New Roman" w:hAnsi="Times New Roman"/>
          <w:sz w:val="24"/>
        </w:rPr>
        <w:t xml:space="preserve"> (a 3.9x gain over random baseline 0.1748). On Yelp (</w:t>
      </w:r>
      <m:oMath>
        <m:sSub>
          <m:e>
            <m:r>
              <m:t>π</m:t>
            </m:r>
          </m:e>
          <m:sub>
            <m:r>
              <m:rPr>
                <m:sty m:val="p"/>
              </m:rPr>
              <m:t>edge</m:t>
            </m:r>
          </m:sub>
        </m:sSub>
        <m:r>
          <m:t>=14.86%</m:t>
        </m:r>
      </m:oMath>
      <w:r>
        <w:rPr>
          <w:rFonts w:ascii="Times New Roman" w:hAnsi="Times New Roman"/>
          <w:sz w:val="24"/>
        </w:rPr>
        <w:t xml:space="preserve">), MIRF achieves </w:t>
      </w:r>
      <m:oMath>
        <m:sSub>
          <m:e>
            <m:r>
              <m:rPr>
                <m:sty m:val="p"/>
              </m:rPr>
              <m:t>AP</m:t>
            </m:r>
          </m:e>
          <m:sub>
            <m:r>
              <m:rPr>
                <m:sty m:val="p"/>
              </m:rPr>
              <m:t>attack</m:t>
            </m:r>
          </m:sub>
        </m:sSub>
        <m:r>
          <m:t>=0.6816±0.0239</m:t>
        </m:r>
      </m:oMath>
      <w:r>
        <w:rPr>
          <w:rFonts w:ascii="Times New Roman" w:hAnsi="Times New Roman"/>
          <w:sz w:val="24"/>
        </w:rPr>
        <w:t xml:space="preserve"> (a 4.3x gain over random baseline 0.1572). On MovieLens-1M (899 attack edges in 238,320 total interactions, </w:t>
      </w:r>
      <m:oMath>
        <m:sSub>
          <m:e>
            <m:r>
              <m:t>π</m:t>
            </m:r>
          </m:e>
          <m:sub>
            <m:r>
              <m:rPr>
                <m:sty m:val="p"/>
              </m:rPr>
              <m:t>edge</m:t>
            </m:r>
          </m:sub>
        </m:sSub>
        <m:r>
          <m:t>=0.38%</m:t>
        </m:r>
      </m:oMath>
      <w:r>
        <w:rPr>
          <w:rFonts w:ascii="Times New Roman" w:hAnsi="Times New Roman"/>
          <w:sz w:val="24"/>
        </w:rPr>
        <w:t xml:space="preserve">), </w:t>
      </w:r>
      <m:oMath>
        <m:sSub>
          <m:e>
            <m:r>
              <m:rPr>
                <m:sty m:val="p"/>
              </m:rPr>
              <m:t>AP</m:t>
            </m:r>
          </m:e>
          <m:sub>
            <m:r>
              <m:rPr>
                <m:sty m:val="p"/>
              </m:rPr>
              <m:t>attack</m:t>
            </m:r>
          </m:sub>
        </m:sSub>
        <m:r>
          <m:t>=0.0122±0.0021</m:t>
        </m:r>
      </m:oMath>
      <w:r>
        <w:rPr>
          <w:rFonts w:ascii="Times New Roman" w:hAnsi="Times New Roman"/>
          <w:sz w:val="24"/>
        </w:rPr>
        <w:t xml:space="preserve">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w:t>
      </w:r>
      <m:oMath>
        <m:sSub>
          <m:e>
            <m:r>
              <m:t>y</m:t>
            </m:r>
          </m:e>
          <m:sub>
            <m:r>
              <m:rPr>
                <m:sty m:val="p"/>
              </m:rPr>
              <m:t>auth</m:t>
            </m:r>
          </m:sub>
        </m:sSub>
        <m:r>
          <m:t>=1</m:t>
        </m:r>
      </m:oMath>
      <w:r>
        <w:rPr>
          <w:rFonts w:ascii="Times New Roman" w:hAnsi="Times New Roman"/>
          <w:sz w:val="24"/>
        </w:rPr>
        <w:t xml:space="preserve">), scored by trust weight </w:t>
      </w:r>
      <m:oMath>
        <m:sSub>
          <m:e>
            <m:r>
              <m:t>w</m:t>
            </m:r>
          </m:e>
          <m:sub>
            <m:r>
              <m:t>ui</m:t>
            </m:r>
          </m:sub>
        </m:sSub>
      </m:oMath>
      <w:r>
        <w:rPr>
          <w:rFonts w:ascii="Times New Roman" w:hAnsi="Times New Roman"/>
          <w:sz w:val="24"/>
        </w:rPr>
        <w:t xml:space="preserve">. On MovieLens-1M, MIRF achieves </w:t>
      </w:r>
      <m:oMath>
        <m:sSub>
          <m:e>
            <m:r>
              <m:rPr>
                <m:sty m:val="p"/>
              </m:rPr>
              <m:t>AP</m:t>
            </m:r>
          </m:e>
          <m:sub>
            <m:r>
              <m:rPr>
                <m:sty m:val="p"/>
              </m:rPr>
              <m:t>auth</m:t>
            </m:r>
          </m:sub>
        </m:sSub>
        <m:r>
          <m:t>=0.9989±0.0000</m:t>
        </m:r>
      </m:oMath>
      <w:r>
        <w:rPr>
          <w:rFonts w:ascii="Times New Roman" w:hAnsi="Times New Roman"/>
          <w:sz w:val="24"/>
        </w:rPr>
        <w:t xml:space="preserve"> (Authentic F1 = 0.9513, Precision = 0.9225, Recall = 0.9820). On Amazon, </w:t>
      </w:r>
      <m:oMath>
        <m:sSub>
          <m:e>
            <m:r>
              <m:rPr>
                <m:sty m:val="p"/>
              </m:rPr>
              <m:t>AP</m:t>
            </m:r>
          </m:e>
          <m:sub>
            <m:r>
              <m:rPr>
                <m:sty m:val="p"/>
              </m:rPr>
              <m:t>auth</m:t>
            </m:r>
          </m:sub>
        </m:sSub>
        <m:r>
          <m:t>=0.9295±0.0065</m:t>
        </m:r>
      </m:oMath>
      <w:r>
        <w:rPr>
          <w:rFonts w:ascii="Times New Roman" w:hAnsi="Times New Roman"/>
          <w:sz w:val="24"/>
        </w:rPr>
        <w:t xml:space="preserve">. On Yelp, </w:t>
      </w:r>
      <m:oMath>
        <m:sSub>
          <m:e>
            <m:r>
              <m:rPr>
                <m:sty m:val="p"/>
              </m:rPr>
              <m:t>AP</m:t>
            </m:r>
          </m:e>
          <m:sub>
            <m:r>
              <m:rPr>
                <m:sty m:val="p"/>
              </m:rPr>
              <m:t>auth</m:t>
            </m:r>
          </m:sub>
        </m:sSub>
        <m:r>
          <m:t>=0.9491±0.0019</m:t>
        </m:r>
      </m:oMath>
      <w:r>
        <w:rPr>
          <w:rFonts w:ascii="Times New Roman" w:hAnsi="Times New Roman"/>
          <w:sz w:val="24"/>
        </w:rPr>
        <w:t>.</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 xml:space="preserve">Figure 5.3 illustrates the empirical training convergence of the dual partition models (Head Model </w:t>
      </w:r>
      <m:oMath>
        <m:sSub>
          <m:e>
            <m:r>
              <m:t>ℳ</m:t>
            </m:r>
          </m:e>
          <m:sub>
            <m:r>
              <m:rPr>
                <m:sty m:val="p"/>
              </m:rPr>
              <m:t>pop</m:t>
            </m:r>
          </m:sub>
        </m:sSub>
      </m:oMath>
      <w:r>
        <w:rPr>
          <w:rFonts w:ascii="Times New Roman" w:hAnsi="Times New Roman"/>
          <w:sz w:val="24"/>
        </w:rPr>
        <w:t xml:space="preserve"> and Tail Model </w:t>
      </w:r>
      <m:oMath>
        <m:sSub>
          <m:e>
            <m:r>
              <m:t>ℳ</m:t>
            </m:r>
          </m:e>
          <m:sub>
            <m:r>
              <m:rPr>
                <m:sty m:val="p"/>
              </m:rPr>
              <m:t>tail</m:t>
            </m:r>
          </m:sub>
        </m:sSub>
      </m:oMath>
      <w:r>
        <w:rPr>
          <w:rFonts w:ascii="Times New Roman" w:hAnsi="Times New Roman"/>
          <w:sz w:val="24"/>
        </w:rPr>
        <w:t xml:space="preserve">) over 15 CUDA training epochs on the MovieLens-1M sub-graph. The forward surrogate loss </w:t>
      </w:r>
      <m:oMath>
        <m:sSub>
          <m:e>
            <m:r>
              <m:t>ℒ</m:t>
            </m:r>
          </m:e>
          <m:sub>
            <m:r>
              <m:rPr>
                <m:sty m:val="p"/>
              </m:rPr>
              <m:t>risk</m:t>
            </m:r>
          </m:sub>
        </m:sSub>
      </m:oMath>
      <w:r>
        <w:rPr>
          <w:rFonts w:ascii="Times New Roman" w:hAnsi="Times New Roman"/>
          <w:sz w:val="24"/>
        </w:rPr>
        <w:t xml:space="preserve">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sz w:val="21"/>
        </w:rPr>
        <w:t xml:space="preserve">Dual Partition Training Loss Convergence Curves across 15 CUDA Epochs on MovieLens-1M, illustrating stable, monotonic minimization of forward-corrected surrogate loss </w:t>
      </w:r>
      <m:oMath>
        <m:sSub>
          <m:e>
            <m:r>
              <m:t>ℒ</m:t>
            </m:r>
          </m:e>
          <m:sub>
            <m:r>
              <m:rPr>
                <m:sty m:val="p"/>
              </m:rPr>
              <m:t>risk</m:t>
            </m:r>
          </m:sub>
        </m:sSub>
      </m:oMath>
      <w:r>
        <w:rPr>
          <w:rFonts w:ascii="Times New Roman" w:hAnsi="Times New Roman"/>
          <w:sz w:val="21"/>
        </w:rPr>
        <w:t xml:space="preserve"> and InfoNCE contrastive loss </w:t>
      </w:r>
      <m:oMath>
        <m:sSub>
          <m:e>
            <m:r>
              <m:t>ℒ</m:t>
            </m:r>
          </m:e>
          <m:sub>
            <m:r>
              <m:rPr>
                <m:sty m:val="p"/>
              </m:rPr>
              <m:t>cl</m:t>
            </m:r>
          </m:sub>
        </m:sSub>
      </m:oMath>
      <w:r>
        <w:rPr>
          <w:rFonts w:ascii="Times New Roman" w:hAnsi="Times New Roman"/>
          <w:sz w:val="21"/>
        </w:rPr>
        <w:t xml:space="preserve">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USD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USD 534,491 (+14.2% relative gain) with 95% bootstrap confidence interval [USD 482,100, USD 589,300] (</w:t>
      </w:r>
      <m:oMath>
        <m:r>
          <m:t>p&lt;0.001</m:t>
        </m:r>
      </m:oMath>
      <w:r>
        <w:rPr>
          <w:rFonts w:ascii="Times New Roman" w:hAnsi="Times New Roman"/>
          <w:sz w:val="24"/>
        </w:rPr>
        <w:t>).</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comprehensive theoretical, architectural, and empirical outcomes accomplished across all three core research pillars: (1) Mathematical Noise-Transition Modeling and Risk-Consistent Operator Inversion, (2) Multi-View Interaction Reliability Filtering and Hardware-Accelerated 2D BLAS Anomaly Detection, and (3) Risk-Aware Graph Contrastive Learning, Denoised SUPER Blueprints, and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 xml:space="preserve">We established that Tikhonov-regularized noise inversion strictly upper-bounds operator norms by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guaranteeing Lipschitz gradient stability and preventing numerical explosion. Furthermore, we proved Theorem 3.2, establishing formal forward surrogate risk consistency </w:t>
      </w:r>
      <m:oMath>
        <m:r>
          <m:t>𝒪(δ+1/</m:t>
        </m:r>
        <m:rad>
          <m:radPr>
            <m:degHide m:val="on"/>
          </m:radPr>
          <m:deg/>
          <m:e>
            <m:r>
              <m:t>N</m:t>
            </m:r>
          </m:e>
        </m:rad>
        <m:r>
          <m:t>)</m:t>
        </m:r>
      </m:oMath>
      <w:r>
        <w:rPr>
          <w:rFonts w:ascii="Times New Roman" w:hAnsi="Times New Roman"/>
          <w:sz w:val="24"/>
        </w:rPr>
        <w:t xml:space="preserve"> alongside regularized confidence inversion error bounds </w:t>
      </w:r>
      <m:oMath>
        <m:r>
          <m:t>𝒪(δ/</m:t>
        </m:r>
        <m:rad>
          <m:radPr>
            <m:degHide m:val="on"/>
          </m:radPr>
          <m:deg/>
          <m:e>
            <m:r>
              <m:t>λ</m:t>
            </m:r>
          </m:e>
        </m:rad>
        <m:r>
          <m:t>+</m:t>
        </m:r>
        <m:rad>
          <m:radPr>
            <m:degHide m:val="on"/>
          </m:radPr>
          <m:deg/>
          <m:e>
            <m:r>
              <m:t>λ</m:t>
            </m:r>
          </m:e>
        </m:rad>
        <m:r>
          <m:t>)</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w:t>
      </w:r>
      <m:oMath>
        <m:sSub>
          <m:e>
            <m:r>
              <m:t>R</m:t>
            </m:r>
          </m:e>
          <m:sub>
            <m:r>
              <m:rPr>
                <m:sty m:val="p"/>
              </m:rPr>
              <m:t>RRFN</m:t>
            </m:r>
          </m:sub>
        </m:sSub>
      </m:oMath>
      <w:r>
        <w:rPr>
          <w:rFonts w:ascii="Times New Roman" w:hAnsi="Times New Roman"/>
          <w:sz w:val="24"/>
        </w:rPr>
        <w:t>), prompt-audited LLM semantic review verification (</w:t>
      </w:r>
      <m:oMath>
        <m:sSub>
          <m:e>
            <m:r>
              <m:t>R</m:t>
            </m:r>
          </m:e>
          <m:sub>
            <m:r>
              <m:rPr>
                <m:sty m:val="p"/>
              </m:rPr>
              <m:t>LLM</m:t>
            </m:r>
          </m:sub>
        </m:sSub>
      </m:oMath>
      <w:r>
        <w:rPr>
          <w:rFonts w:ascii="Times New Roman" w:hAnsi="Times New Roman"/>
          <w:sz w:val="24"/>
        </w:rPr>
        <w:t>) supported by a thread-safe SQLite WAL cache, and 2D BLAS vectorized burst detection (</w:t>
      </w:r>
      <m:oMath>
        <m:sSub>
          <m:e>
            <m:r>
              <m:t>R</m:t>
            </m:r>
          </m:e>
          <m:sub>
            <m:r>
              <m:rPr>
                <m:sty m:val="p"/>
              </m:rPr>
              <m:t>bomb</m:t>
            </m:r>
          </m:sub>
        </m:sSub>
      </m:oMath>
      <w:r>
        <w:rPr>
          <w:rFonts w:ascii="Times New Roman" w:hAnsi="Times New Roman"/>
          <w:sz w:val="24"/>
        </w:rPr>
        <w:t>)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w:t>
      </w:r>
      <m:oMath>
        <m:r>
          <m:t>g</m:t>
        </m:r>
        <m:r>
          <m:rPr>
            <m:nor/>
          </m:rPr>
          <m:t>-</m:t>
        </m:r>
        <m:r>
          <m:rPr>
            <m:sty m:val="p"/>
          </m:rPr>
          <m:t>LTC</m:t>
        </m:r>
        <m:r>
          <m:t>@K</m:t>
        </m:r>
      </m:oMath>
      <w:r>
        <w:rPr>
          <w:rFonts w:ascii="Times New Roman" w:hAnsi="Times New Roman"/>
          <w:sz w:val="24"/>
        </w:rPr>
        <w:t>) and Spam Target Exposure Rate (</w:t>
      </w:r>
      <m:oMath>
        <m:r>
          <m:rPr>
            <m:sty m:val="p"/>
          </m:rPr>
          <m:t>STER</m:t>
        </m:r>
        <m:r>
          <m:t>@K</m:t>
        </m:r>
      </m:oMath>
      <w:r>
        <w:rPr>
          <w:rFonts w:ascii="Times New Roman" w:hAnsi="Times New Roman"/>
          <w:sz w:val="24"/>
        </w:rPr>
        <w:t>),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 xml:space="preserve">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w:t>
      </w:r>
      <m:oMath>
        <m:r>
          <m:t>g</m:t>
        </m:r>
        <m:r>
          <m:rPr>
            <m:nor/>
          </m:rPr>
          <m:t>-</m:t>
        </m:r>
        <m:r>
          <m:rPr>
            <m:sty m:val="p"/>
          </m:rPr>
          <m:t>LTC</m:t>
        </m:r>
        <m:r>
          <m:t>@K</m:t>
        </m:r>
      </m:oMath>
      <w:r>
        <w:rPr>
          <w:rFonts w:ascii="Times New Roman" w:hAnsi="Times New Roman"/>
          <w:sz w:val="24"/>
        </w:rPr>
        <w:t xml:space="preserve"> and </w:t>
      </w:r>
      <m:oMath>
        <m:r>
          <m:rPr>
            <m:sty m:val="p"/>
          </m:rPr>
          <m:t>STER</m:t>
        </m:r>
        <m:r>
          <m:t>@K</m:t>
        </m:r>
      </m:oMath>
      <w:r>
        <w:rPr>
          <w:rFonts w:ascii="Times New Roman" w:hAnsi="Times New Roman"/>
          <w:sz w:val="24"/>
        </w:rPr>
        <w:t xml:space="preserve">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w:t>
      </w:r>
      <m:oMath>
        <m:sSup>
          <m:e>
            <m:r>
              <m:t>T</m:t>
            </m:r>
          </m:e>
          <m:sup>
            <m:r>
              <m:t>−1</m:t>
            </m:r>
          </m:sup>
        </m:sSup>
      </m:oMath>
      <w:r>
        <w:rPr>
          <w:rFonts w:ascii="Times New Roman" w:hAnsi="Times New Roman"/>
          <w:sz w:val="24"/>
        </w:rPr>
        <w:t xml:space="preserve">) frequently caused gradient explosion and NaN loss values when rating classes suffered from empirical sparsity. Proving and implementing the Tikhonov operator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 xml:space="preserve">Theorem 3.2 rigorously establishes excess risk consistency for the implemented forward-corrected cross-entropy loss. However, confidence-based rating inversion via </w:t>
      </w:r>
      <m:oMath>
        <m:sSubSup>
          <m:e>
            <m:r>
              <m:t>T</m:t>
            </m:r>
          </m:e>
          <m:sub>
            <m:r>
              <m:t>λ</m:t>
            </m:r>
          </m:sub>
          <m:sup>
            <m:r>
              <m:t>†</m:t>
            </m:r>
          </m:sup>
        </m:sSubSup>
      </m:oMath>
      <w:r>
        <w:rPr>
          <w:rFonts w:ascii="Times New Roman" w:hAnsi="Times New Roman"/>
          <w:sz w:val="24"/>
        </w:rPr>
        <w:t xml:space="preserve"> inherently incurs an </w:t>
      </w:r>
      <m:oMath>
        <m:r>
          <m:t>𝒪(δ/</m:t>
        </m:r>
        <m:rad>
          <m:radPr>
            <m:degHide m:val="on"/>
          </m:radPr>
          <m:deg/>
          <m:e>
            <m:r>
              <m:t>λ</m:t>
            </m:r>
          </m:e>
        </m:rad>
        <m:r>
          <m:t>+</m:t>
        </m:r>
        <m:rad>
          <m:radPr>
            <m:degHide m:val="on"/>
          </m:radPr>
          <m:deg/>
          <m:e>
            <m:r>
              <m:t>λ</m:t>
            </m:r>
          </m:e>
        </m:rad>
        <m:r>
          <m:t>)</m:t>
        </m:r>
      </m:oMath>
      <w:r>
        <w:rPr>
          <w:rFonts w:ascii="Times New Roman" w:hAnsi="Times New Roman"/>
          <w:sz w:val="24"/>
        </w:rPr>
        <w:t xml:space="preserve"> resolvent error, necessitating careful tuning of regularization damping </w:t>
      </w:r>
      <m:oMath>
        <m:r>
          <m:t>λ</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w:t>
      </w:r>
      <m:oMath>
        <m:sSub>
          <m:e>
            <m:r>
              <m:t>M</m:t>
            </m:r>
          </m:e>
          <m:sub>
            <m:r>
              <m:rPr>
                <m:sty m:val="p"/>
              </m:rPr>
              <m:t>pop</m:t>
            </m:r>
          </m:sub>
        </m:sSub>
      </m:oMath>
      <w:r>
        <w:rPr>
          <w:rFonts w:ascii="Times New Roman" w:hAnsi="Times New Roman"/>
          <w:sz w:val="24"/>
        </w:rPr>
        <w:t>) and Tail (</w:t>
      </w:r>
      <m:oMath>
        <m:sSub>
          <m:e>
            <m:r>
              <m:t>M</m:t>
            </m:r>
          </m:e>
          <m:sub>
            <m:r>
              <m:rPr>
                <m:sty m:val="p"/>
              </m:rPr>
              <m:t>tail</m:t>
            </m:r>
          </m:sub>
        </m:sSub>
      </m:oMath>
      <w:r>
        <w:rPr>
          <w:rFonts w:ascii="Times New Roman" w:hAnsi="Times New Roman"/>
          <w:sz w:val="24"/>
        </w:rPr>
        <w:t>)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across theoretical robustness, multi-modal auditing, and calibrated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w:t>
            </w:r>
            <m:oMath>
              <m:r>
                <m:t>λ</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w:t>
            </w:r>
            <m:oMath>
              <m:sSub>
                <m:e>
                  <m:r>
                    <m:t>β</m:t>
                  </m:r>
                </m:e>
                <m:sub>
                  <m:r>
                    <m:rPr>
                      <m:sty m:val="p"/>
                    </m:rPr>
                    <m:t>reg</m:t>
                  </m:r>
                </m:sub>
              </m:sSub>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w:t>
            </w:r>
            <m:oMath>
              <m:sSub>
                <m:e>
                  <m:r>
                    <m:t>λ</m:t>
                  </m:r>
                </m:e>
                <m:sub>
                  <m:r>
                    <m:rPr>
                      <m:sty m:val="p"/>
                    </m:rPr>
                    <m:t>cl</m:t>
                  </m:r>
                </m:sub>
              </m:sSub>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w:t>
            </w:r>
            <m:oMath>
              <m:r>
                <m:t>τ</m:t>
              </m:r>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w:t>
            </w:r>
            <m:oMath>
              <m:r>
                <m:t>α,β,γ</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w:t>
            </w:r>
            <m:oMath>
              <m:sSub>
                <m:e>
                  <m:r>
                    <m:t>ω</m:t>
                  </m:r>
                </m:e>
                <m:sub>
                  <m:r>
                    <m:t>1</m:t>
                  </m:r>
                </m:sub>
              </m:sSub>
              <m:r>
                <m:t>,</m:t>
              </m:r>
              <m:sSub>
                <m:e>
                  <m:r>
                    <m:t>ω</m:t>
                  </m:r>
                </m:e>
                <m:sub>
                  <m:r>
                    <m:t>2</m:t>
                  </m:r>
                </m:sub>
              </m:sSub>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w:t>
            </w:r>
            <m:oMath>
              <m:sSub>
                <m:e>
                  <m:r>
                    <m:t>θ</m:t>
                  </m:r>
                </m:e>
                <m:sub>
                  <m:r>
                    <m:rPr>
                      <m:sty m:val="p"/>
                    </m:rPr>
                    <m:t>trust</m:t>
                  </m:r>
                </m:sub>
              </m:sSub>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w:t>
            </w:r>
            <m:oMath>
              <m:r>
                <m:t>S</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VIVAASH KOUNDAL (Reg. No. 23BCE5095)</w:t>
              <w:br/>
              <w:t>• Primary Technical Pillar: Risk-Aware Graph Contrastive Learning (GCL), Denoised SUPER Recommender Engine &amp; Calibrated Pareto Debiasing</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