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Times New Roman" w:hAnsi="Times New Roman"/>
          <w:i/>
          <w:sz w:val="24"/>
        </w:rPr>
        <w:t>A project report on</w:t>
      </w:r>
    </w:p>
    <w:p>
      <w:pPr>
        <w:spacing w:before="160" w:after="280" w:line="276" w:lineRule="auto"/>
        <w:jc w:val="center"/>
      </w:pPr>
      <w:r>
        <w:rPr>
          <w:rFonts w:ascii="Times New Roman" w:hAnsi="Times New Roman"/>
          <w:b/>
          <w:sz w:val="36"/>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4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240" w:after="80"/>
        <w:jc w:val="center"/>
      </w:pPr>
      <w:r>
        <w:rPr>
          <w:rFonts w:ascii="Times New Roman" w:hAnsi="Times New Roman"/>
          <w:i/>
          <w:sz w:val="24"/>
        </w:rPr>
        <w:t>A project report on</w:t>
      </w:r>
    </w:p>
    <w:p>
      <w:pPr>
        <w:spacing w:before="160" w:after="280" w:line="276" w:lineRule="auto"/>
        <w:jc w:val="center"/>
      </w:pPr>
      <w:r>
        <w:rPr>
          <w:rFonts w:ascii="Times New Roman" w:hAnsi="Times New Roman"/>
          <w:b/>
          <w:sz w:val="36"/>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4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ADVAIT RAVINDRAKUMAR VARHADE (23BCE5098),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ADVAIT RAVINDRAKUMAR VARHADE</w:t>
        <w:br/>
        <w:t>(Reg. No. 23BCE5098)</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In this project report, we design, implement, mathematically validate, and empirically evaluate RRFN-LLM-SUPER, a novel end-to-end framework uniting stochastic noise-transition estimation, the Multi-view Interaction Reliability Filter (MIRF), risk-aware Graph Contrastive Learning (GCL), and calibrated Pareto debiasing. We establish formal mathematical foundations, proving that Tikhonov-regularized noise inversion strictly upper-bounds operator norms by ||T_lambda^dagger||_2 &lt;= 1 / (2 * sqrt(lambda)), guaranteeing non-singular gradient stability without numerical divergence, and establish asymptotic surrogate risk consistency O(delta + 1/sqrt(N)) alongside confidence inversion resolvent bounds O(delta/sqrt(lambda) + sqrt(lambda)).</w:t>
      </w:r>
    </w:p>
    <w:p>
      <w:pPr>
        <w:spacing w:line="360" w:lineRule="auto" w:before="0" w:after="120"/>
        <w:jc w:val="both"/>
      </w:pPr>
      <w:r>
        <w:rPr>
          <w:rFonts w:ascii="Times New Roman" w:hAnsi="Times New Roman"/>
          <w:sz w:val="24"/>
        </w:rPr>
        <w:t>The proposed MIRF ensemble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thank my project teammates, P. Manas (23BCE5076) and Vivaash Koundal (23BCE5095), for their collaborative discussions and camaraderie.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ADVAIT RAVINDRAKUMAR VARHADE</w:t>
        <w:br/>
        <w:t>(Reg. No. 23BCE5098)</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Scope and Boundaries of the Work</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Organization of the Project Report</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12</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12</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14</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16</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18</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20</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22</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24</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26</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30</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30</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32</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34</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36</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36</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40</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46</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46</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48</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50</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53</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53</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56</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58</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60</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62</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64</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66</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68</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70</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70</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72</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74</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77</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79</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81</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83</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86</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88</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88</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93</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96</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98</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101</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31</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37</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45</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67</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78</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33</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55</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71</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76</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81</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98</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1.7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Noise Modeling: </w:t>
      </w:r>
      <w:r>
        <w:rPr>
          <w:rFonts w:ascii="Times New Roman" w:hAnsi="Times New Roman"/>
          <w:sz w:val="24"/>
        </w:rPr>
        <w:t>Anchor Selection &amp; Tikhonov Noise Inversion — Identifies high-confidence rating anchors and constructs a bounded, regularized stochastic rating transition matrix T.</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Reliability Auditing: </w:t>
      </w:r>
      <w:r>
        <w:rPr>
          <w:rFonts w:ascii="Times New Roman" w:hAnsi="Times New Roman"/>
          <w:sz w:val="24"/>
        </w:rPr>
        <w:t>Multi-View Interaction Reliability Filter (MIRF) — Synthesizes model prediction consistency, asynchronous LLM semantic review audits, and 2D BLAS review-bombing burst detection into sample-level reliability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Representation Learning: </w:t>
      </w:r>
      <w:r>
        <w:rPr>
          <w:rFonts w:ascii="Times New Roman" w:hAnsi="Times New Roman"/>
          <w:sz w:val="24"/>
        </w:rPr>
        <w:t>Risk-Aware Graph Contrastive Learning &amp; Dual Partitioning — Modulates InfoNCE self-supervised contrastive losses with sample reliability weights and trains specialized Head (M_pop) and Tail (M_tail) neural backbones.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Calibrated Recommendation: </w:t>
      </w:r>
      <w:r>
        <w:rPr>
          <w:rFonts w:ascii="Times New Roman" w:hAnsi="Times New Roman"/>
          <w:sz w:val="24"/>
        </w:rPr>
        <w:t>Denoised SUPER Blueprint &amp; Trajectory Interleaving — Purifies historical user interaction blueprints using reliability thresholds to assemble rank-calibrated top-K recommendations that restore genuine tail exposure.</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Evaluation Engine: </w:t>
      </w:r>
      <w:r>
        <w:rPr>
          <w:rFonts w:ascii="Times New Roman" w:hAnsi="Times New Roman"/>
          <w:sz w:val="24"/>
        </w:rPr>
        <w:t>Multi-Domain Telemetry &amp; Statistical Evaluation — Continuously tracks recommendation accuracy, genuine catalog coverage, calibration errors, and offline economic sensitivity.</w:t>
      </w:r>
    </w:p>
    <w:p>
      <w:pPr>
        <w:spacing w:before="160" w:after="80" w:line="240" w:lineRule="auto"/>
        <w:jc w:val="center"/>
      </w:pPr>
      <w:r>
        <w:drawing>
          <wp:inline xmlns:a="http://schemas.openxmlformats.org/drawingml/2006/main" xmlns:pic="http://schemas.openxmlformats.org/drawingml/2006/picture">
            <wp:extent cx="5184000" cy="2762182"/>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184000" cy="2762182"/>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Tikhonov-regularized noise transition modeling, MIRF multi-view reliability auditing, risk-aware graph contrastive learning, dual partition training,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T_{ij} = P(\tilde{Y} = j \mid Y^* = i), \quad \text{subject to } \sum_{j=1}^K T_{ij} = 1, \quad \forall i \in \{1, \dots, K\}</w:t>
            </w:r>
          </w:p>
        </w:tc>
        <w:tc>
          <w:tcPr>
            <w:tcW w:type="dxa" w:w="1134"/>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\tilde{\mathbf{p}}(u, i) = T^T \mathbf{p}(u, i)</w:t>
            </w:r>
          </w:p>
        </w:tc>
        <w:tc>
          <w:tcPr>
            <w:tcW w:type="dxa" w:w="1134"/>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(T^T T + \lambda I)^{-1} T^T</w:t>
            </w:r>
          </w:p>
        </w:tc>
        <w:tc>
          <w:tcPr>
            <w:tcW w:type="dxa" w:w="1134"/>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\mathcal{L}_{\mathrm{risk}} = \frac{1}{\sum_{i=1}^B w_i} \sum_{i=1}^B w_i \cdot \ell_{\mathrm{CE}}\left(T^T \mathbf{p}_i, \tilde{\mathbf{y}}_i\right) + \beta_{\mathrm{reg}} \|T - \hat{T}\|_F^2</w:t>
            </w:r>
          </w:p>
        </w:tc>
        <w:tc>
          <w:tcPr>
            <w:tcW w:type="dxa" w:w="1134"/>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R_{\mathrm{RRFN}}(u, i) = \exp\left(-\frac{|\tilde{r}_{ui} - \mathbb{E}_{\mathbf{p}(u,i)}[Y^*]|^2}{2 \sigma_{\mathrm{RRFN}}^2}\right)</w:t>
            </w:r>
          </w:p>
        </w:tc>
        <w:tc>
          <w:tcPr>
            <w:tcW w:type="dxa" w:w="1134"/>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R_{\mathrm{LLM}}(u, i) = \mathrm{LLM\_Audit}(S_{ui}, \tilde{r}_{ui}) \in [0, 1]</w:t>
            </w:r>
          </w:p>
        </w:tc>
        <w:tc>
          <w:tcPr>
            <w:tcW w:type="dxa" w:w="1134"/>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Z_{\mathrm{temp}}(i, t) = \frac{D_{\mathrm{recent}}(i, t) - \mu_D(i)}{\sigma_D(i) + \epsilon}, \quad S_{\mathrm{pol}}(i, t) = \frac{|N_1(i, t) - N_5(i, t)|}{N_1(i, t) + N_5(i, t) + \epsilon}</w:t>
            </w:r>
          </w:p>
        </w:tc>
        <w:tc>
          <w:tcPr>
            <w:tcW w:type="dxa" w:w="1134"/>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R_{\mathrm{bomb}}(u, i) = 1 - \sigma\left(\omega_1 Z_{\mathrm{temp}}(i, t) + \omega_2 S_{\mathrm{pol}}(i, t) - \theta_{\mathrm{bomb}}\right)</w:t>
            </w:r>
          </w:p>
        </w:tc>
        <w:tc>
          <w:tcPr>
            <w:tcW w:type="dxa" w:w="1134"/>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w_{ui} = \alpha R_{\mathrm{RRFN}}(u, i) + \beta R_{\mathrm{LLM}}(u, i) + \gamma R_{\mathrm{bomb}}(u, i), \quad \text{where } \alpha + \beta + \gamma = 1, \quad \alpha, \beta, \gamma \ge 0</w:t>
            </w:r>
          </w:p>
        </w:tc>
        <w:tc>
          <w:tcPr>
            <w:tcW w:type="dxa" w:w="1134"/>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\mathcal{L}_{\mathrm{cl}} = -\sum_{i \in \mathcal{B}} w_i \cdot \log \frac{\exp(\mathrm{sim}(\mathbf{z}_i', \mathbf{z}_i'') / \tau)}{\sum_{j \in \mathcal{B}} \exp(\mathrm{sim}(\mathbf{z}_i', \mathbf{z}_j'') / \tau)}</w:t>
            </w:r>
          </w:p>
        </w:tc>
        <w:tc>
          <w:tcPr>
            <w:tcW w:type="dxa" w:w="1134"/>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\mathcal{L}_{\mathrm{total}}^{\mathrm{head}} = \mathcal{L}_{\mathrm{risk}}^{\mathrm{head}} + \lambda_{\mathrm{cl}} \mathcal{L}_{\mathrm{cl}}^{\mathrm{head}}, \quad \mathcal{L}_{\mathrm{total}}^{\mathrm{tail}} = \mathcal{L}_{\mathrm{risk}}^{\mathrm{tail}} + \lambda_{\mathrm{cl}} \mathcal{L}_{\mathrm{cl}}^{\mathrm{tail}}</w:t>
            </w:r>
          </w:p>
        </w:tc>
        <w:tc>
          <w:tcPr>
            <w:tcW w:type="dxa" w:w="1134"/>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B_u = \{i \in \mathcal{I} \mid (u, i) \in \mathcal{E} \land w_{ui} \ge \theta_{\mathrm{trust}}\}</w:t>
            </w:r>
          </w:p>
        </w:tc>
        <w:tc>
          <w:tcPr>
            <w:tcW w:type="dxa" w:w="1134"/>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\alpha_u = \frac{\sum_{i \in B_u \cap \mathcal{I}_{\mathrm{tail}}} w_{ui}}{\sum_{i \in B_u} w_{ui} + \epsilon_{\mathrm{smooth}}}</w:t>
            </w:r>
          </w:p>
        </w:tc>
        <w:tc>
          <w:tcPr>
            <w:tcW w:type="dxa" w:w="1134"/>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\le \frac{1}{2\sqrt{\lambda}}</w:t>
            </w:r>
          </w:p>
        </w:tc>
        <w:tc>
          <w:tcPr>
            <w:tcW w:type="dxa" w:w="1134"/>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(V \Sigma^T U^T U \Sigma V^T + \lambda I)^{-1} V \Sigma^T U^T = (V (\Sigma^2 + \lambda I) V^T)^{-1} V \Sigma^T U^T = V (\Sigma^2 + \lambda I)^{-1} \Sigma U^T</w:t>
            </w:r>
          </w:p>
        </w:tc>
        <w:tc>
          <w:tcPr>
            <w:tcW w:type="dxa" w:w="1134"/>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f'(\sigma) = \frac{(\sigma^2 + \lambda) - \sigma(2\sigma)}{(\sigma^2 + \lambda)^2} = \frac{\lambda - \sigma^2}{(\sigma^2 + \lambda)^2}</w:t>
            </w:r>
          </w:p>
        </w:tc>
        <w:tc>
          <w:tcPr>
            <w:tcW w:type="dxa" w:w="1134"/>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f(\sqrt{\lambda}) = \frac{\sqrt{\lambda}}{(\sqrt{\lambda})^2 + \lambda} = \frac{\sqrt{\lambda}}{2\lambda} = \frac{1}{2\sqrt{\lambda}}</w:t>
            </w:r>
          </w:p>
        </w:tc>
        <w:tc>
          <w:tcPr>
            <w:tcW w:type="dxa" w:w="1134"/>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 \max_{1 \le i \le K} f(\sigma_i) \le \sup_{\sigma \ge 0} f(\sigma) = \frac{1}{2\sqrt{\lambda}}</w:t>
            </w:r>
          </w:p>
        </w:tc>
        <w:tc>
          <w:tcPr>
            <w:tcW w:type="dxa" w:w="1134"/>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\mathbb{E}_{\tilde{Y}|X}[\ell_{\mathrm{forward}}(f(X), \tilde{Y}; T^*)] = -\sum_{j=1}^K P(\tilde{Y}=j \mid X) \log (T^{*T} f(X))_j = H(T^{*T} \mathbf{p}^*(X)) + D_{\mathrm{KL}}(T^{*T} \mathbf{p}^*(X) \parallel T^{*T} f(X))</w:t>
            </w:r>
          </w:p>
        </w:tc>
        <w:tc>
          <w:tcPr>
            <w:tcW w:type="dxa" w:w="1134"/>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\|\hat{T}^\dagger_\lambda - (T^*)^{-1}\|_2 \le \|\hat{T}^\dagger_\lambda - T^{*\dagger}_\lambda\|_2 + \|T^{*\dagger}_\lambda - (T^*)^{-1}\|_2 \le \frac{\delta}{\sqrt{\lambda}} + \frac{\lambda}{\sigma_0(\sigma_0^2 + \lambda)}</w:t>
            </w:r>
          </w:p>
        </w:tc>
        <w:tc>
          <w:tcPr>
            <w:tcW w:type="dxa" w:w="1134"/>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the core contributions delivered in this work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Advait Ravindrakumar Varhade (Reg. No. 23BCE5098)</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