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2"/>
          <w:szCs w:val="32"/>
        </w:rPr>
        <w:t xml:space="preserve">Advaith Kumar</w:t>
      </w:r>
    </w:p>
    <w:p>
      <w:pPr>
        <w:spacing w:before="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9373 7117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advaith001@e.ntu.edu.sg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linkedin.com/in/advaith-kumar-13b117254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github.com/AdvaithK500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Indian National, NTU Tuition Grant (3-year Singapore work bond)</w:t>
      </w:r>
    </w:p>
    <w:p>
      <w:pPr>
        <w:pBdr>
          <w:bottom w:val="single" w:color="000000" w:sz="6" w:space="1"/>
        </w:pBdr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EDUCATION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Nanyang Technological University (NTU), Singapore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Aug 2023 – May 2027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College of Engineering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Bachelor of Engineering (Computer Engineering) with Second Major in Business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CGPA: 4.30 / 5.00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Relevant Modules: Machine Learning, Algorithm Design &amp; Analysis, Embedded Systems, Software Engineering, TinyML, Advanced Computer Architecture, Distributed Systems, Digital Systems &amp; Design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0"/>
          <w:szCs w:val="60"/>
        </w:rPr>
        <w:t xml:space="preserve"/>
      </w:r>
    </w:p>
    <w:p>
      <w:pPr>
        <w:pBdr>
          <w:bottom w:val="single" w:color="000000" w:sz="6" w:space="1"/>
        </w:pBdr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ACADEMIC PROJECT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NTU Multidisciplinary Design Project (CZ3004)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Aug 2025 – Oct 2025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9"/>
          <w:szCs w:val="19"/>
        </w:rPr>
        <w:t xml:space="preserve">Autonomous Maze-Navigating Robot — STM32F4 Firmware Engineer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complete STM32F4 firmware comprising 9 concurrent FreeRTOS tasks, fusing ICM20948 IMU, dual 480-CPR quadrature encoders, HC-SR04 ultrasonic and Sharp IR sensors for fully autonomous 10×10 maze navigation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Implemented EMI-protected I2C driver with last-valid-reading fallback, log-log LUT calibration for Sharp IR (halving distance error vs linear interpolation), VDDA-compensated ADC, and anti-windup PID with derivative-on-measurement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10-byte UART framing protocol with DMA-buffered receive and automatic resync on frame corruption, achieving reliable Raspberry Pi ↔ STM32 communication at 115200 baud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Extended stack with Python OpenCV real-time obstacle detection layer and Flask REST API for WiFi robot control, enabling network-commanded motion over HTTP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0"/>
          <w:szCs w:val="60"/>
        </w:rPr>
        <w:t xml:space="preserve"/>
      </w:r>
    </w:p>
    <w:p>
      <w:pPr>
        <w:pBdr>
          <w:bottom w:val="single" w:color="000000" w:sz="6" w:space="1"/>
        </w:pBdr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PERSONAL PROJECTS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EKF Sensor Fusion + Signal Intelligence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github.com/AdvaithK500/ekf-sensor-fusion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Python · NumPy · SciPy · Kalman Filter · Anomaly Detection · Spectral Analysis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Implemented Extended Kalman Filter with arc-based differential-drive kinematics, reducing position RMSE from 5.96 cm (dead reckoning) to 2.04 cm — a 65.7% improvement over a simulated 26-second maze run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online time-series anomaly detector for 4 fault types (spike, bias drift, flatline, noise burst) using rolling z-score and local window mean comparison; applied Welch PSD spectral analysis with Hanning/Blackman/rectangular window comparison — gyro SNR 38.4 dB, dominant frequency 0.31 Hz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50"/>
          <w:szCs w:val="5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Edge ML — 1D CNN · BiLSTM · GRU for Activity Recognition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github.com/AdvaithK500/time-series-classifier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PyTorch · scikit-learn · MFCC Feature Engineering · TorchScript · Edge Deployment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and compared CNN1D (42k, 96.5%), BiLSTM (99k, 95.2%), and GRU (74k, 95.8%) for time-series classification (6-class HAR, 50 Hz); trained a conditional LSTM-GAN for synthetic data augmentation, demonstrating +3.1% accuracy gain in low-data regime (3% training split); CNN exported via TorchScript (~11 KB after int8 quantisation)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MFCC-inspired filterbank pipeline (Hanning window → FFT → 12-band linear filterbank → log-energy + delta + DCT) yielding a 258-dim feature vector; feature importance analysis identified az (vertical accelerometer) as dominant channel (importance 0.270)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50"/>
          <w:szCs w:val="5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Faithfulness of SHAP &amp; LIME on Tabular Foundation Models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github.com/AdvaithK500/tabpfn-xai-study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TabPFN · KernelSHAP · LIME · Explainable AI · Privacy Analysis · NTU × Lexsi Labs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Empirically measured explainer faithfulness on TabPFN (in-context learning model) using Infidelity, Sufficiency, and Spearman ρ against XGBoost-TreeSHAP reference; found SHAP moderately faithful (ρ=0.474) while intrinsic sensitivity probe was negatively correlated (ρ=−0.350), indicating TabPFN and XGBoost learn fundamentally different decision boundaries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Extended with enterprise AI governance analysis: mapped ICL privacy risks to PDPA obligations (Sections 18, 24, 26) and NIST AI RMF controls; implemented shadow-model membership inference attack quantifying attack AUC gap (classical ML 0.554 vs memorising model 0.672) — directly applicable to Privacy Impact Assessments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50"/>
          <w:szCs w:val="5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Agentic RAG Pipeline with Security Hardening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github.com/AdvaithK500/agentic-rag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Python · BM25 · ReAct Agent · Prompt Injection Detection · Flask REST API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end-to-end data pipeline: BM25 document retrieval (3 chunking strategies, MRR=1.000) → ReAct agentic loop with tool use → LLM generation via Claude / GPT-4 API; deployed as Flask REST API with full request/response logging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3-layer prompt injection defence (OWASP LLM Top 10 #1): 20+ regex attack patterns + heuristic scoring (instruction density, token entropy) + indirect chunk screening; achieved Precision=1.000, Recall=0.833, F1=0.909 with zero false positives on benign queries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50"/>
          <w:szCs w:val="50"/>
        </w:rPr>
        <w:t xml:space="preserve"/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Federated Learning + Differential Privacy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github.com/AdvaithK500/federated-learning-dp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Python · FedAvg · Gaussian Mechanism · Membership Inference · Privacy-Utility Tradeoff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Simulated FedAvg across 5 virtual clients on the HAR dataset with (ε, δ)-differential privacy: Gaussian mechanism noise calibrated via σ = sensitivity × sqrt(2 × ln(1.25/δ)) / ε, with privacy budget tracked across R=20 rounds using a moments-accountant approximation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Quantified privacy-utility tradeoff across 4 conditions (centralised, FL no DP, FL ε=5.0, FL ε=1.0); DP-FedAvg reduced membership inference attack AUC from 0.543 → 0.510 (near-random), demonstrating measurable resistance to shadow-model attacks; mapped findings to PDPA obligations and NIST AI RMF controls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0"/>
          <w:szCs w:val="60"/>
        </w:rPr>
        <w:t xml:space="preserve"/>
      </w:r>
    </w:p>
    <w:p>
      <w:pPr>
        <w:pBdr>
          <w:bottom w:val="single" w:color="000000" w:sz="6" w:space="1"/>
        </w:pBdr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AWARDS | ACHIEVEMENTS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NTU Tuition Grant Recipient — Singapore Economic Development Board (EDB) sponsored scholarship for international students; 3-year Singapore work commitment post-graduation                                                                                                                          2023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0"/>
          <w:szCs w:val="60"/>
        </w:rPr>
        <w:t xml:space="preserve"/>
      </w:r>
    </w:p>
    <w:p>
      <w:pPr>
        <w:pBdr>
          <w:bottom w:val="single" w:color="000000" w:sz="6" w:space="1"/>
        </w:pBdr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SKILLS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0"/>
          <w:szCs w:val="3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Languages: Python, C, C++, MATLAB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ML / AI: PyTorch, scikit-learn, NumPy, SciPy, SHAP, TabPFN, LangChain, LLM API (Claude, GPT-4), Federated Learning, Differential Privacy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Embedded &amp; Systems: STM32/HAL, FreeRTOS, ROS2, Arduino, I2C · UART · MQTT · DMA · SPI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Tools: Git, Docker, Linux, Jupyter, Flask, OpenCV, STM32CubeIDE, AWS (basics), Azure ML</w:t>
      </w:r>
    </w:p>
    <w:p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Interests: Competitive programming, embedded systems tinkering, following ML research (NeurIPS, ICLR, ICML)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2026-03-31T15:42:53.204Z</dcterms:created>
  <dcterms:modified xsi:type="dcterms:W3CDTF">2026-03-31T15:42:53.206Z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