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B4E1" w14:textId="77777777" w:rsidR="008E4940" w:rsidRDefault="00D86691">
      <w:pPr>
        <w:spacing w:after="0" w:line="240" w:lineRule="auto"/>
        <w:jc w:val="both"/>
        <w:rPr>
          <w:bCs/>
          <w:sz w:val="24"/>
          <w:szCs w:val="24"/>
          <w:lang w:val="en-GB"/>
        </w:rPr>
      </w:pPr>
      <w:r>
        <w:rPr>
          <w:bCs/>
          <w:sz w:val="24"/>
          <w:szCs w:val="24"/>
          <w:lang w:val="en-GB"/>
        </w:rPr>
        <w:t> </w:t>
      </w:r>
    </w:p>
    <w:p w14:paraId="2E7CC746" w14:textId="77777777" w:rsidR="008E4940" w:rsidRDefault="00D86691">
      <w:pPr>
        <w:spacing w:after="0" w:line="240" w:lineRule="auto"/>
        <w:jc w:val="both"/>
        <w:rPr>
          <w:bCs/>
          <w:sz w:val="24"/>
          <w:szCs w:val="24"/>
          <w:lang w:val="en-GB"/>
        </w:rPr>
      </w:pPr>
      <w:r>
        <w:rPr>
          <w:bCs/>
          <w:sz w:val="24"/>
          <w:szCs w:val="24"/>
          <w:lang w:val="en-GB"/>
        </w:rPr>
        <w:br/>
      </w:r>
      <w:r>
        <w:rPr>
          <w:b/>
          <w:bCs/>
          <w:sz w:val="24"/>
          <w:szCs w:val="24"/>
          <w:lang w:val="en-GB"/>
        </w:rPr>
        <w:t>Potential ways of accessing information sources.</w:t>
      </w:r>
      <w:r>
        <w:rPr>
          <w:bCs/>
          <w:sz w:val="24"/>
          <w:szCs w:val="24"/>
          <w:lang w:val="en-GB"/>
        </w:rPr>
        <w:t> Three potential ways of accessing informa</w:t>
      </w:r>
      <w:r>
        <w:rPr>
          <w:bCs/>
          <w:sz w:val="24"/>
          <w:szCs w:val="24"/>
          <w:lang w:val="en-GB"/>
        </w:rPr>
        <w:t xml:space="preserve">tion resources have been subjected to analysis: library </w:t>
      </w:r>
      <w:proofErr w:type="spellStart"/>
      <w:r>
        <w:rPr>
          <w:bCs/>
          <w:sz w:val="24"/>
          <w:szCs w:val="24"/>
          <w:lang w:val="en-GB"/>
        </w:rPr>
        <w:t>eCatalogues</w:t>
      </w:r>
      <w:proofErr w:type="spellEnd"/>
      <w:r>
        <w:rPr>
          <w:bCs/>
          <w:sz w:val="24"/>
          <w:szCs w:val="24"/>
          <w:lang w:val="en-GB"/>
        </w:rPr>
        <w:t>, subscribed databases, and freely available full-text information resources. The assessment of the normality of data was based on the Shapiro-Wilk test. The test revealed that the groups o</w:t>
      </w:r>
      <w:r>
        <w:rPr>
          <w:bCs/>
          <w:sz w:val="24"/>
          <w:szCs w:val="24"/>
          <w:lang w:val="en-GB"/>
        </w:rPr>
        <w:t xml:space="preserve">f </w:t>
      </w:r>
      <w:proofErr w:type="gramStart"/>
      <w:r>
        <w:rPr>
          <w:bCs/>
          <w:sz w:val="24"/>
          <w:szCs w:val="24"/>
          <w:lang w:val="en-GB"/>
        </w:rPr>
        <w:t>library</w:t>
      </w:r>
      <w:proofErr w:type="gramEnd"/>
      <w:r>
        <w:rPr>
          <w:bCs/>
          <w:sz w:val="24"/>
          <w:szCs w:val="24"/>
          <w:lang w:val="en-GB"/>
        </w:rPr>
        <w:t xml:space="preserve"> </w:t>
      </w:r>
      <w:proofErr w:type="spellStart"/>
      <w:r>
        <w:rPr>
          <w:bCs/>
          <w:sz w:val="24"/>
          <w:szCs w:val="24"/>
          <w:lang w:val="en-GB"/>
        </w:rPr>
        <w:t>eCatalogue</w:t>
      </w:r>
      <w:proofErr w:type="spellEnd"/>
      <w:r>
        <w:rPr>
          <w:bCs/>
          <w:sz w:val="24"/>
          <w:szCs w:val="24"/>
          <w:lang w:val="en-GB"/>
        </w:rPr>
        <w:t xml:space="preserve"> (Sig. 0.000) and unknown sources (Sig. 0.001) were distributed normally, however, subscribed databases (Sig. 0.318) and freely available sources (Sig. 0.540) were not normally distributed. For further analysis of the results non-parame</w:t>
      </w:r>
      <w:r>
        <w:rPr>
          <w:bCs/>
          <w:sz w:val="24"/>
          <w:szCs w:val="24"/>
          <w:lang w:val="en-GB"/>
        </w:rPr>
        <w:t xml:space="preserve">tric and parametric methods were employed through the application of the Kruskal-Wallis H test and the One-way </w:t>
      </w:r>
      <w:proofErr w:type="spellStart"/>
      <w:r>
        <w:rPr>
          <w:bCs/>
          <w:sz w:val="24"/>
          <w:szCs w:val="24"/>
          <w:lang w:val="en-GB"/>
        </w:rPr>
        <w:t>Anova</w:t>
      </w:r>
      <w:proofErr w:type="spellEnd"/>
      <w:r>
        <w:rPr>
          <w:bCs/>
          <w:sz w:val="24"/>
          <w:szCs w:val="24"/>
          <w:lang w:val="en-GB"/>
        </w:rPr>
        <w:t xml:space="preserve"> test. The authors’ decision to resort to the parametric test, namely the One-way </w:t>
      </w:r>
      <w:proofErr w:type="spellStart"/>
      <w:r>
        <w:rPr>
          <w:bCs/>
          <w:sz w:val="24"/>
          <w:szCs w:val="24"/>
          <w:lang w:val="en-GB"/>
        </w:rPr>
        <w:t>Anova</w:t>
      </w:r>
      <w:proofErr w:type="spellEnd"/>
      <w:r>
        <w:rPr>
          <w:bCs/>
          <w:sz w:val="24"/>
          <w:szCs w:val="24"/>
          <w:lang w:val="en-GB"/>
        </w:rPr>
        <w:t xml:space="preserve"> test, for further analysis was determined by the fac</w:t>
      </w:r>
      <w:r>
        <w:rPr>
          <w:bCs/>
          <w:sz w:val="24"/>
          <w:szCs w:val="24"/>
          <w:lang w:val="en-GB"/>
        </w:rPr>
        <w:t xml:space="preserve">t that the results of the analysis based on this test were more consistent. The parametric test was employed to determine whether there were any statistically significant differences in the potential way of getting access to information sources. </w:t>
      </w:r>
    </w:p>
    <w:p w14:paraId="03F5905D" w14:textId="77777777" w:rsidR="008E4940" w:rsidRDefault="008E4940">
      <w:pPr>
        <w:spacing w:after="0" w:line="240" w:lineRule="auto"/>
        <w:jc w:val="both"/>
        <w:rPr>
          <w:bCs/>
          <w:sz w:val="24"/>
          <w:szCs w:val="24"/>
          <w:lang w:val="en-GB"/>
        </w:rPr>
      </w:pPr>
    </w:p>
    <w:p w14:paraId="7EB001A5" w14:textId="77777777" w:rsidR="008E4940" w:rsidRDefault="008E4940">
      <w:pPr>
        <w:rPr>
          <w:sz w:val="24"/>
          <w:szCs w:val="24"/>
          <w:lang w:val="en-GB"/>
        </w:rPr>
      </w:pPr>
      <w:bookmarkStart w:id="0" w:name="_GoBack"/>
      <w:bookmarkEnd w:id="0"/>
    </w:p>
    <w:sectPr w:rsidR="008E4940">
      <w:footerReference w:type="default" r:id="rId7"/>
      <w:pgSz w:w="11906" w:h="16838"/>
      <w:pgMar w:top="993" w:right="567" w:bottom="1134" w:left="1134" w:header="0" w:footer="56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DBF70" w14:textId="77777777" w:rsidR="00D86691" w:rsidRDefault="00D86691">
      <w:pPr>
        <w:spacing w:after="0" w:line="240" w:lineRule="auto"/>
      </w:pPr>
      <w:r>
        <w:separator/>
      </w:r>
    </w:p>
  </w:endnote>
  <w:endnote w:type="continuationSeparator" w:id="0">
    <w:p w14:paraId="2B12445E" w14:textId="77777777" w:rsidR="00D86691" w:rsidRDefault="00D86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D1D02" w14:textId="77777777" w:rsidR="008E4940" w:rsidRDefault="00D86691">
    <w:pPr>
      <w:pStyle w:val="Footer"/>
      <w:jc w:val="right"/>
    </w:pPr>
    <w:r>
      <w:fldChar w:fldCharType="begin"/>
    </w:r>
    <w:r>
      <w:instrText>PAGE</w:instrText>
    </w:r>
    <w:r>
      <w:fldChar w:fldCharType="separate"/>
    </w:r>
    <w:r>
      <w:t>21</w:t>
    </w:r>
    <w:r>
      <w:fldChar w:fldCharType="end"/>
    </w:r>
  </w:p>
  <w:p w14:paraId="7E2EB781" w14:textId="77777777" w:rsidR="008E4940" w:rsidRDefault="008E4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25919" w14:textId="77777777" w:rsidR="00D86691" w:rsidRDefault="00D86691">
      <w:pPr>
        <w:spacing w:after="0" w:line="240" w:lineRule="auto"/>
      </w:pPr>
      <w:r>
        <w:separator/>
      </w:r>
    </w:p>
  </w:footnote>
  <w:footnote w:type="continuationSeparator" w:id="0">
    <w:p w14:paraId="34E49B2D" w14:textId="77777777" w:rsidR="00D86691" w:rsidRDefault="00D86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56F4E"/>
    <w:multiLevelType w:val="multilevel"/>
    <w:tmpl w:val="8DF46BEC"/>
    <w:lvl w:ilvl="0">
      <w:start w:val="1"/>
      <w:numFmt w:val="bullet"/>
      <w:lvlText w:val=""/>
      <w:lvlJc w:val="left"/>
      <w:pPr>
        <w:ind w:left="720" w:hanging="360"/>
      </w:pPr>
      <w:rPr>
        <w:rFonts w:ascii="Symbol" w:hAnsi="Symbol" w:cs="Symbol" w:hint="default"/>
        <w:sz w:val="24"/>
        <w:szCs w:val="24"/>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5AF5B5E"/>
    <w:multiLevelType w:val="multilevel"/>
    <w:tmpl w:val="B8FC20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4940"/>
    <w:rsid w:val="00274327"/>
    <w:rsid w:val="008E4940"/>
    <w:rsid w:val="00D866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2830"/>
  <w15:docId w15:val="{567638B8-4FD4-4974-97D6-A1B7DB63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lt-LT"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sz w:val="24"/>
      <w:szCs w:val="24"/>
      <w:lang w:val="en-GB"/>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Numatytasispastraiposriftas">
    <w:name w:val="Numatytasis pastraipos šriftas"/>
    <w:qFormat/>
  </w:style>
  <w:style w:type="character" w:customStyle="1" w:styleId="StrongEmphasis">
    <w:name w:val="Strong Emphasis"/>
    <w:qFormat/>
    <w:rPr>
      <w:b/>
      <w:bCs/>
    </w:rPr>
  </w:style>
  <w:style w:type="character" w:customStyle="1" w:styleId="InternetLink">
    <w:name w:val="Internet Link"/>
    <w:rPr>
      <w:color w:val="0000FF"/>
      <w:u w:val="single"/>
    </w:rPr>
  </w:style>
  <w:style w:type="character" w:customStyle="1" w:styleId="DebesliotekstasDiagrama">
    <w:name w:val="Debesėlio tekstas Diagrama"/>
    <w:qFormat/>
    <w:rPr>
      <w:rFonts w:ascii="Tahoma" w:hAnsi="Tahoma" w:cs="Tahoma"/>
      <w:sz w:val="16"/>
      <w:szCs w:val="16"/>
    </w:rPr>
  </w:style>
  <w:style w:type="character" w:customStyle="1" w:styleId="AntratsDiagrama">
    <w:name w:val="Antraštės Diagrama"/>
    <w:basedOn w:val="Numatytasispastraiposriftas"/>
    <w:qFormat/>
  </w:style>
  <w:style w:type="character" w:customStyle="1" w:styleId="PoratDiagrama">
    <w:name w:val="Poraštė Diagrama"/>
    <w:basedOn w:val="Numatytasispastraiposriftas"/>
    <w:qFormat/>
  </w:style>
  <w:style w:type="character" w:customStyle="1" w:styleId="PuslapioinaostekstasDiagrama">
    <w:name w:val="Puslapio išnašos tekstas Diagrama"/>
    <w:qFormat/>
    <w:rPr>
      <w:sz w:val="20"/>
      <w:szCs w:val="20"/>
    </w:rPr>
  </w:style>
  <w:style w:type="character" w:customStyle="1" w:styleId="FootnoteCharacters">
    <w:name w:val="Footnote Characters"/>
    <w:qFormat/>
    <w:rPr>
      <w:vertAlign w:val="superscript"/>
    </w:rPr>
  </w:style>
  <w:style w:type="character" w:customStyle="1" w:styleId="Komentaronuoroda">
    <w:name w:val="Komentaro nuoroda"/>
    <w:qFormat/>
    <w:rPr>
      <w:sz w:val="16"/>
      <w:szCs w:val="16"/>
    </w:rPr>
  </w:style>
  <w:style w:type="character" w:customStyle="1" w:styleId="KomentarotekstasDiagrama">
    <w:name w:val="Komentaro tekstas Diagrama"/>
    <w:qFormat/>
    <w:rPr>
      <w:lang w:val="lt-LT"/>
    </w:rPr>
  </w:style>
  <w:style w:type="character" w:customStyle="1" w:styleId="KomentarotemaDiagrama">
    <w:name w:val="Komentaro tema Diagrama"/>
    <w:qFormat/>
    <w:rPr>
      <w:b/>
      <w:bCs/>
      <w:lang w:val="lt-LT"/>
    </w:rPr>
  </w:style>
  <w:style w:type="character" w:customStyle="1" w:styleId="st1">
    <w:name w:val="st1"/>
    <w:basedOn w:val="Numatytasispastraiposrifta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prastasistinklapis">
    <w:name w:val="Įprastasis (tinklapis)"/>
    <w:basedOn w:val="Normal"/>
    <w:qFormat/>
    <w:rPr>
      <w:rFonts w:ascii="Times New Roman" w:hAnsi="Times New Roman"/>
      <w:sz w:val="24"/>
      <w:szCs w:val="24"/>
    </w:rPr>
  </w:style>
  <w:style w:type="paragraph" w:customStyle="1" w:styleId="Sraopastraipa">
    <w:name w:val="Sąrašo pastraipa"/>
    <w:basedOn w:val="Normal"/>
    <w:qFormat/>
    <w:pPr>
      <w:ind w:left="720"/>
      <w:contextualSpacing/>
    </w:pPr>
  </w:style>
  <w:style w:type="paragraph" w:customStyle="1" w:styleId="Debesliotekstas">
    <w:name w:val="Debesėlio tekstas"/>
    <w:basedOn w:val="Normal"/>
    <w:qFormat/>
    <w:pPr>
      <w:spacing w:after="0" w:line="240" w:lineRule="auto"/>
    </w:pPr>
    <w:rPr>
      <w:rFonts w:ascii="Tahoma" w:hAnsi="Tahoma" w:cs="Tahoma"/>
      <w:sz w:val="16"/>
      <w:szCs w:val="16"/>
      <w:lang w:val="en-CA"/>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FootnoteText">
    <w:name w:val="footnote text"/>
    <w:basedOn w:val="Normal"/>
    <w:pPr>
      <w:spacing w:after="0" w:line="240" w:lineRule="auto"/>
    </w:pPr>
    <w:rPr>
      <w:sz w:val="20"/>
      <w:szCs w:val="20"/>
      <w:lang w:val="en-CA"/>
    </w:rPr>
  </w:style>
  <w:style w:type="paragraph" w:customStyle="1" w:styleId="Komentarotekstas">
    <w:name w:val="Komentaro tekstas"/>
    <w:basedOn w:val="Normal"/>
    <w:qFormat/>
    <w:rPr>
      <w:sz w:val="20"/>
      <w:szCs w:val="20"/>
    </w:rPr>
  </w:style>
  <w:style w:type="paragraph" w:customStyle="1" w:styleId="Komentarotema">
    <w:name w:val="Komentaro tema"/>
    <w:basedOn w:val="Komentarotekstas"/>
    <w:next w:val="Komentarotekstas"/>
    <w:qFormat/>
    <w:rPr>
      <w:b/>
      <w:bCs/>
    </w:rPr>
  </w:style>
  <w:style w:type="paragraph" w:customStyle="1" w:styleId="Pataisymai">
    <w:name w:val="Pataisymai"/>
    <w:qFormat/>
    <w:rPr>
      <w:rFonts w:ascii="Calibri" w:eastAsia="Calibri" w:hAnsi="Calibri" w:cs="Times New Roman"/>
      <w:sz w:val="22"/>
      <w:szCs w:val="22"/>
      <w:lang w:val="lt-LT"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Google it’ – the scope of freely available information sources for doctoral thesis writing</dc:title>
  <dc:subject/>
  <dc:creator/>
  <cp:keywords/>
  <dc:description/>
  <cp:lastModifiedBy>Alex Garnett</cp:lastModifiedBy>
  <cp:revision>2</cp:revision>
  <dcterms:created xsi:type="dcterms:W3CDTF">2017-01-09T01:38:00Z</dcterms:created>
  <dcterms:modified xsi:type="dcterms:W3CDTF">2018-05-16T22:23:00Z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http://www.zotero.org/styles/harvard1</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16th edition (author-date)</vt:lpwstr>
  </property>
  <property fmtid="{D5CDD505-2E9C-101B-9397-08002B2CF9AE}" pid="19" name="Mendeley Recent Style Name 5_1">
    <vt:lpwstr>Harvard Reference format 1 (author-date)</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9031e455-5acc-3ee2-9f7e-da5db9219983</vt:lpwstr>
  </property>
</Properties>
</file>