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6CCE68" w14:textId="77777777" w:rsidR="00DB20C4" w:rsidRPr="00DB20C4" w:rsidRDefault="00DB20C4" w:rsidP="00DB20C4">
      <w:pPr>
        <w:pStyle w:val="Title"/>
        <w:rPr>
          <w:rFonts w:eastAsia="Times New Roman"/>
          <w:lang w:eastAsia="en-GB"/>
        </w:rPr>
      </w:pPr>
      <w:r w:rsidRPr="00DB20C4">
        <w:rPr>
          <w:rFonts w:eastAsia="Times New Roman"/>
          <w:lang w:eastAsia="en-GB"/>
        </w:rPr>
        <w:t>Section 1: Research</w:t>
      </w:r>
    </w:p>
    <w:p w14:paraId="06373BF5" w14:textId="77777777" w:rsidR="00DB20C4" w:rsidRPr="00DB20C4" w:rsidRDefault="00DB20C4" w:rsidP="00DB20C4">
      <w:pPr>
        <w:spacing w:after="0" w:line="240" w:lineRule="auto"/>
        <w:rPr>
          <w:rFonts w:ascii="Times New Roman" w:eastAsia="Times New Roman" w:hAnsi="Times New Roman" w:cs="Times New Roman"/>
          <w:kern w:val="0"/>
          <w:lang w:eastAsia="en-GB"/>
          <w14:ligatures w14:val="none"/>
        </w:rPr>
      </w:pPr>
    </w:p>
    <w:p w14:paraId="13ECB007" w14:textId="77777777" w:rsidR="00DB20C4" w:rsidRDefault="00DB20C4">
      <w:pPr>
        <w:rPr>
          <w:rStyle w:val="Strong"/>
          <w:rFonts w:ascii="Roboto" w:hAnsi="Roboto"/>
          <w:color w:val="20374B"/>
          <w:shd w:val="clear" w:color="auto" w:fill="FFFFFF"/>
        </w:rPr>
      </w:pPr>
    </w:p>
    <w:p w14:paraId="5CC9E527" w14:textId="4487419B" w:rsidR="00BF65CA" w:rsidRDefault="00DB20C4">
      <w:pPr>
        <w:rPr>
          <w:rStyle w:val="Strong"/>
          <w:rFonts w:ascii="Roboto" w:hAnsi="Roboto"/>
          <w:color w:val="20374B"/>
          <w:shd w:val="clear" w:color="auto" w:fill="FFFFFF"/>
        </w:rPr>
      </w:pPr>
      <w:r>
        <w:rPr>
          <w:rStyle w:val="Strong"/>
          <w:rFonts w:ascii="Roboto" w:hAnsi="Roboto"/>
          <w:color w:val="20374B"/>
          <w:shd w:val="clear" w:color="auto" w:fill="FFFFFF"/>
        </w:rPr>
        <w:t>Intellectual property and copyright standard/legislation</w:t>
      </w:r>
    </w:p>
    <w:p w14:paraId="464985BA" w14:textId="77777777" w:rsidR="00DB20C4" w:rsidRDefault="00DB20C4" w:rsidP="00DB20C4">
      <w:r>
        <w:t>The main legislation for copyright is the Copyright Act 1968. Its primary purpose is to protect original creative works. It legally classifies the source code of software programs, automation scripts, and databases as "literary works". This legislation prevents the unauthorised use, copying, distribution, or reverse engineering of proprietary systems.</w:t>
      </w:r>
    </w:p>
    <w:p w14:paraId="0D9C0A43" w14:textId="77777777" w:rsidR="00DB20C4" w:rsidRDefault="00DB20C4" w:rsidP="00DB20C4"/>
    <w:p w14:paraId="36427013" w14:textId="77777777" w:rsidR="00DB20C4" w:rsidRDefault="00DB20C4" w:rsidP="00DB20C4">
      <w:r>
        <w:t>ICT industry standard for intellectual property: Who governs IP is the Australian Computer Society (ACS), the main standard is the Code of Professional Conduct, specifically under the values of "Honesty" and "Professionalism". The standard dictates that ICT professionals must respect proprietary rights and intellectual property. It requires staff to ensure that all software, diagnostic tools, and scripts used for network analysis or server maintenance are properly licensed. This means strictly adhering to corporate software whitelisting policies and avoiding the use of pirated code.</w:t>
      </w:r>
    </w:p>
    <w:p w14:paraId="2DD26A89" w14:textId="77777777" w:rsidR="00DB20C4" w:rsidRDefault="00DB20C4" w:rsidP="00DB20C4"/>
    <w:p w14:paraId="7C4DD73E" w14:textId="77777777" w:rsidR="00DB20C4" w:rsidRDefault="00DB20C4" w:rsidP="00DB20C4">
      <w:r>
        <w:t>I can ensure the integrity and reliability of this information because it originates from primary and authoritative sources. According to industry best practices, using information from recognised bodies guarantees reliability. The legislation details were sourced directly from the Australian Government's official websites, such as the Federal Register of Legislation (legislation.gov.au) and IP Australia (ipaustralia.gov.au). The industry standards were sourced directly from the peak professional body for Australian ICT workers, the Australian Computer Society (acs.org.au).</w:t>
      </w:r>
    </w:p>
    <w:p w14:paraId="51475EAF" w14:textId="77777777" w:rsidR="00DB20C4" w:rsidRDefault="00DB20C4" w:rsidP="00DB20C4"/>
    <w:p w14:paraId="3A082E79" w14:textId="77777777" w:rsidR="00DB20C4" w:rsidRDefault="00DB20C4" w:rsidP="00DB20C4"/>
    <w:p w14:paraId="66EBBC0F" w14:textId="77777777" w:rsidR="00DB20C4" w:rsidRDefault="00DB20C4" w:rsidP="00DB20C4">
      <w:r>
        <w:t xml:space="preserve">Outcomes of compliance: By strictly complying with IP requirements (such as verifying software licenses and using whitelisted tools before deploying them on </w:t>
      </w:r>
      <w:proofErr w:type="gramStart"/>
      <w:r>
        <w:t>an</w:t>
      </w:r>
      <w:proofErr w:type="gramEnd"/>
      <w:r>
        <w:t xml:space="preserve"> </w:t>
      </w:r>
      <w:proofErr w:type="spellStart"/>
      <w:r>
        <w:t>servcers</w:t>
      </w:r>
      <w:proofErr w:type="spellEnd"/>
      <w:r>
        <w:t>/terminals), the business respects third-party intellectual property and protects its own proprietary scripts. This ensures continuous vendor support, guarantees operational stability, and builds trust with clients in the highly regulated banking sector.</w:t>
      </w:r>
    </w:p>
    <w:p w14:paraId="7C9A7F0F" w14:textId="77777777" w:rsidR="00DB20C4" w:rsidRDefault="00DB20C4" w:rsidP="00DB20C4"/>
    <w:p w14:paraId="012597BC" w14:textId="4E096D11" w:rsidR="00DB20C4" w:rsidRDefault="00DB20C4" w:rsidP="00DB20C4">
      <w:r>
        <w:t xml:space="preserve">Outcomes of non-compliance: Failing to comply with IP requirements (such as executing unauthorised or unlicensed diagnostic software on a system) can lead to severe consequences. The company could face direct lawsuits from software vendors for copyright </w:t>
      </w:r>
      <w:r>
        <w:lastRenderedPageBreak/>
        <w:t>infringement, massive financial penalties, the immediate loss of critical vendor licenses, and irreparable damage to its reputation. For example, Optus in the 2022 Optus Data Breach, which was a massive security failure, occurred where an unprotected API allowed unauthorised external access to Optus ' customer databases. The system breach exposed the personal and identity information of nearly 10 million Australians. The company faced extreme reputational damage, the massive operational cost of replacing millions of identity documents for customers, an ongoing OAIC investigation, and a class-action lawsuit seeking hundreds of millions of dollars in compensation.</w:t>
      </w:r>
    </w:p>
    <w:p w14:paraId="46DCCBCC" w14:textId="77777777" w:rsidR="00DB20C4" w:rsidRDefault="00DB20C4" w:rsidP="00DB20C4"/>
    <w:p w14:paraId="0663FA55" w14:textId="00014AA1" w:rsidR="00DB20C4" w:rsidRDefault="00DB20C4" w:rsidP="00DB20C4">
      <w:pPr>
        <w:rPr>
          <w:rStyle w:val="Strong"/>
          <w:rFonts w:ascii="Roboto" w:hAnsi="Roboto"/>
          <w:color w:val="20374B"/>
          <w:shd w:val="clear" w:color="auto" w:fill="FFFFFF"/>
        </w:rPr>
      </w:pPr>
      <w:r>
        <w:rPr>
          <w:rStyle w:val="Strong"/>
          <w:rFonts w:ascii="Roboto" w:hAnsi="Roboto"/>
          <w:color w:val="20374B"/>
          <w:shd w:val="clear" w:color="auto" w:fill="FFFFFF"/>
        </w:rPr>
        <w:t>Privacy legislation</w:t>
      </w:r>
    </w:p>
    <w:p w14:paraId="7E880621" w14:textId="77777777" w:rsidR="00DB20C4" w:rsidRDefault="00DB20C4" w:rsidP="00DB20C4">
      <w:r>
        <w:t>The primary legislation relevant to privacy in Australia is the Privacy Act 1988. Its key purpose is to regulate how personal information is collected, used, stored, and disclosed by organisations and government agencies. It establishes the 13 Australian Privacy Principles (APPs), which provide a strict framework for data handling. In an IT support environment, this act dictates the legal obligation to ensure that sensitive user data residing in databases, network logs, or enterprise applications is securely protected against unauthorised access at all times.</w:t>
      </w:r>
    </w:p>
    <w:p w14:paraId="436016AD" w14:textId="77777777" w:rsidR="00DB20C4" w:rsidRDefault="00DB20C4" w:rsidP="00DB20C4"/>
    <w:p w14:paraId="5852B9E5" w14:textId="77777777" w:rsidR="00DB20C4" w:rsidRDefault="00DB20C4" w:rsidP="00DB20C4">
      <w:r>
        <w:t xml:space="preserve">I know the source of this information is reliable because it was accessed directly from the Office of the Australian Information Commissioner (OAIC) website and the Federal Register of Legislation. Because these are official government portals (ending </w:t>
      </w:r>
      <w:proofErr w:type="gramStart"/>
      <w:r>
        <w:t>in .</w:t>
      </w:r>
      <w:proofErr w:type="gramEnd"/>
      <w:r>
        <w:t>gov.au), they provide the highest level of integrity. Relying on recognised government authorities ensures that the information applied to our policies is accurate, trustworthy, and fully up to date with the latest legal amendments.</w:t>
      </w:r>
    </w:p>
    <w:p w14:paraId="78B2783B" w14:textId="77777777" w:rsidR="00DB20C4" w:rsidRDefault="00DB20C4" w:rsidP="00DB20C4"/>
    <w:p w14:paraId="71BB5ACE" w14:textId="77777777" w:rsidR="00DB20C4" w:rsidRDefault="00DB20C4" w:rsidP="00DB20C4">
      <w:r>
        <w:t>Outcome of compliance: By strictly adhering to privacy requirements, for example, by promptly sanitising diagnostic logs or using role-based access control to restrict terminal access to sensitive databases, a business ensures the absolute confidentiality of user data. This compliance builds strong client trust, easily satisfies security audits, and maintains a highly secure corporate network.</w:t>
      </w:r>
    </w:p>
    <w:p w14:paraId="3B9775EA" w14:textId="77777777" w:rsidR="00DB20C4" w:rsidRDefault="00DB20C4" w:rsidP="00DB20C4"/>
    <w:p w14:paraId="604C98EE" w14:textId="3C936D32" w:rsidR="00DB20C4" w:rsidRDefault="00DB20C4" w:rsidP="00DB20C4">
      <w:r>
        <w:t xml:space="preserve">Outcome of non-compliance: Failing to comply with privacy laws, such as failing to encrypt data or leaving customer records exposed on unsecured servers, can result in catastrophic data breaches. This failure leads to mandatory investigations by regulatory bodies, heavy financial penalties under the Notifiable Data Breaches scheme, and long-term reputational damage for the business. For example, in 2017, the Unlicensed Enterprise Software Settlements involved several companies have been caught running unlicensed or pirated </w:t>
      </w:r>
      <w:r>
        <w:lastRenderedPageBreak/>
        <w:t>copies of expensive enterprise applications and server operating systems across their network infrastructure. Often, these IP breaches are reported by former employees using whistleblower grievance procedures. Offending companies have been forced to pay out-of-court settlements frequently exceeding $100,000 in copyright infringement damages, plus the immediate, mandatory cost of purchasing legitimate software licenses to legalise their systems.</w:t>
      </w:r>
    </w:p>
    <w:p w14:paraId="310DE149" w14:textId="77777777" w:rsidR="00DB20C4" w:rsidRDefault="00DB20C4" w:rsidP="00DB20C4"/>
    <w:p w14:paraId="1C05AE60" w14:textId="274F2616" w:rsidR="00DB20C4" w:rsidRDefault="00DB20C4" w:rsidP="00DB20C4">
      <w:pPr>
        <w:rPr>
          <w:rStyle w:val="Strong"/>
          <w:rFonts w:ascii="Roboto" w:hAnsi="Roboto"/>
          <w:color w:val="20374B"/>
          <w:shd w:val="clear" w:color="auto" w:fill="FFFFFF"/>
        </w:rPr>
      </w:pPr>
      <w:r>
        <w:rPr>
          <w:rStyle w:val="Strong"/>
          <w:rFonts w:ascii="Roboto" w:hAnsi="Roboto"/>
          <w:color w:val="20374B"/>
          <w:shd w:val="clear" w:color="auto" w:fill="FFFFFF"/>
        </w:rPr>
        <w:t>Ethics</w:t>
      </w:r>
    </w:p>
    <w:p w14:paraId="4506B6C5" w14:textId="77777777" w:rsidR="00DB20C4" w:rsidRDefault="00DB20C4" w:rsidP="00DB20C4">
      <w:pPr>
        <w:rPr>
          <w:rStyle w:val="Strong"/>
          <w:rFonts w:ascii="Roboto" w:hAnsi="Roboto"/>
          <w:color w:val="20374B"/>
          <w:shd w:val="clear" w:color="auto" w:fill="FFFFFF"/>
        </w:rPr>
      </w:pPr>
    </w:p>
    <w:p w14:paraId="1FCFB43E" w14:textId="77777777" w:rsidR="00DB20C4" w:rsidRDefault="00DB20C4" w:rsidP="00DB20C4">
      <w:r>
        <w:t xml:space="preserve">An important standard in the industry is the Information Technology Professionals Association (ITPA) Code of Ethics, alongside the Australian Computer Society (ACS) Code of Ethics. The key purpose of these codes is to establish a mandatory framework of professional conduct, ensuring that IT staff act with honesty, integrity, and competence. </w:t>
      </w:r>
    </w:p>
    <w:p w14:paraId="7E427973" w14:textId="77777777" w:rsidR="00DB20C4" w:rsidRDefault="00DB20C4" w:rsidP="00DB20C4"/>
    <w:p w14:paraId="573A2331" w14:textId="77777777" w:rsidR="00DB20C4" w:rsidRDefault="00DB20C4" w:rsidP="00DB20C4">
      <w:r>
        <w:t>Typical review procedures involve regular audits of the company's code of conduct and periodic assessments to ensure the policies remain relevant to current technology trends. Grievance procedures for ethical breaches usually follow a structured, confidential reporting mechanism. If a staff member witnesses an ethical violation, such as a colleague gaining unauthorised access to a sensitive database via a terminal, they can report it confidentially to a compliance officer or management. The procedure then dictates an impartial fact-finding investigation, an opportunity for the accused to respond, and appropriate disciplinary actions if the breach is confirmed.</w:t>
      </w:r>
    </w:p>
    <w:p w14:paraId="6C64F6B9" w14:textId="77777777" w:rsidR="00DB20C4" w:rsidRDefault="00DB20C4" w:rsidP="00DB20C4"/>
    <w:p w14:paraId="785A14EF" w14:textId="77777777" w:rsidR="00DB20C4" w:rsidRDefault="00DB20C4" w:rsidP="00DB20C4">
      <w:r>
        <w:t>I know the source of this information is reliable because it was accessed directly from the official documented frameworks of recognised peak industry bodies like the ACS and ITPA, as well as institutional guidelines provided in our course materials. Relying on the official platforms of national professional associations ensures that the information perfectly reflects the highest, peer-reviewed standards and current best practices for corporate and ethical governance.</w:t>
      </w:r>
    </w:p>
    <w:p w14:paraId="32E20D16" w14:textId="77777777" w:rsidR="00DB20C4" w:rsidRDefault="00DB20C4" w:rsidP="00DB20C4"/>
    <w:p w14:paraId="251CCD00" w14:textId="77777777" w:rsidR="00DB20C4" w:rsidRDefault="00DB20C4" w:rsidP="00DB20C4">
      <w:r>
        <w:t>Outcome of completion: By strictly complying with ethical requirements, such as always obtaining documented consent before accessing a user's terminal or making changes to enterprise applications, the IT support team builds a strong culture of accountability. This ensures transparent professional services and maintains absolute trust between the business and its clients.</w:t>
      </w:r>
    </w:p>
    <w:p w14:paraId="5CF141D4" w14:textId="77777777" w:rsidR="00DB20C4" w:rsidRDefault="00DB20C4" w:rsidP="00DB20C4"/>
    <w:p w14:paraId="33B3D6A9" w14:textId="2E775123" w:rsidR="00DB20C4" w:rsidRDefault="00DB20C4" w:rsidP="00DB20C4">
      <w:r>
        <w:lastRenderedPageBreak/>
        <w:t>Outcome of non-completion: Failing to comply with the code of ethics, such as an employee abusing administrative privileges to snoop through restricted files on a shared server, completely breaks organisational trust. This type of ethical breach immediately leads to severe consequences, including formal grievance investigations, termination of employment, and potential legal action. For example, in 2022, the Victoria Police and various Australian public sector agencies were involved in the LEAP Database Unauthorised Access, where personnel and support staff explicitly violated their professional code of ethics by misusing their terminal access privileges. They searched the highly sensitive law enforcement database for personal reasons, looking up confidential records on family members, neighbours, or celebrities without any authorised business purpose. The individuals involved faced strict internal review procedures, immediate termination of employment, and criminal charges. In many instances, this resulted in heavy personal fines and a permanent ban from working in trusted sectors.</w:t>
      </w:r>
    </w:p>
    <w:sectPr w:rsidR="00DB2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B0604020202020204"/>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C4"/>
    <w:rsid w:val="001A0B31"/>
    <w:rsid w:val="002D15BF"/>
    <w:rsid w:val="002E0FC0"/>
    <w:rsid w:val="003A5D80"/>
    <w:rsid w:val="005F3A97"/>
    <w:rsid w:val="00BF65CA"/>
    <w:rsid w:val="00DB20C4"/>
    <w:rsid w:val="00DC48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F519094"/>
  <w15:chartTrackingRefBased/>
  <w15:docId w15:val="{8CAA5F71-8992-404E-AB97-59D9E38D2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0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B2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0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B2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0C4"/>
    <w:rPr>
      <w:rFonts w:eastAsiaTheme="majorEastAsia" w:cstheme="majorBidi"/>
      <w:color w:val="272727" w:themeColor="text1" w:themeTint="D8"/>
    </w:rPr>
  </w:style>
  <w:style w:type="paragraph" w:styleId="Title">
    <w:name w:val="Title"/>
    <w:basedOn w:val="Normal"/>
    <w:next w:val="Normal"/>
    <w:link w:val="TitleChar"/>
    <w:uiPriority w:val="10"/>
    <w:qFormat/>
    <w:rsid w:val="00DB2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0C4"/>
    <w:pPr>
      <w:spacing w:before="160"/>
      <w:jc w:val="center"/>
    </w:pPr>
    <w:rPr>
      <w:i/>
      <w:iCs/>
      <w:color w:val="404040" w:themeColor="text1" w:themeTint="BF"/>
    </w:rPr>
  </w:style>
  <w:style w:type="character" w:customStyle="1" w:styleId="QuoteChar">
    <w:name w:val="Quote Char"/>
    <w:basedOn w:val="DefaultParagraphFont"/>
    <w:link w:val="Quote"/>
    <w:uiPriority w:val="29"/>
    <w:rsid w:val="00DB20C4"/>
    <w:rPr>
      <w:i/>
      <w:iCs/>
      <w:color w:val="404040" w:themeColor="text1" w:themeTint="BF"/>
    </w:rPr>
  </w:style>
  <w:style w:type="paragraph" w:styleId="ListParagraph">
    <w:name w:val="List Paragraph"/>
    <w:basedOn w:val="Normal"/>
    <w:uiPriority w:val="34"/>
    <w:qFormat/>
    <w:rsid w:val="00DB20C4"/>
    <w:pPr>
      <w:ind w:left="720"/>
      <w:contextualSpacing/>
    </w:pPr>
  </w:style>
  <w:style w:type="character" w:styleId="IntenseEmphasis">
    <w:name w:val="Intense Emphasis"/>
    <w:basedOn w:val="DefaultParagraphFont"/>
    <w:uiPriority w:val="21"/>
    <w:qFormat/>
    <w:rsid w:val="00DB20C4"/>
    <w:rPr>
      <w:i/>
      <w:iCs/>
      <w:color w:val="2F5496" w:themeColor="accent1" w:themeShade="BF"/>
    </w:rPr>
  </w:style>
  <w:style w:type="paragraph" w:styleId="IntenseQuote">
    <w:name w:val="Intense Quote"/>
    <w:basedOn w:val="Normal"/>
    <w:next w:val="Normal"/>
    <w:link w:val="IntenseQuoteChar"/>
    <w:uiPriority w:val="30"/>
    <w:qFormat/>
    <w:rsid w:val="00DB2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0C4"/>
    <w:rPr>
      <w:i/>
      <w:iCs/>
      <w:color w:val="2F5496" w:themeColor="accent1" w:themeShade="BF"/>
    </w:rPr>
  </w:style>
  <w:style w:type="character" w:styleId="IntenseReference">
    <w:name w:val="Intense Reference"/>
    <w:basedOn w:val="DefaultParagraphFont"/>
    <w:uiPriority w:val="32"/>
    <w:qFormat/>
    <w:rsid w:val="00DB20C4"/>
    <w:rPr>
      <w:b/>
      <w:bCs/>
      <w:smallCaps/>
      <w:color w:val="2F5496" w:themeColor="accent1" w:themeShade="BF"/>
      <w:spacing w:val="5"/>
    </w:rPr>
  </w:style>
  <w:style w:type="character" w:styleId="Strong">
    <w:name w:val="Strong"/>
    <w:basedOn w:val="DefaultParagraphFont"/>
    <w:uiPriority w:val="22"/>
    <w:qFormat/>
    <w:rsid w:val="00DB20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1251</Words>
  <Characters>7133</Characters>
  <Application>Microsoft Office Word</Application>
  <DocSecurity>0</DocSecurity>
  <Lines>59</Lines>
  <Paragraphs>16</Paragraphs>
  <ScaleCrop>false</ScaleCrop>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1</cp:revision>
  <dcterms:created xsi:type="dcterms:W3CDTF">2026-07-08T11:07:00Z</dcterms:created>
  <dcterms:modified xsi:type="dcterms:W3CDTF">2026-07-08T11:09:00Z</dcterms:modified>
</cp:coreProperties>
</file>