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6"/>
        <w:gridCol w:w="7822"/>
        <w:tblGridChange w:id="0">
          <w:tblGrid>
            <w:gridCol w:w="966"/>
            <w:gridCol w:w="78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88" w:lineRule="auto"/>
              <w:ind w:left="-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10746</wp:posOffset>
                  </wp:positionH>
                  <wp:positionV relativeFrom="paragraph">
                    <wp:posOffset>76200</wp:posOffset>
                  </wp:positionV>
                  <wp:extent cx="532179" cy="500248"/>
                  <wp:effectExtent b="0" l="0" r="0" t="0"/>
                  <wp:wrapNone/>
                  <wp:docPr descr="A close up of a logo&#10;&#10;Description automatically generated" id="3" name="image1.png"/>
                  <a:graphic>
                    <a:graphicData uri="http://schemas.openxmlformats.org/drawingml/2006/picture">
                      <pic:pic>
                        <pic:nvPicPr>
                          <pic:cNvPr descr="A close up of a 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-10375" l="0" r="7156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79" cy="500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&lt;Title&gt; Policy and Procedures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principles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footerReference r:id="rId12" w:type="even"/>
      <w:pgSz w:h="16840" w:w="11900" w:orient="portrait"/>
      <w:pgMar w:bottom="1247" w:top="1440" w:left="1361" w:right="136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bottom w:color="000000" w:space="4" w:sz="12" w:val="single"/>
      </w:pBdr>
      <w:tabs>
        <w:tab w:val="right" w:leader="none" w:pos="8565"/>
      </w:tabs>
      <w:spacing w:after="0" w:before="0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tabs>
        <w:tab w:val="right" w:leader="none" w:pos="8565"/>
      </w:tabs>
      <w:spacing w:before="0" w:lineRule="auto"/>
      <w:ind w:right="-2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[BSBTWK502] Policy and Procedures Template|</w:t>
    </w:r>
  </w:p>
  <w:p w:rsidR="00000000" w:rsidDel="00000000" w:rsidP="00000000" w:rsidRDefault="00000000" w:rsidRPr="00000000" w14:paraId="00000014">
    <w:pPr>
      <w:tabs>
        <w:tab w:val="right" w:leader="none" w:pos="8565"/>
      </w:tabs>
      <w:spacing w:before="0" w:lineRule="auto"/>
      <w:ind w:right="-2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| Trident Education Pty Ltd trading as Milestones International College | TOID 45323|CRICOS 03877M| Level 3,  252 Lygon Street Carlton VIC 3053 | 1300 991 716 | </w:t>
    </w:r>
    <w:hyperlink r:id="rId1">
      <w:r w:rsidDel="00000000" w:rsidR="00000000" w:rsidRPr="00000000">
        <w:rPr>
          <w:color w:val="0563c1"/>
          <w:sz w:val="16"/>
          <w:szCs w:val="16"/>
          <w:u w:val="single"/>
          <w:rtl w:val="0"/>
        </w:rPr>
        <w:t xml:space="preserve">info@milestones.vic.edu.au</w:t>
      </w:r>
    </w:hyperlink>
    <w:r w:rsidDel="00000000" w:rsidR="00000000" w:rsidRPr="00000000">
      <w:rPr>
        <w:color w:val="0563c1"/>
        <w:sz w:val="16"/>
        <w:szCs w:val="16"/>
        <w:u w:val="single"/>
        <w:rtl w:val="0"/>
      </w:rPr>
      <w:t xml:space="preserve"> </w:t>
    </w:r>
    <w:r w:rsidDel="00000000" w:rsidR="00000000" w:rsidRPr="00000000">
      <w:rPr>
        <w:sz w:val="16"/>
        <w:szCs w:val="16"/>
        <w:rtl w:val="0"/>
      </w:rPr>
      <w:t xml:space="preserve">|</w:t>
    </w:r>
  </w:p>
  <w:p w:rsidR="00000000" w:rsidDel="00000000" w:rsidP="00000000" w:rsidRDefault="00000000" w:rsidRPr="00000000" w14:paraId="00000015">
    <w:pPr>
      <w:tabs>
        <w:tab w:val="center" w:leader="none" w:pos="4513"/>
        <w:tab w:val="right" w:leader="none" w:pos="9026"/>
        <w:tab w:val="right" w:leader="none" w:pos="9356"/>
      </w:tabs>
      <w:spacing w:after="0" w:before="0" w:lineRule="auto"/>
      <w:jc w:val="right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sz w:val="16"/>
        <w:szCs w:val="16"/>
        <w:rtl w:val="0"/>
      </w:rPr>
      <w:t xml:space="preserve">|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Page: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J+S Learningwork 2017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4305300</wp:posOffset>
          </wp:positionH>
          <wp:positionV relativeFrom="paragraph">
            <wp:posOffset>-238124</wp:posOffset>
          </wp:positionV>
          <wp:extent cx="1866900" cy="459422"/>
          <wp:effectExtent b="0" l="0" r="0" t="0"/>
          <wp:wrapNone/>
          <wp:docPr descr="A close up of a logo&#10;&#10;Description automatically generated" id="2" name="image1.png"/>
          <a:graphic>
            <a:graphicData uri="http://schemas.openxmlformats.org/drawingml/2006/picture">
              <pic:pic>
                <pic:nvPicPr>
                  <pic:cNvPr descr="A close up of a 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>
        <w:rFonts w:ascii="Arial" w:cs="Arial" w:eastAsia="Arial" w:hAnsi="Arial"/>
        <w:b w:val="1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20"/>
        <w:szCs w:val="20"/>
        <w:rtl w:val="0"/>
      </w:rPr>
      <w:t xml:space="preserve">This document is Dispute Resolution Policy and Procedures. </w:t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 is part of the supporting assessment resources for Assessment Task 2 of BSBWRK510.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20" w:before="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before="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after="0" w:before="0" w:lineRule="auto"/>
    </w:pPr>
    <w:rPr>
      <w:rFonts w:ascii="Arial" w:cs="Arial" w:eastAsia="Arial" w:hAnsi="Arial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before="0" w:lineRule="auto"/>
    </w:pPr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Rule="auto"/>
    </w:pPr>
    <w:rPr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53A7C"/>
    <w:pPr>
      <w:spacing w:after="120" w:before="60"/>
    </w:pPr>
    <w:rPr>
      <w:sz w:val="22"/>
      <w:szCs w:val="24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102D7"/>
    <w:pPr>
      <w:spacing w:after="0" w:before="0"/>
      <w:outlineLvl w:val="0"/>
    </w:pPr>
    <w:rPr>
      <w:rFonts w:ascii="Arial" w:cs="Arial" w:hAnsi="Arial"/>
      <w:b w:val="1"/>
      <w:sz w:val="32"/>
      <w:szCs w:val="32"/>
      <w:lang w:val="en-AU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F102D7"/>
    <w:pPr>
      <w:spacing w:after="0" w:before="0"/>
      <w:outlineLvl w:val="1"/>
    </w:pPr>
    <w:rPr>
      <w:rFonts w:ascii="Arial" w:cs="Arial" w:hAnsi="Arial"/>
      <w:b w:val="1"/>
      <w:sz w:val="28"/>
      <w:szCs w:val="28"/>
      <w:lang w:val="en-AU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F102D7"/>
    <w:pPr>
      <w:spacing w:after="0" w:before="0"/>
      <w:outlineLvl w:val="2"/>
    </w:pPr>
    <w:rPr>
      <w:rFonts w:ascii="Arial" w:cs="Arial" w:hAnsi="Arial"/>
      <w:b w:val="1"/>
      <w:szCs w:val="22"/>
      <w:lang w:val="en-AU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9B2DFB"/>
    <w:pPr>
      <w:keepNext w:val="1"/>
      <w:keepLines w:val="1"/>
      <w:spacing w:before="120"/>
      <w:outlineLvl w:val="3"/>
    </w:pPr>
    <w:rPr>
      <w:rFonts w:eastAsia="MS Gothic"/>
      <w:b w:val="1"/>
      <w:bCs w:val="1"/>
      <w:i w:val="1"/>
      <w:iCs w:val="1"/>
      <w:sz w:val="26"/>
      <w:szCs w:val="26"/>
      <w:lang w:eastAsia="x-none" w:val="x-no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link w:val="Heading4"/>
    <w:uiPriority w:val="9"/>
    <w:semiHidden w:val="1"/>
    <w:rsid w:val="009B2DFB"/>
    <w:rPr>
      <w:rFonts w:ascii="Calibri" w:cs="Times New Roman" w:eastAsia="MS Gothic" w:hAnsi="Calibri"/>
      <w:b w:val="1"/>
      <w:bCs w:val="1"/>
      <w:i w:val="1"/>
      <w:iCs w:val="1"/>
      <w:sz w:val="26"/>
      <w:szCs w:val="26"/>
    </w:rPr>
  </w:style>
  <w:style w:type="character" w:styleId="Heading3Char" w:customStyle="1">
    <w:name w:val="Heading 3 Char"/>
    <w:link w:val="Heading3"/>
    <w:uiPriority w:val="9"/>
    <w:rsid w:val="00F102D7"/>
    <w:rPr>
      <w:rFonts w:ascii="Arial" w:cs="Arial" w:hAnsi="Arial"/>
      <w:b w:val="1"/>
      <w:sz w:val="22"/>
      <w:szCs w:val="22"/>
      <w:lang w:eastAsia="en-US" w:val="en-AU"/>
    </w:rPr>
  </w:style>
  <w:style w:type="character" w:styleId="Heading2Char" w:customStyle="1">
    <w:name w:val="Heading 2 Char"/>
    <w:link w:val="Heading2"/>
    <w:uiPriority w:val="9"/>
    <w:rsid w:val="00F102D7"/>
    <w:rPr>
      <w:rFonts w:ascii="Arial" w:cs="Arial" w:hAnsi="Arial"/>
      <w:b w:val="1"/>
      <w:sz w:val="28"/>
      <w:szCs w:val="28"/>
      <w:lang w:eastAsia="en-US" w:val="en-AU"/>
    </w:rPr>
  </w:style>
  <w:style w:type="character" w:styleId="Heading1Char" w:customStyle="1">
    <w:name w:val="Heading 1 Char"/>
    <w:link w:val="Heading1"/>
    <w:uiPriority w:val="9"/>
    <w:rsid w:val="00F102D7"/>
    <w:rPr>
      <w:rFonts w:ascii="Arial" w:cs="Arial" w:hAnsi="Arial"/>
      <w:b w:val="1"/>
      <w:sz w:val="32"/>
      <w:szCs w:val="32"/>
      <w:lang w:eastAsia="en-US" w:val="en-AU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9B2DFB"/>
    <w:pPr>
      <w:spacing w:after="40" w:before="40"/>
    </w:pPr>
    <w:rPr>
      <w:sz w:val="20"/>
      <w:szCs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9B2DFB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 w:val="1"/>
    <w:rsid w:val="00BE6CC7"/>
    <w:pPr>
      <w:tabs>
        <w:tab w:val="center" w:pos="4320"/>
        <w:tab w:val="right" w:pos="8640"/>
      </w:tabs>
      <w:spacing w:after="0" w:before="0"/>
    </w:pPr>
  </w:style>
  <w:style w:type="character" w:styleId="HeaderChar" w:customStyle="1">
    <w:name w:val="Header Char"/>
    <w:basedOn w:val="DefaultParagraphFont"/>
    <w:link w:val="Header"/>
    <w:uiPriority w:val="99"/>
    <w:rsid w:val="00BE6CC7"/>
  </w:style>
  <w:style w:type="paragraph" w:styleId="Footer">
    <w:name w:val="footer"/>
    <w:basedOn w:val="Normal"/>
    <w:link w:val="FooterChar"/>
    <w:uiPriority w:val="99"/>
    <w:unhideWhenUsed w:val="1"/>
    <w:rsid w:val="00BE6CC7"/>
    <w:pPr>
      <w:tabs>
        <w:tab w:val="center" w:pos="4320"/>
        <w:tab w:val="right" w:pos="8640"/>
      </w:tabs>
      <w:spacing w:after="0" w:before="0"/>
    </w:pPr>
  </w:style>
  <w:style w:type="character" w:styleId="FooterChar" w:customStyle="1">
    <w:name w:val="Footer Char"/>
    <w:basedOn w:val="DefaultParagraphFont"/>
    <w:link w:val="Footer"/>
    <w:uiPriority w:val="99"/>
    <w:rsid w:val="00BE6CC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E6CC7"/>
    <w:pPr>
      <w:spacing w:after="0" w:before="0"/>
    </w:pPr>
    <w:rPr>
      <w:rFonts w:ascii="Lucida Grande" w:hAnsi="Lucida Grande"/>
      <w:sz w:val="18"/>
      <w:szCs w:val="18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BE6CC7"/>
    <w:rPr>
      <w:rFonts w:ascii="Lucida Grande" w:cs="Lucida Grande" w:hAnsi="Lucida Grande"/>
      <w:sz w:val="18"/>
      <w:szCs w:val="18"/>
    </w:rPr>
  </w:style>
  <w:style w:type="table" w:styleId="TableGrid">
    <w:name w:val="Table Grid"/>
    <w:aliases w:val="ARA Table"/>
    <w:basedOn w:val="TableNormal"/>
    <w:uiPriority w:val="39"/>
    <w:rsid w:val="00E8080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lorfulList-Accent11" w:customStyle="1">
    <w:name w:val="Colorful List - Accent 11"/>
    <w:basedOn w:val="Normal"/>
    <w:uiPriority w:val="34"/>
    <w:qFormat w:val="1"/>
    <w:rsid w:val="00840DE1"/>
    <w:pPr>
      <w:ind w:left="720"/>
      <w:contextualSpacing w:val="1"/>
    </w:pPr>
  </w:style>
  <w:style w:type="character" w:styleId="Hyperlink">
    <w:name w:val="Hyperlink"/>
    <w:rsid w:val="00D55F0A"/>
    <w:rPr>
      <w:color w:val="0000ff"/>
      <w:u w:val="single"/>
    </w:rPr>
  </w:style>
  <w:style w:type="numbering" w:styleId="StyleBulleted2" w:customStyle="1">
    <w:name w:val="Style Bulleted2"/>
    <w:basedOn w:val="NoList"/>
    <w:rsid w:val="00F5171E"/>
    <w:pPr>
      <w:numPr>
        <w:numId w:val="30"/>
      </w:numPr>
    </w:pPr>
  </w:style>
  <w:style w:type="paragraph" w:styleId="RedNormal" w:customStyle="1">
    <w:name w:val="Red Normal"/>
    <w:basedOn w:val="Normal"/>
    <w:autoRedefine w:val="1"/>
    <w:qFormat w:val="1"/>
    <w:rsid w:val="00C64E6B"/>
    <w:pPr>
      <w:spacing w:after="0" w:before="0" w:line="276" w:lineRule="auto"/>
    </w:pPr>
    <w:rPr>
      <w:rFonts w:ascii="Arial" w:cs="Arial" w:eastAsia="Times New Roman" w:hAnsi="Arial"/>
      <w:color w:val="ff0000"/>
      <w:szCs w:val="22"/>
      <w:lang w:eastAsia="en-AU" w:val="en-AU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604D6E"/>
  </w:style>
  <w:style w:type="paragraph" w:styleId="Tiny" w:customStyle="1">
    <w:name w:val="Tiny"/>
    <w:basedOn w:val="Normal"/>
    <w:qFormat w:val="1"/>
    <w:rsid w:val="00F102D7"/>
    <w:pPr>
      <w:spacing w:after="0" w:before="0"/>
    </w:pPr>
    <w:rPr>
      <w:rFonts w:ascii="Arial" w:cs="Arial" w:hAnsi="Arial"/>
      <w:sz w:val="10"/>
      <w:szCs w:val="10"/>
      <w:lang w:val="en-AU"/>
    </w:rPr>
  </w:style>
  <w:style w:type="paragraph" w:styleId="Responsebullets" w:customStyle="1">
    <w:name w:val="Response bullets"/>
    <w:basedOn w:val="Normal"/>
    <w:autoRedefine w:val="1"/>
    <w:qFormat w:val="1"/>
    <w:rsid w:val="00F120E2"/>
    <w:pPr>
      <w:numPr>
        <w:numId w:val="38"/>
      </w:numPr>
      <w:spacing w:before="120" w:line="240" w:lineRule="exact"/>
      <w:ind w:right="-2"/>
      <w:outlineLvl w:val="6"/>
    </w:pPr>
    <w:rPr>
      <w:rFonts w:ascii="Arial" w:cs="Kalinga" w:eastAsia="Times New Roman" w:hAnsi="Arial"/>
      <w:color w:val="ff0000"/>
      <w:sz w:val="20"/>
      <w:szCs w:val="19"/>
      <w:lang w:eastAsia="en-AU" w:val="en-A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120E2"/>
    <w:rPr>
      <w:color w:val="605e5c"/>
      <w:shd w:color="auto" w:fill="e1dfdd" w:val="clear"/>
    </w:rPr>
  </w:style>
  <w:style w:type="paragraph" w:styleId="RTOWorksHeading1" w:customStyle="1">
    <w:name w:val="RTO Works Heading 1"/>
    <w:next w:val="RTOWorksBodyText"/>
    <w:qFormat w:val="1"/>
    <w:rsid w:val="00C35486"/>
    <w:pPr>
      <w:spacing w:after="120" w:before="360" w:line="276" w:lineRule="auto"/>
    </w:pPr>
    <w:rPr>
      <w:rFonts w:ascii="Arial" w:cs="Arial" w:hAnsi="Arial" w:eastAsiaTheme="minorHAnsi"/>
      <w:b w:val="1"/>
      <w:bCs w:val="1"/>
      <w:sz w:val="32"/>
      <w:szCs w:val="32"/>
      <w:lang w:eastAsia="en-US" w:val="en-AU"/>
    </w:rPr>
  </w:style>
  <w:style w:type="paragraph" w:styleId="RTOWorksBodyText" w:customStyle="1">
    <w:name w:val="RTO Works Body Text"/>
    <w:qFormat w:val="1"/>
    <w:rsid w:val="00C35486"/>
    <w:pPr>
      <w:spacing w:after="120" w:before="120" w:line="288" w:lineRule="auto"/>
    </w:pPr>
    <w:rPr>
      <w:rFonts w:ascii="Arial" w:cs="Arial" w:hAnsi="Arial" w:eastAsiaTheme="minorHAnsi"/>
      <w:lang w:eastAsia="en-US" w:val="en-AU"/>
    </w:rPr>
  </w:style>
  <w:style w:type="paragraph" w:styleId="RTOWorksHeading2" w:customStyle="1">
    <w:name w:val="RTO Works Heading 2"/>
    <w:next w:val="RTOWorksBodyText"/>
    <w:qFormat w:val="1"/>
    <w:rsid w:val="00C35486"/>
    <w:pPr>
      <w:spacing w:after="120" w:before="480" w:line="259" w:lineRule="auto"/>
    </w:pPr>
    <w:rPr>
      <w:rFonts w:ascii="Arial" w:cs="Arial" w:hAnsi="Arial" w:eastAsiaTheme="minorHAnsi"/>
      <w:b w:val="1"/>
      <w:bCs w:val="1"/>
      <w:sz w:val="28"/>
      <w:szCs w:val="28"/>
      <w:lang w:eastAsia="en-US" w:val="en-AU"/>
    </w:rPr>
  </w:style>
  <w:style w:type="paragraph" w:styleId="RTOWorksHeading3" w:customStyle="1">
    <w:name w:val="RTO Works Heading 3"/>
    <w:qFormat w:val="1"/>
    <w:rsid w:val="00C35486"/>
    <w:pPr>
      <w:spacing w:after="120" w:before="360" w:line="276" w:lineRule="auto"/>
    </w:pPr>
    <w:rPr>
      <w:rFonts w:ascii="Arial" w:cs="Arial" w:hAnsi="Arial" w:eastAsiaTheme="minorHAnsi"/>
      <w:b w:val="1"/>
      <w:bCs w:val="1"/>
      <w:sz w:val="24"/>
      <w:szCs w:val="24"/>
      <w:lang w:eastAsia="en-US" w:val="en-AU"/>
    </w:rPr>
  </w:style>
  <w:style w:type="paragraph" w:styleId="RTOWorksNumbers" w:customStyle="1">
    <w:name w:val="RTO Works Numbers"/>
    <w:qFormat w:val="1"/>
    <w:rsid w:val="00C35486"/>
    <w:pPr>
      <w:numPr>
        <w:numId w:val="48"/>
      </w:numPr>
      <w:spacing w:after="120" w:before="120" w:line="276" w:lineRule="auto"/>
    </w:pPr>
    <w:rPr>
      <w:rFonts w:ascii="Arial" w:cs="Arial" w:hAnsi="Arial" w:eastAsiaTheme="minorHAnsi"/>
      <w:lang w:eastAsia="en-US" w:val="en-AU"/>
    </w:rPr>
  </w:style>
  <w:style w:type="paragraph" w:styleId="RTOWorksBullet1" w:customStyle="1">
    <w:name w:val="RTO Works Bullet 1"/>
    <w:qFormat w:val="1"/>
    <w:rsid w:val="00C35486"/>
    <w:pPr>
      <w:numPr>
        <w:numId w:val="42"/>
      </w:numPr>
      <w:spacing w:after="120" w:before="120" w:line="288" w:lineRule="auto"/>
    </w:pPr>
    <w:rPr>
      <w:rFonts w:ascii="Arial" w:cs="Arial" w:hAnsi="Arial" w:eastAsiaTheme="minorHAnsi"/>
      <w:lang w:eastAsia="en-US" w:val="en-AU"/>
    </w:rPr>
  </w:style>
  <w:style w:type="paragraph" w:styleId="RTOWorksAssessorGuidance" w:customStyle="1">
    <w:name w:val="RTO Works Assessor Guidance"/>
    <w:qFormat w:val="1"/>
    <w:rsid w:val="00C35486"/>
    <w:pPr>
      <w:spacing w:after="120" w:before="120" w:line="288" w:lineRule="auto"/>
    </w:pPr>
    <w:rPr>
      <w:rFonts w:ascii="Arial" w:cs="Arial" w:hAnsi="Arial" w:eastAsiaTheme="minorHAnsi"/>
      <w:color w:val="ff0000"/>
      <w:lang w:eastAsia="en-US" w:val="en-AU"/>
    </w:rPr>
  </w:style>
  <w:style w:type="paragraph" w:styleId="RTOWorksAssessorGuidanceIndented" w:customStyle="1">
    <w:name w:val="RTO Works Assessor Guidance Indented"/>
    <w:qFormat w:val="1"/>
    <w:rsid w:val="00C35486"/>
    <w:pPr>
      <w:spacing w:after="120" w:before="120" w:line="288" w:lineRule="auto"/>
      <w:ind w:left="425"/>
    </w:pPr>
    <w:rPr>
      <w:rFonts w:ascii="Arial" w:cs="Arial" w:hAnsi="Arial" w:eastAsiaTheme="minorHAnsi"/>
      <w:color w:val="ff0000"/>
      <w:lang w:eastAsia="en-US" w:val="en-AU"/>
    </w:rPr>
  </w:style>
  <w:style w:type="paragraph" w:styleId="RTOWorksBullet2" w:customStyle="1">
    <w:name w:val="RTO Works Bullet 2"/>
    <w:qFormat w:val="1"/>
    <w:rsid w:val="00C35486"/>
    <w:pPr>
      <w:numPr>
        <w:numId w:val="43"/>
      </w:numPr>
      <w:spacing w:after="120" w:before="120" w:line="288" w:lineRule="auto"/>
      <w:ind w:left="850" w:hanging="425"/>
    </w:pPr>
    <w:rPr>
      <w:rFonts w:ascii="Arial" w:cs="Arial" w:hAnsi="Arial" w:eastAsiaTheme="minorHAnsi"/>
      <w:lang w:eastAsia="en-US" w:val="en-AU"/>
    </w:rPr>
  </w:style>
  <w:style w:type="paragraph" w:styleId="RTOWorksBullet3" w:customStyle="1">
    <w:name w:val="RTO Works Bullet 3"/>
    <w:basedOn w:val="Normal"/>
    <w:qFormat w:val="1"/>
    <w:rsid w:val="00C35486"/>
    <w:pPr>
      <w:numPr>
        <w:numId w:val="44"/>
      </w:numPr>
      <w:spacing w:before="120" w:line="288" w:lineRule="auto"/>
      <w:ind w:left="1276" w:hanging="425"/>
    </w:pPr>
    <w:rPr>
      <w:rFonts w:ascii="Arial" w:cs="Arial" w:hAnsi="Arial" w:eastAsiaTheme="minorHAnsi"/>
      <w:sz w:val="20"/>
      <w:szCs w:val="20"/>
      <w:lang w:val="en-AU"/>
    </w:rPr>
  </w:style>
  <w:style w:type="paragraph" w:styleId="RTOWorksAssessorGuidanceBullet1" w:customStyle="1">
    <w:name w:val="RTO Works Assessor Guidance Bullet 1"/>
    <w:qFormat w:val="1"/>
    <w:rsid w:val="00C35486"/>
    <w:pPr>
      <w:numPr>
        <w:numId w:val="39"/>
      </w:numPr>
      <w:spacing w:after="120" w:before="120" w:line="288" w:lineRule="auto"/>
    </w:pPr>
    <w:rPr>
      <w:rFonts w:ascii="Arial" w:cs="Arial" w:hAnsi="Arial" w:eastAsiaTheme="minorHAnsi"/>
      <w:color w:val="ff0000"/>
      <w:lang w:eastAsia="en-US" w:val="en-AU"/>
    </w:rPr>
  </w:style>
  <w:style w:type="paragraph" w:styleId="RTOWorksAssessorGuidanceBullet2" w:customStyle="1">
    <w:name w:val="RTO Works Assessor Guidance Bullet 2"/>
    <w:qFormat w:val="1"/>
    <w:rsid w:val="00C35486"/>
    <w:pPr>
      <w:numPr>
        <w:numId w:val="40"/>
      </w:numPr>
      <w:spacing w:after="120" w:before="120" w:line="288" w:lineRule="auto"/>
      <w:ind w:left="850" w:hanging="425"/>
    </w:pPr>
    <w:rPr>
      <w:rFonts w:ascii="Arial" w:cs="Arial" w:hAnsi="Arial" w:eastAsiaTheme="minorHAnsi"/>
      <w:color w:val="ff0000"/>
      <w:lang w:eastAsia="en-US" w:val="en-AU"/>
    </w:rPr>
  </w:style>
  <w:style w:type="paragraph" w:styleId="RTOWorksAssessorGuidanceBulletInd1" w:customStyle="1">
    <w:name w:val="RTO Works Assessor Guidance Bullet Ind 1"/>
    <w:qFormat w:val="1"/>
    <w:rsid w:val="00C35486"/>
    <w:pPr>
      <w:numPr>
        <w:numId w:val="49"/>
      </w:numPr>
      <w:spacing w:after="120" w:before="120" w:line="288" w:lineRule="auto"/>
    </w:pPr>
    <w:rPr>
      <w:rFonts w:ascii="Arial" w:cs="Arial" w:hAnsi="Arial" w:eastAsiaTheme="minorHAnsi"/>
      <w:color w:val="ff0000"/>
      <w:lang w:eastAsia="en-US" w:val="en-AU"/>
    </w:rPr>
  </w:style>
  <w:style w:type="paragraph" w:styleId="RTOWorksAssessorGuidanceBulletInd2" w:customStyle="1">
    <w:name w:val="RTO Works Assessor Guidance Bullet Ind 2"/>
    <w:qFormat w:val="1"/>
    <w:rsid w:val="00C35486"/>
    <w:pPr>
      <w:numPr>
        <w:numId w:val="41"/>
      </w:numPr>
      <w:spacing w:after="120" w:before="120" w:line="288" w:lineRule="auto"/>
      <w:ind w:left="1276" w:hanging="425"/>
    </w:pPr>
    <w:rPr>
      <w:rFonts w:ascii="Arial" w:cs="Arial" w:hAnsi="Arial" w:eastAsiaTheme="minorHAnsi"/>
      <w:color w:val="ff0000"/>
      <w:lang w:eastAsia="en-US" w:val="en-AU"/>
    </w:rPr>
  </w:style>
  <w:style w:type="paragraph" w:styleId="RTOWorksBodyTextIndent" w:customStyle="1">
    <w:name w:val="RTO Works Body Text Indent"/>
    <w:qFormat w:val="1"/>
    <w:rsid w:val="00C35486"/>
    <w:pPr>
      <w:spacing w:after="120" w:before="120" w:line="288" w:lineRule="auto"/>
      <w:ind w:left="425"/>
    </w:pPr>
    <w:rPr>
      <w:rFonts w:ascii="Arial" w:cs="Arial" w:hAnsi="Arial" w:eastAsiaTheme="minorHAnsi"/>
      <w:lang w:eastAsia="en-US" w:val="en-AU"/>
    </w:rPr>
  </w:style>
  <w:style w:type="paragraph" w:styleId="RTOWorksBulletInd1" w:customStyle="1">
    <w:name w:val="RTO Works Bullet Ind 1"/>
    <w:qFormat w:val="1"/>
    <w:rsid w:val="00C35486"/>
    <w:pPr>
      <w:numPr>
        <w:numId w:val="45"/>
      </w:numPr>
      <w:spacing w:after="120" w:before="120" w:line="288" w:lineRule="auto"/>
      <w:ind w:left="850" w:hanging="425"/>
    </w:pPr>
    <w:rPr>
      <w:rFonts w:ascii="Arial" w:hAnsi="Arial" w:cstheme="minorBidi" w:eastAsiaTheme="minorHAnsi"/>
      <w:szCs w:val="22"/>
      <w:lang w:eastAsia="en-US" w:val="en-AU"/>
    </w:rPr>
  </w:style>
  <w:style w:type="paragraph" w:styleId="RTOWorksBulletInd2" w:customStyle="1">
    <w:name w:val="RTO Works Bullet Ind 2"/>
    <w:qFormat w:val="1"/>
    <w:rsid w:val="00C35486"/>
    <w:pPr>
      <w:numPr>
        <w:numId w:val="46"/>
      </w:numPr>
      <w:spacing w:after="120" w:before="120" w:line="288" w:lineRule="auto"/>
      <w:ind w:left="1276" w:hanging="425"/>
    </w:pPr>
    <w:rPr>
      <w:rFonts w:ascii="Arial" w:cs="Arial" w:hAnsi="Arial" w:eastAsiaTheme="minorHAnsi"/>
      <w:lang w:eastAsia="en-US" w:val="en-AU"/>
    </w:rPr>
  </w:style>
  <w:style w:type="paragraph" w:styleId="RTOWorksBulletInd3" w:customStyle="1">
    <w:name w:val="RTO Works Bullet Ind 3"/>
    <w:qFormat w:val="1"/>
    <w:rsid w:val="00C35486"/>
    <w:pPr>
      <w:numPr>
        <w:numId w:val="47"/>
      </w:numPr>
      <w:spacing w:after="120" w:before="120" w:line="288" w:lineRule="auto"/>
      <w:ind w:left="1701" w:hanging="425"/>
    </w:pPr>
    <w:rPr>
      <w:rFonts w:ascii="Arial" w:cs="Arial" w:hAnsi="Arial" w:eastAsiaTheme="minorHAnsi"/>
      <w:lang w:eastAsia="en-US" w:val="en-AU"/>
    </w:rPr>
  </w:style>
  <w:style w:type="numbering" w:styleId="AssessorGuidanceBulletIndent" w:customStyle="1">
    <w:name w:val="Assessor Guidance Bullet Indent"/>
    <w:uiPriority w:val="99"/>
    <w:rsid w:val="00C35486"/>
    <w:pPr>
      <w:numPr>
        <w:numId w:val="49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mailto:info@milestonesenglish.com.a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riS0LtqZT5/oiXUBkt06ehIsg==">CgMxLjA4AHIhMTdxR0k2MWpRVU5SVjljdnhiaUxSOW9zN3JNWTVpamND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2018-06-13T00:26:00Z</dcterms:created>
  <dc:creator>Chris Borthwick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0x01010055C80B126816A9409F2C6B4A1A06B318</vt:lpwstr>
  </property>
  <property fmtid="{D5CDD505-2E9C-101B-9397-08002B2CF9AE}" pid="3" name="Order">
    <vt:r8>3.07479E7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