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Communication Register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923"/>
        <w:gridCol w:w="2043"/>
        <w:gridCol w:w="1450"/>
        <w:gridCol w:w="2571"/>
        <w:gridCol w:w="2373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Stakeholder / Audience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Communication Type / Method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Subject / Purpose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Status / Outcome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20 Jan 2026</w:t>
            </w:r>
          </w:p>
        </w:tc>
        <w:tc>
          <w:p>
            <w:pPr>
              <w:jc w:val="left"/>
            </w:pPr>
            <w:r>
              <w:t xml:space="preserve">Senior Management, Divya Sapra, Noah Jones, Victorine Satore</w:t>
            </w:r>
          </w:p>
        </w:tc>
        <w:tc>
          <w:p>
            <w:pPr>
              <w:jc w:val="left"/>
            </w:pPr>
            <w:r>
              <w:t xml:space="preserve">Formal email</w:t>
            </w:r>
          </w:p>
        </w:tc>
        <w:tc>
          <w:p>
            <w:pPr>
              <w:jc w:val="left"/>
            </w:pPr>
            <w:r>
              <w:t xml:space="preserve">Initial stakeholder engagement meeting request and executive approvals for both initiatives.</w:t>
            </w:r>
          </w:p>
        </w:tc>
        <w:tc>
          <w:p>
            <w:pPr>
              <w:jc w:val="left"/>
            </w:pPr>
            <w:r>
              <w:t xml:space="preserve">Accepted. Feedback meetings scheduled for January and February.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25 Jan 2026</w:t>
            </w:r>
          </w:p>
        </w:tc>
        <w:tc>
          <w:p>
            <w:pPr>
              <w:jc w:val="left"/>
            </w:pPr>
            <w:r>
              <w:t xml:space="preserve">Luiz Ricardo (Operations and BA)</w:t>
            </w:r>
          </w:p>
        </w:tc>
        <w:tc>
          <w:p>
            <w:pPr>
              <w:jc w:val="left"/>
            </w:pPr>
            <w:r>
              <w:t xml:space="preserve">Review meeting (Teams)</w:t>
            </w:r>
          </w:p>
        </w:tc>
        <w:tc>
          <w:p>
            <w:pPr>
              <w:jc w:val="left"/>
            </w:pPr>
            <w:r>
              <w:t xml:space="preserve">Elicitation of operational requirements and transition impacts.</w:t>
            </w:r>
          </w:p>
        </w:tc>
        <w:tc>
          <w:p>
            <w:pPr>
              <w:jc w:val="left"/>
            </w:pPr>
            <w:r>
              <w:t xml:space="preserve">Feedback recorded in the Stakeholder Feedback Register.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01 Feb 2026</w:t>
            </w:r>
          </w:p>
        </w:tc>
        <w:tc>
          <w:p>
            <w:pPr>
              <w:jc w:val="left"/>
            </w:pPr>
            <w:r>
              <w:t xml:space="preserve">Victorine Satore (Sales)</w:t>
            </w:r>
          </w:p>
        </w:tc>
        <w:tc>
          <w:p>
            <w:pPr>
              <w:jc w:val="left"/>
            </w:pPr>
            <w:r>
              <w:t xml:space="preserve">Face-to-face meeting</w:t>
            </w:r>
          </w:p>
        </w:tc>
        <w:tc>
          <w:p>
            <w:pPr>
              <w:jc w:val="left"/>
            </w:pPr>
            <w:r>
              <w:t xml:space="preserve">Clarification of sales targets and B2B versus B2C challenges.</w:t>
            </w:r>
          </w:p>
        </w:tc>
        <w:tc>
          <w:p>
            <w:pPr>
              <w:jc w:val="left"/>
            </w:pPr>
            <w:r>
              <w:t xml:space="preserve">Feedback recorded in the Stakeholder Feedback Register.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02 Feb 2026</w:t>
            </w:r>
          </w:p>
        </w:tc>
        <w:tc>
          <w:p>
            <w:pPr>
              <w:jc w:val="left"/>
            </w:pPr>
            <w:r>
              <w:t xml:space="preserve">Noah Jones (Operations)</w:t>
            </w:r>
          </w:p>
        </w:tc>
        <w:tc>
          <w:p>
            <w:pPr>
              <w:jc w:val="left"/>
            </w:pPr>
            <w:r>
              <w:t xml:space="preserve">Face-to-face meeting</w:t>
            </w:r>
          </w:p>
        </w:tc>
        <w:tc>
          <w:p>
            <w:pPr>
              <w:jc w:val="left"/>
            </w:pPr>
            <w:r>
              <w:t xml:space="preserve">Logistics processes for the SaaS B2C transition and liquidity risks.</w:t>
            </w:r>
          </w:p>
        </w:tc>
        <w:tc>
          <w:p>
            <w:pPr>
              <w:jc w:val="left"/>
            </w:pPr>
            <w:r>
              <w:t xml:space="preserve">Feedback recorded in the Stakeholder Feedback Register.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04 Feb 2026</w:t>
            </w:r>
          </w:p>
        </w:tc>
        <w:tc>
          <w:p>
            <w:pPr>
              <w:jc w:val="left"/>
            </w:pPr>
            <w:r>
              <w:t xml:space="preserve">Noah Jones (Operations)</w:t>
            </w:r>
          </w:p>
        </w:tc>
        <w:tc>
          <w:p>
            <w:pPr>
              <w:jc w:val="left"/>
            </w:pPr>
            <w:r>
              <w:t xml:space="preserve">Review meeting (Teams)</w:t>
            </w:r>
          </w:p>
        </w:tc>
        <w:tc>
          <w:p>
            <w:pPr>
              <w:jc w:val="left"/>
            </w:pPr>
            <w:r>
              <w:t xml:space="preserve">Supply chain bottlenecks and ERP integration delays.</w:t>
            </w:r>
          </w:p>
        </w:tc>
        <w:tc>
          <w:p>
            <w:pPr>
              <w:jc w:val="left"/>
            </w:pPr>
            <w:r>
              <w:t xml:space="preserve">Feedback recorded in the Stakeholder Feedback Register.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05 Feb 2026</w:t>
            </w:r>
          </w:p>
        </w:tc>
        <w:tc>
          <w:p>
            <w:pPr>
              <w:jc w:val="left"/>
            </w:pPr>
            <w:r>
              <w:t xml:space="preserve">Victorine Satore (Sales)</w:t>
            </w:r>
          </w:p>
        </w:tc>
        <w:tc>
          <w:p>
            <w:pPr>
              <w:jc w:val="left"/>
            </w:pPr>
            <w:r>
              <w:t xml:space="preserve">Review meeting</w:t>
            </w:r>
          </w:p>
        </w:tc>
        <w:tc>
          <w:p>
            <w:pPr>
              <w:jc w:val="left"/>
            </w:pPr>
            <w:r>
              <w:t xml:space="preserve">Follow-up on outsourced hardware SLAs and 2026 sustainability.</w:t>
            </w:r>
          </w:p>
        </w:tc>
        <w:tc>
          <w:p>
            <w:pPr>
              <w:jc w:val="left"/>
            </w:pPr>
            <w:r>
              <w:t xml:space="preserve">Requirements baselined in the Stakeholder Feedback Register.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10 Feb 2026</w:t>
            </w:r>
          </w:p>
        </w:tc>
        <w:tc>
          <w:p>
            <w:pPr>
              <w:jc w:val="left"/>
            </w:pPr>
            <w:r>
              <w:t xml:space="preserve">Divya Sapra, Anna Armstrong and Lucas Lopez (CEO)</w:t>
            </w:r>
          </w:p>
        </w:tc>
        <w:tc>
          <w:p>
            <w:pPr>
              <w:jc w:val="left"/>
            </w:pPr>
            <w:r>
              <w:t xml:space="preserve">Formal board briefing</w:t>
            </w:r>
          </w:p>
        </w:tc>
        <w:tc>
          <w:p>
            <w:pPr>
              <w:jc w:val="left"/>
            </w:pPr>
            <w:r>
              <w:t xml:space="preserve">Consolidation of BA deliverables, including the BRD, WBS, matrix and $2 million budget limit.</w:t>
            </w:r>
          </w:p>
        </w:tc>
        <w:tc>
          <w:p>
            <w:pPr>
              <w:jc w:val="left"/>
            </w:pPr>
            <w:r>
              <w:t xml:space="preserve">Project scope and schedule approved.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20 Feb 2026</w:t>
            </w:r>
          </w:p>
        </w:tc>
        <w:tc>
          <w:p>
            <w:pPr>
              <w:jc w:val="left"/>
            </w:pPr>
            <w:r>
              <w:t xml:space="preserve">Sarah Jenkins (Sentrient GRC)</w:t>
            </w:r>
          </w:p>
        </w:tc>
        <w:tc>
          <w:p>
            <w:pPr>
              <w:jc w:val="left"/>
            </w:pPr>
            <w:r>
              <w:t xml:space="preserve">Technical audit meeting</w:t>
            </w:r>
          </w:p>
        </w:tc>
        <w:tc>
          <w:p>
            <w:pPr>
              <w:jc w:val="left"/>
            </w:pPr>
            <w:r>
              <w:t xml:space="preserve">Review of Privacy Act compliance and cloud SaaS encryption.</w:t>
            </w:r>
          </w:p>
        </w:tc>
        <w:tc>
          <w:p>
            <w:pPr>
              <w:jc w:val="left"/>
            </w:pPr>
            <w:r>
              <w:t xml:space="preserve">Change Request: Sentrient API formally added to scope.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22 Feb 2026</w:t>
            </w:r>
          </w:p>
        </w:tc>
        <w:tc>
          <w:p>
            <w:pPr>
              <w:jc w:val="left"/>
            </w:pPr>
            <w:r>
              <w:t xml:space="preserve">David Chen (Sentrient HR)</w:t>
            </w:r>
          </w:p>
        </w:tc>
        <w:tc>
          <w:p>
            <w:pPr>
              <w:jc w:val="left"/>
            </w:pPr>
            <w:r>
              <w:t xml:space="preserve">Technical review</w:t>
            </w:r>
          </w:p>
        </w:tc>
        <w:tc>
          <w:p>
            <w:pPr>
              <w:jc w:val="left"/>
            </w:pPr>
            <w:r>
              <w:t xml:space="preserve">Mandatory compliance certification for IT staff and developers.</w:t>
            </w:r>
          </w:p>
        </w:tc>
        <w:tc>
          <w:p>
            <w:pPr>
              <w:jc w:val="left"/>
            </w:pPr>
            <w:r>
              <w:t xml:space="preserve">Change Request: Developer team scheduled for Sentrient certification.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20 Apr 2026</w:t>
            </w:r>
          </w:p>
        </w:tc>
        <w:tc>
          <w:p>
            <w:pPr>
              <w:jc w:val="left"/>
            </w:pPr>
            <w:r>
              <w:t xml:space="preserve">Divya Sapra</w:t>
            </w:r>
          </w:p>
        </w:tc>
        <w:tc>
          <w:p>
            <w:pPr>
              <w:jc w:val="left"/>
            </w:pPr>
            <w:r>
              <w:t xml:space="preserve">Formal interim review meeting</w:t>
            </w:r>
          </w:p>
        </w:tc>
        <w:tc>
          <w:p>
            <w:pPr>
              <w:jc w:val="left"/>
            </w:pPr>
            <w:r>
              <w:t xml:space="preserve">Business analysis performance evaluation, Month 3.</w:t>
            </w:r>
          </w:p>
        </w:tc>
        <w:tc>
          <w:p>
            <w:pPr>
              <w:jc w:val="left"/>
            </w:pPr>
            <w:r>
              <w:t xml:space="preserve">"Outstanding" and "Good" ratings recorded. Development plan agreed.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21 Apr 2026</w:t>
            </w:r>
          </w:p>
        </w:tc>
        <w:tc>
          <w:p>
            <w:pPr>
              <w:jc w:val="left"/>
            </w:pPr>
            <w:r>
              <w:t xml:space="preserve">Divya Sapra</w:t>
            </w:r>
          </w:p>
        </w:tc>
        <w:tc>
          <w:p>
            <w:pPr>
              <w:jc w:val="left"/>
            </w:pPr>
            <w:r>
              <w:t xml:space="preserve">Formal email</w:t>
            </w:r>
          </w:p>
        </w:tc>
        <w:tc>
          <w:p>
            <w:pPr>
              <w:jc w:val="left"/>
            </w:pPr>
            <w:r>
              <w:t xml:space="preserve">Confirmation of performance review recommendations and training.</w:t>
            </w:r>
          </w:p>
        </w:tc>
        <w:tc>
          <w:p>
            <w:pPr>
              <w:jc w:val="left"/>
            </w:pPr>
            <w:r>
              <w:t xml:space="preserve">Agile/Scrum and asynchronous communication training scheduled for Weeks 11-12.</w:t>
            </w:r>
          </w:p>
        </w:tc>
      </w:tr>
    </w:tbl>
    <w:p>
      <w:pPr>
        <w:spacing w:before="240"/>
      </w:pPr>
      <w: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●"/>
      <w:lvlJc w:val="start"/>
      <w:pPr>
        <w:ind w:start="240" w:hanging="180"/>
      </w:pPr>
    </w:lvl>
    <w:lvl w:ilvl="1" w15:tentative="1">
      <w:start w:val="1"/>
      <w:numFmt w:val="bullet"/>
      <w:suff w:val="space"/>
      <w:lvlText w:val="○"/>
      <w:lvlJc w:val="start"/>
      <w:pPr>
        <w:ind w:start="660" w:hanging="180"/>
      </w:pPr>
    </w:lvl>
    <w:lvl w:ilvl="2" w15:tentative="1">
      <w:start w:val="1"/>
      <w:numFmt w:val="bullet"/>
      <w:suff w:val="space"/>
      <w:lvlText w:val="■"/>
      <w:lvlJc w:val="start"/>
      <w:pPr>
        <w:ind w:start="1080" w:hanging="180"/>
      </w:pPr>
    </w:lvl>
    <w:lvl w:ilvl="3" w15:tentative="1">
      <w:start w:val="1"/>
      <w:numFmt w:val="bullet"/>
      <w:suff w:val="space"/>
      <w:lvlText w:val="●"/>
      <w:lvlJc w:val="start"/>
      <w:pPr>
        <w:ind w:start="1500" w:hanging="180"/>
      </w:pPr>
    </w:lvl>
    <w:lvl w:ilvl="4" w15:tentative="1">
      <w:start w:val="1"/>
      <w:numFmt w:val="bullet"/>
      <w:suff w:val="space"/>
      <w:lvlText w:val="○"/>
      <w:lvlJc w:val="start"/>
      <w:pPr>
        <w:ind w:start="1920" w:hanging="180"/>
      </w:pPr>
    </w:lvl>
    <w:lvl w:ilvl="5" w15:tentative="1">
      <w:start w:val="1"/>
      <w:numFmt w:val="bullet"/>
      <w:suff w:val="space"/>
      <w:lvlText w:val="■"/>
      <w:lvlJc w:val="start"/>
      <w:pPr>
        <w:ind w:start="2340" w:hanging="180"/>
      </w:pPr>
    </w:lvl>
    <w:lvl w:ilvl="6" w15:tentative="1">
      <w:start w:val="1"/>
      <w:numFmt w:val="bullet"/>
      <w:suff w:val="space"/>
      <w:lvlText w:val="●"/>
      <w:lvlJc w:val="start"/>
      <w:pPr>
        <w:ind w:start="2760" w:hanging="180"/>
      </w:pPr>
    </w:lvl>
    <w:lvl w:ilvl="7" w15:tentative="1">
      <w:start w:val="1"/>
      <w:numFmt w:val="bullet"/>
      <w:suff w:val="space"/>
      <w:lvlText w:val="○"/>
      <w:lvlJc w:val="start"/>
      <w:pPr>
        <w:ind w:start="3180" w:hanging="180"/>
      </w:pPr>
    </w:lvl>
    <w:lvl w:ilvl="8" w15:tentative="1">
      <w:start w:val="1"/>
      <w:numFmt w:val="bullet"/>
      <w:suff w:val="space"/>
      <w:lvlText w:val="■"/>
      <w:lvlJc w:val="start"/>
      <w:pPr>
        <w:ind w:start="360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2026-09-06T04:43:05.941Z</dcterms:created>
  <dcterms:modified xsi:type="dcterms:W3CDTF">2026-09-06T04:43:05.941Z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