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036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882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2403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189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/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51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570"/>
        <w:gridCol w:w="1225"/>
        <w:gridCol w:w="1225"/>
        <w:gridCol w:w="1510"/>
        <w:gridCol w:w="1225"/>
        <w:gridCol w:w="1225"/>
      </w:tblGrid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Network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Network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1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RT1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2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RT2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1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2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sw2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3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sw3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4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sw4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5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sw5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ML1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sw11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ML2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sw12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3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RT3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4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RT4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6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sw6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7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sw7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8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sw8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9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sw9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10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sw10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ML3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sw13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ML4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sw14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/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Main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ISP</w:t>
            </w:r>
            <w:r/>
          </w:p>
        </w:tc>
        <w:tc>
          <w:tcPr>
            <w:tcBorders/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/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-</w:t>
            </w:r>
            <w:r/>
          </w:p>
        </w:tc>
      </w:tr>
    </w:tbl>
    <w:p>
      <w:pPr>
        <w:pBdr/>
        <w:shd w:val="nil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Details – Sydney Branch</w:t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58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492"/>
        <w:gridCol w:w="2884"/>
        <w:gridCol w:w="1429"/>
        <w:gridCol w:w="1429"/>
        <w:gridCol w:w="211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Details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Access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2001:c::2/64</w:t>
              <w:br/>
              <w:t xml:space="preserve">192.168.70.2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Password Encryption </w:t>
              <w:br/>
              <w:t xml:space="preserve">(RSA)</w:t>
              <w:br/>
              <w:br/>
              <w:br/>
              <w:t xml:space="preserve">Local:</w:t>
              <w:br/>
              <w:t xml:space="preserve">admin</w:t>
              <w:br/>
              <w:br/>
              <w:t xml:space="preserve">SSH:</w:t>
              <w:br/>
              <w:t xml:space="preserve">administrator</w:t>
              <w:br/>
              <w:t xml:space="preserve">cisco</w:t>
              <w:br/>
              <w:br/>
              <w:t xml:space="preserve">Telnet: </w:t>
              <w:br/>
              <w:t xml:space="preserve">admin</w:t>
              <w:br/>
              <w:t xml:space="preserve">Cisco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2001:c::1/64</w:t>
              <w:br/>
              <w:t xml:space="preserve">192.168.70.1</w:t>
              <w:br/>
              <w:br/>
              <w:t xml:space="preserve">LAN:</w:t>
              <w:br/>
              <w:t xml:space="preserve">2000::2/64</w:t>
              <w:br/>
              <w:t xml:space="preserve">192.168.10.1/24</w:t>
              <w:br/>
              <w:br/>
              <w:t xml:space="preserve">Gateway</w:t>
              <w:br/>
              <w:t xml:space="preserve">2000::210:11FF:FE09:4ED</w:t>
              <w:br/>
              <w:t xml:space="preserve">192.168.10.99</w:t>
              <w:br/>
              <w:br/>
              <w:t xml:space="preserve">DNS:</w:t>
              <w:br/>
              <w:t xml:space="preserve">2000::10</w:t>
              <w:br/>
              <w:t xml:space="preserve">192.168.10.10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DHCPv6 router</w:t>
              <w:br/>
              <w:t xml:space="preserve">HSRPv2</w:t>
              <w:br/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  <w:br/>
              <w:t xml:space="preserve">VPN Ipsec</w:t>
              <w:br/>
              <w:t xml:space="preserve">ACL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LAN:</w:t>
              <w:br/>
              <w:t xml:space="preserve">2000::3/64</w:t>
              <w:br/>
              <w:br/>
              <w:t xml:space="preserve">Gateway:</w:t>
              <w:br/>
              <w:t xml:space="preserve">FE80::290:21FF:FE69:EC83</w:t>
              <w:br/>
              <w:br/>
              <w:t xml:space="preserve">DNS:</w:t>
              <w:br/>
              <w:t xml:space="preserve">2000::10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DHCPv6 router</w:t>
              <w:br/>
              <w:t xml:space="preserve">HSRPv2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Details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58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831"/>
        <w:gridCol w:w="2982"/>
        <w:gridCol w:w="1661"/>
        <w:gridCol w:w="1579"/>
        <w:gridCol w:w="230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Details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Access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2001:b::2/64</w:t>
              <w:br/>
              <w:t xml:space="preserve">192.168.60.2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Password Encryption </w:t>
              <w:br/>
              <w:t xml:space="preserve">(RSA)</w:t>
              <w:br/>
              <w:br/>
              <w:br/>
              <w:t xml:space="preserve">Local:</w:t>
              <w:br/>
              <w:t xml:space="preserve">admin</w:t>
              <w:br/>
              <w:br/>
              <w:t xml:space="preserve">SSH:</w:t>
              <w:br/>
              <w:t xml:space="preserve">administrator</w:t>
              <w:br/>
              <w:t xml:space="preserve">cisco</w:t>
              <w:br/>
              <w:br/>
              <w:t xml:space="preserve">Telnet: </w:t>
              <w:br/>
              <w:t xml:space="preserve">admin</w:t>
              <w:br/>
              <w:t xml:space="preserve">Cisco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2001:b::1/64</w:t>
              <w:br/>
              <w:t xml:space="preserve">192.168.60.1</w:t>
              <w:br/>
              <w:br/>
              <w:t xml:space="preserve">LAN:</w:t>
              <w:br/>
              <w:t xml:space="preserve">2001:a::1/64</w:t>
              <w:br/>
              <w:t xml:space="preserve">192.168.30.0</w:t>
              <w:br/>
              <w:br/>
              <w:t xml:space="preserve">Gateway</w:t>
              <w:br/>
              <w:t xml:space="preserve">FE80::20C:CFFF:FE8B:7037</w:t>
              <w:br/>
              <w:br/>
              <w:t xml:space="preserve">DNS:</w:t>
              <w:br/>
              <w:t xml:space="preserve">2001:a::10</w:t>
              <w:br/>
              <w:t xml:space="preserve">192.168.30.10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DHCPv6 router</w:t>
              <w:br/>
              <w:t xml:space="preserve">HSRPv2</w:t>
              <w:br/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  <w:br/>
              <w:t xml:space="preserve">VPN Ipsec</w:t>
              <w:br/>
              <w:t xml:space="preserve">ACL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LAN:</w:t>
              <w:br/>
              <w:t xml:space="preserve">192.168.40.0</w:t>
              <w:br/>
              <w:br/>
              <w:t xml:space="preserve">Gateway:</w:t>
              <w:br/>
              <w:t xml:space="preserve">192.168.40.1</w:t>
              <w:br/>
              <w:br/>
              <w:t xml:space="preserve">DNS:</w:t>
              <w:br/>
              <w:t xml:space="preserve">192.168.40.10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192.168.30.98</w:t>
              <w:br/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192.168.30.93</w:t>
              <w:br/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192.168.40.92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Installation Plan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  <w:t xml:space="preserve"> &amp; Telnet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7"/>
        </w:numPr>
        <w:pBdr/>
        <w:spacing/>
        <w:ind/>
        <w:rPr>
          <w:lang w:val="en-AU"/>
        </w:rPr>
      </w:pPr>
      <w:r>
        <w:rPr>
          <w:lang w:val="en-AU"/>
        </w:rPr>
        <w:t xml:space="preserve">Service Password Encryption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7"/>
        </w:numPr>
        <w:pBdr/>
        <w:spacing/>
        <w:ind/>
        <w:rPr>
          <w:lang w:val="en-AU"/>
        </w:rPr>
      </w:pPr>
      <w:r>
        <w:rPr>
          <w:lang w:val="en-AU"/>
        </w:rPr>
        <w:t xml:space="preserve">Mandatory Login Password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7"/>
        </w:numPr>
        <w:pBdr/>
        <w:spacing/>
        <w:ind/>
        <w:rPr>
          <w:lang w:val="en-AU"/>
        </w:rPr>
      </w:pPr>
      <w:r>
        <w:rPr>
          <w:lang w:val="en-AU"/>
        </w:rPr>
        <w:t xml:space="preserve">VPN Site-to-Site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7"/>
        </w:numPr>
        <w:pBdr/>
        <w:spacing/>
        <w:ind/>
        <w:rPr>
          <w:lang w:val="en-AU"/>
        </w:rPr>
      </w:pPr>
      <w:r>
        <w:rPr>
          <w:lang w:val="en-AU"/>
        </w:rPr>
        <w:t xml:space="preserve">Access Control Lists (ACLs)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7"/>
        </w:numPr>
        <w:pBdr/>
        <w:spacing/>
        <w:ind/>
        <w:rPr>
          <w:lang w:val="en-AU"/>
        </w:rPr>
      </w:pPr>
      <w:r>
        <w:rPr>
          <w:lang w:val="en-AU"/>
        </w:rPr>
        <w:t xml:space="preserve">Secure Remote Access to infrastructure</w:t>
      </w:r>
      <w:r>
        <w:rPr>
          <w:lang w:val="en-AU"/>
        </w:rPr>
      </w:r>
      <w:r/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</w:r>
      <w:r>
        <w:rPr>
          <w:highlight w:val="none"/>
          <w:lang w:val="en-AU"/>
        </w:rPr>
        <w:br/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tbl>
      <w:tblPr>
        <w:tblStyle w:val="95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15"/>
        <w:gridCol w:w="1136"/>
        <w:gridCol w:w="1720"/>
        <w:gridCol w:w="1276"/>
      </w:tblGrid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/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</w:t>
            </w:r>
            <w:r/>
          </w:p>
        </w:tc>
        <w:tc>
          <w:tcPr>
            <w:tcBorders/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Switch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PC</w:t>
            </w:r>
            <w:r/>
          </w:p>
        </w:tc>
        <w:tc>
          <w:tcPr>
            <w:tcBorders/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/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Laptop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Smartphone</w:t>
            </w:r>
            <w:r/>
          </w:p>
        </w:tc>
        <w:tc>
          <w:tcPr>
            <w:tcBorders/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Tablet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Server</w:t>
            </w:r>
            <w:r/>
          </w:p>
        </w:tc>
        <w:tc>
          <w:tcPr>
            <w:tcBorders/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Printer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 Access Point</w:t>
            </w:r>
            <w:r/>
          </w:p>
        </w:tc>
        <w:tc>
          <w:tcPr>
            <w:tcBorders/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Modem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/>
        <w:shd w:val="nil" w:color="000000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</w:rPr>
      </w:pPr>
      <w:r>
        <w:rPr>
          <w:lang w:val="en-AU"/>
        </w:rPr>
        <w:br w:type="page" w:clear="all"/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nil"/>
        <w:spacing/>
        <w:ind/>
        <w:rPr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  <w:br w:type="page" w:clear="all"/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Style w:val="1084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4"/>
          <w:rFonts w:ascii="Arial" w:hAnsi="Arial" w:cs="Arial"/>
          <w:lang w:val="en-AU"/>
        </w:rPr>
        <w:t xml:space="preserve">r 4 (RT4)</w:t>
      </w:r>
      <w:r>
        <w:rPr>
          <w:rStyle w:val="1084"/>
          <w:rFonts w:ascii="Arial" w:hAnsi="Arial" w:cs="Arial"/>
          <w14:ligatures w14:val="none"/>
        </w:rPr>
      </w:r>
      <w:r>
        <w:rPr>
          <w:rStyle w:val="1084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nil" w:color="auto"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Switches By SSH</w:t>
      </w:r>
      <w:r>
        <w:rPr>
          <w:lang w:val="en-AU"/>
        </w:rPr>
        <w:t xml:space="preserve"> &amp; Telnet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 (sw1)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  <w:t xml:space="preserve"> (sw4)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  <w:t xml:space="preserve"> (sw5)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192.168.10.92 255.255.255.0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  <w:t xml:space="preserve">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(swm2)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  <w:t xml:space="preserve"> (sw6)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 (sw7)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 (sw8)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  <w:t xml:space="preserve"> (swm4)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lightGray"/>
          <w:lang w:val="en-AU"/>
        </w:rPr>
      </w:r>
      <w:r/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Routers By SSH</w:t>
      </w:r>
      <w:r>
        <w:rPr>
          <w:lang w:val="en-AU"/>
        </w:rPr>
        <w:t xml:space="preserve"> &amp; Telnet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routers, encrypts information using RSA.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&lt;ip_router&gt;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&lt;ip_router&gt;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14:ligatures w14:val="none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/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Routers: RT1, RT2, RT3, RT4, RT-M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Apply next configuration to all router on this network:</w:t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password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password on virtual terminals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  <w:t xml:space="preserve">Legal &amp; security: Policies and Procedures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  <w:t xml:space="preserve">ABC Enterprises adopts security technologies to ensure data protection. The company's policies are outlined below.</w:t>
      </w: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lang w:val="es-ES"/>
        </w:rPr>
      </w:pPr>
      <w:r>
        <w:rPr>
          <w:lang w:val="en-AU"/>
        </w:rPr>
        <w:t xml:space="preserve">1. Service Password Encryption</w:t>
      </w:r>
      <w:r>
        <w:rPr>
          <w:lang w:val="es-ES"/>
        </w:rPr>
      </w:r>
      <w:r>
        <w:rPr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Policy</w:t>
      </w:r>
      <w:r>
        <w:rPr>
          <w:rFonts w:ascii="Arial" w:hAnsi="Arial" w:eastAsia="Arial" w:cs="Arial"/>
          <w:lang w:val="es-ES"/>
        </w:rPr>
        <w:t xml:space="preserve"> </w:t>
      </w:r>
      <w:r>
        <w:rPr>
          <w:rFonts w:ascii="Arial" w:hAnsi="Arial" w:eastAsia="Arial" w:cs="Arial"/>
          <w:lang w:val="es-ES"/>
        </w:rPr>
        <w:t xml:space="preserve">t</w:t>
      </w:r>
      <w:r>
        <w:rPr>
          <w:rFonts w:ascii="Arial" w:hAnsi="Arial" w:eastAsia="Arial" w:cs="Arial"/>
          <w:lang w:val="en-AU"/>
        </w:rPr>
        <w:t xml:space="preserve">o prevent access to plain-text passwords in network devices. </w:t>
      </w:r>
      <w:r>
        <w:rPr>
          <w:rFonts w:ascii="Arial" w:hAnsi="Arial" w:eastAsia="Arial" w:cs="Arial"/>
          <w:lang w:val="en-AU"/>
        </w:rPr>
        <w:t xml:space="preserve">In compliance with standard </w:t>
      </w:r>
      <w:r>
        <w:rPr>
          <w:rFonts w:ascii="Arial" w:hAnsi="Arial" w:eastAsia="Arial" w:cs="Arial"/>
          <w:lang w:val="en-AU"/>
        </w:rPr>
        <w:t xml:space="preserve">ISO/IEC 27001</w:t>
      </w:r>
      <w:r>
        <w:rPr>
          <w:rFonts w:ascii="Arial" w:hAnsi="Arial" w:eastAsia="Arial" w:cs="Arial"/>
          <w:lang w:val="en-AU"/>
        </w:rPr>
        <w:t xml:space="preserve">. </w:t>
      </w:r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ISO/IEC 27001 – to safeguarding of authentication credentials and sensitive information stored in system configurations.</w:t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Style w:val="1072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2. </w:t>
      </w:r>
      <w:r>
        <w:rPr>
          <w:rFonts w:ascii="Arial" w:hAnsi="Arial" w:eastAsia="Arial" w:cs="Arial"/>
          <w:lang w:val="en-AU"/>
        </w:rPr>
        <w:t xml:space="preserve">Mandatory Login Password</w:t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Policy on all network devices that requires a login password for any access to routers or switches. In compliance with </w:t>
      </w:r>
      <w:r>
        <w:rPr>
          <w:rFonts w:ascii="Arial" w:hAnsi="Arial" w:eastAsia="Arial" w:cs="Arial"/>
          <w:lang w:val="en-AU"/>
        </w:rPr>
        <w:t xml:space="preserve">NIST SP 800-53 (IA-2)</w:t>
      </w:r>
      <w:r>
        <w:rPr>
          <w:rFonts w:ascii="Arial" w:hAnsi="Arial" w:eastAsia="Arial" w:cs="Arial"/>
          <w:lang w:val="en-AU"/>
        </w:rPr>
        <w:t xml:space="preserve">.</w:t>
      </w:r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NIST SP 800-53 (IA-2) –  apply authentication mechanisms are mandatory to verify user identity prior to access to network infrastructure.</w:t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Style w:val="1072"/>
        <w:pBdr/>
        <w:spacing/>
        <w:ind/>
        <w:rPr>
          <w:rFonts w:ascii="Arial" w:hAnsi="Arial" w:eastAsia="Arial" w:cs="Arial"/>
          <w:lang w:val="en-AU"/>
        </w:rPr>
      </w:pPr>
      <w:r>
        <w:rPr>
          <w:rFonts w:ascii="Arial" w:hAnsi="Arial" w:eastAsia="Arial" w:cs="Arial"/>
          <w:lang w:val="en-AU"/>
        </w:rPr>
        <w:t xml:space="preserve">3. VPN Site-to-Site </w:t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Policy implements IPSec to protect data in transit between different company branches over internet. In compliance with </w:t>
      </w:r>
      <w:r>
        <w:rPr>
          <w:rFonts w:ascii="Arial" w:hAnsi="Arial" w:eastAsia="Arial" w:cs="Arial"/>
          <w:lang w:val="en-AU"/>
        </w:rPr>
        <w:t xml:space="preserve">NIST SP 800-77</w:t>
      </w:r>
      <w:r/>
      <w:r>
        <w:rPr>
          <w:rFonts w:ascii="Arial" w:hAnsi="Arial" w:eastAsia="Arial" w:cs="Arial"/>
          <w:lang w:val="en-AU"/>
        </w:rPr>
        <w:t xml:space="preserve">.</w:t>
      </w:r>
      <w:r/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NIST SP 800-77 – provides guidance for the secure deployment of IPsec VPNs in enterprise environments.</w:t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Style w:val="1072"/>
        <w:pBdr/>
        <w:spacing/>
        <w:ind/>
        <w:rPr>
          <w:rFonts w:ascii="Arial" w:hAnsi="Arial" w:eastAsia="Arial" w:cs="Arial"/>
          <w:lang w:val="en-AU"/>
        </w:rPr>
      </w:pPr>
      <w:r>
        <w:rPr>
          <w:rFonts w:ascii="Arial" w:hAnsi="Arial" w:eastAsia="Arial" w:cs="Arial"/>
          <w:lang w:val="en-AU"/>
        </w:rPr>
        <w:t xml:space="preserve">4. Access Control Lists (ACLs)</w:t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Policy to filter traffic and control access between subnets, enhance internal network security. In compliance with </w:t>
      </w:r>
      <w:r>
        <w:rPr>
          <w:rFonts w:ascii="Arial" w:hAnsi="Arial" w:eastAsia="Arial" w:cs="Arial"/>
          <w:lang w:val="en-AU"/>
        </w:rPr>
        <w:t xml:space="preserve">ISO/IEC 27002</w:t>
      </w:r>
      <w:r>
        <w:rPr>
          <w:rFonts w:ascii="Arial" w:hAnsi="Arial" w:eastAsia="Arial" w:cs="Arial"/>
          <w:lang w:val="en-AU"/>
        </w:rPr>
        <w:t xml:space="preserve"> (s13)</w:t>
      </w:r>
      <w:r/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ISO/IEC 27002 – control and restrics network access to authorized communications only.</w:t>
      </w:r>
      <w:r>
        <w:rPr>
          <w:rFonts w:ascii="Arial" w:hAnsi="Arial" w:eastAsia="Arial" w:cs="Arial"/>
          <w:lang w:val="en-AU"/>
        </w:rPr>
      </w:r>
    </w:p>
    <w:p>
      <w:pPr>
        <w:pStyle w:val="1072"/>
        <w:pBdr/>
        <w:spacing/>
        <w:ind/>
        <w:rPr>
          <w:rFonts w:ascii="Arial" w:hAnsi="Arial" w:eastAsia="Arial" w:cs="Arial"/>
          <w:lang w:val="en-AU"/>
        </w:rPr>
      </w:pPr>
      <w:r>
        <w:rPr>
          <w:rFonts w:ascii="Arial" w:hAnsi="Arial" w:eastAsia="Arial" w:cs="Arial"/>
          <w:lang w:val="en-AU"/>
        </w:rPr>
        <w:t xml:space="preserve">5. Secure Remote Access to infrastructure</w:t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Policy to protect remote access by Telnet and SSH to network devices using password-protected and encrypted. In compliance with This configuration aligns with:</w:t>
      </w:r>
      <w:r>
        <w:rPr>
          <w:rFonts w:ascii="Arial" w:hAnsi="Arial" w:eastAsia="Arial" w:cs="Arial"/>
          <w:lang w:val="en-AU"/>
        </w:rPr>
        <w:t xml:space="preserve"> </w:t>
      </w:r>
      <w:r>
        <w:rPr>
          <w:rFonts w:ascii="Arial" w:hAnsi="Arial" w:eastAsia="Arial" w:cs="Arial"/>
          <w:lang w:val="en-AU"/>
        </w:rPr>
        <w:t xml:space="preserve">NIST SP 800-5</w:t>
      </w:r>
      <w:r/>
      <w:r>
        <w:rPr>
          <w:rFonts w:ascii="Arial" w:hAnsi="Arial" w:eastAsia="Arial" w:cs="Arial"/>
          <w:lang w:val="en-AU"/>
        </w:rPr>
        <w:t xml:space="preserve">.</w:t>
      </w:r>
      <w:r/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  <w:t xml:space="preserve">NIST SP 800-52 – secure protocols for administrative access and discourages the use of unencrypted communication channels.</w:t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  <w:r>
        <w:rPr>
          <w:rFonts w:ascii="Arial" w:hAnsi="Arial" w:eastAsia="Arial" w:cs="Ari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4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SSH: 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3" w:tooltip=" Sheffer Kimanzi, Configuring ssh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ssh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Telnet: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4" w:tooltip=" Sheffer Kimanzi, Configuring telnet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telnet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9">
    <w:name w:val="Table Grid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5">
    <w:name w:val="No Spacing"/>
    <w:basedOn w:val="1069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79"/>
    <w:uiPriority w:val="20"/>
    <w:qFormat/>
    <w:pPr>
      <w:pBdr/>
      <w:spacing/>
      <w:ind/>
    </w:pPr>
    <w:rPr>
      <w:i/>
      <w:iCs/>
    </w:rPr>
  </w:style>
  <w:style w:type="character" w:styleId="1048">
    <w:name w:val="Subtle Reference"/>
    <w:basedOn w:val="10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69"/>
    <w:next w:val="10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69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9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69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9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FollowedHyperlink"/>
    <w:basedOn w:val="10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8">
    <w:name w:val="toc 1"/>
    <w:basedOn w:val="1069"/>
    <w:next w:val="1069"/>
    <w:uiPriority w:val="39"/>
    <w:unhideWhenUsed/>
    <w:pPr>
      <w:pBdr/>
      <w:spacing w:after="100"/>
      <w:ind/>
    </w:pPr>
  </w:style>
  <w:style w:type="paragraph" w:styleId="1059">
    <w:name w:val="toc 2"/>
    <w:basedOn w:val="1069"/>
    <w:next w:val="1069"/>
    <w:uiPriority w:val="39"/>
    <w:unhideWhenUsed/>
    <w:pPr>
      <w:pBdr/>
      <w:spacing w:after="100"/>
      <w:ind w:left="220"/>
    </w:pPr>
  </w:style>
  <w:style w:type="paragraph" w:styleId="1060">
    <w:name w:val="toc 3"/>
    <w:basedOn w:val="1069"/>
    <w:next w:val="1069"/>
    <w:uiPriority w:val="39"/>
    <w:unhideWhenUsed/>
    <w:pPr>
      <w:pBdr/>
      <w:spacing w:after="100"/>
      <w:ind w:left="440"/>
    </w:pPr>
  </w:style>
  <w:style w:type="paragraph" w:styleId="1061">
    <w:name w:val="toc 4"/>
    <w:basedOn w:val="1069"/>
    <w:next w:val="1069"/>
    <w:uiPriority w:val="39"/>
    <w:unhideWhenUsed/>
    <w:pPr>
      <w:pBdr/>
      <w:spacing w:after="100"/>
      <w:ind w:left="660"/>
    </w:pPr>
  </w:style>
  <w:style w:type="paragraph" w:styleId="1062">
    <w:name w:val="toc 5"/>
    <w:basedOn w:val="1069"/>
    <w:next w:val="1069"/>
    <w:uiPriority w:val="39"/>
    <w:unhideWhenUsed/>
    <w:pPr>
      <w:pBdr/>
      <w:spacing w:after="100"/>
      <w:ind w:left="880"/>
    </w:pPr>
  </w:style>
  <w:style w:type="paragraph" w:styleId="1063">
    <w:name w:val="toc 6"/>
    <w:basedOn w:val="1069"/>
    <w:next w:val="1069"/>
    <w:uiPriority w:val="39"/>
    <w:unhideWhenUsed/>
    <w:pPr>
      <w:pBdr/>
      <w:spacing w:after="100"/>
      <w:ind w:left="1100"/>
    </w:pPr>
  </w:style>
  <w:style w:type="paragraph" w:styleId="1064">
    <w:name w:val="toc 7"/>
    <w:basedOn w:val="1069"/>
    <w:next w:val="1069"/>
    <w:uiPriority w:val="39"/>
    <w:unhideWhenUsed/>
    <w:pPr>
      <w:pBdr/>
      <w:spacing w:after="100"/>
      <w:ind w:left="1320"/>
    </w:pPr>
  </w:style>
  <w:style w:type="paragraph" w:styleId="1065">
    <w:name w:val="toc 8"/>
    <w:basedOn w:val="1069"/>
    <w:next w:val="1069"/>
    <w:uiPriority w:val="39"/>
    <w:unhideWhenUsed/>
    <w:pPr>
      <w:pBdr/>
      <w:spacing w:after="100"/>
      <w:ind w:left="1540"/>
    </w:pPr>
  </w:style>
  <w:style w:type="paragraph" w:styleId="1066">
    <w:name w:val="toc 9"/>
    <w:basedOn w:val="1069"/>
    <w:next w:val="1069"/>
    <w:uiPriority w:val="39"/>
    <w:unhideWhenUsed/>
    <w:pPr>
      <w:pBdr/>
      <w:spacing w:after="100"/>
      <w:ind w:left="1760"/>
    </w:pPr>
  </w:style>
  <w:style w:type="paragraph" w:styleId="1067">
    <w:name w:val="TOC Heading"/>
    <w:uiPriority w:val="39"/>
    <w:unhideWhenUsed/>
    <w:pPr>
      <w:pBdr/>
      <w:spacing/>
      <w:ind/>
    </w:pPr>
  </w:style>
  <w:style w:type="paragraph" w:styleId="1068">
    <w:name w:val="table of figures"/>
    <w:basedOn w:val="1069"/>
    <w:next w:val="1069"/>
    <w:uiPriority w:val="99"/>
    <w:unhideWhenUsed/>
    <w:pPr>
      <w:pBdr/>
      <w:spacing w:after="0" w:afterAutospacing="0"/>
      <w:ind/>
    </w:pPr>
  </w:style>
  <w:style w:type="paragraph" w:styleId="1069" w:default="1">
    <w:name w:val="Normal"/>
    <w:qFormat/>
    <w:pPr>
      <w:pBdr/>
      <w:spacing/>
      <w:ind/>
    </w:pPr>
  </w:style>
  <w:style w:type="paragraph" w:styleId="1070">
    <w:name w:val="Heading 1"/>
    <w:basedOn w:val="1069"/>
    <w:next w:val="1069"/>
    <w:link w:val="10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71">
    <w:name w:val="Heading 2"/>
    <w:basedOn w:val="1069"/>
    <w:next w:val="1069"/>
    <w:link w:val="10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2">
    <w:name w:val="Heading 3"/>
    <w:basedOn w:val="1069"/>
    <w:next w:val="1069"/>
    <w:link w:val="10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3">
    <w:name w:val="Heading 4"/>
    <w:basedOn w:val="1069"/>
    <w:next w:val="1069"/>
    <w:link w:val="10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4">
    <w:name w:val="Heading 5"/>
    <w:basedOn w:val="1069"/>
    <w:next w:val="1069"/>
    <w:link w:val="10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5">
    <w:name w:val="Heading 6"/>
    <w:basedOn w:val="1069"/>
    <w:next w:val="1069"/>
    <w:link w:val="108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6">
    <w:name w:val="Heading 7"/>
    <w:basedOn w:val="1069"/>
    <w:next w:val="1069"/>
    <w:link w:val="108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7">
    <w:name w:val="Heading 8"/>
    <w:basedOn w:val="1069"/>
    <w:next w:val="1069"/>
    <w:link w:val="108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8">
    <w:name w:val="Heading 9"/>
    <w:basedOn w:val="1069"/>
    <w:next w:val="1069"/>
    <w:link w:val="109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9" w:default="1">
    <w:name w:val="Default Paragraph Font"/>
    <w:uiPriority w:val="1"/>
    <w:semiHidden/>
    <w:unhideWhenUsed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1" w:default="1">
    <w:name w:val="No List"/>
    <w:uiPriority w:val="99"/>
    <w:semiHidden/>
    <w:unhideWhenUsed/>
    <w:pPr>
      <w:pBdr/>
      <w:spacing/>
      <w:ind/>
    </w:pPr>
  </w:style>
  <w:style w:type="character" w:styleId="1082" w:customStyle="1">
    <w:name w:val="Heading 1 Char"/>
    <w:basedOn w:val="1079"/>
    <w:link w:val="107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3" w:customStyle="1">
    <w:name w:val="Heading 2 Char"/>
    <w:basedOn w:val="1079"/>
    <w:link w:val="107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4" w:customStyle="1">
    <w:name w:val="Heading 3 Char"/>
    <w:basedOn w:val="1079"/>
    <w:link w:val="107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5" w:customStyle="1">
    <w:name w:val="Heading 4 Char"/>
    <w:basedOn w:val="1079"/>
    <w:link w:val="107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6" w:customStyle="1">
    <w:name w:val="Heading 5 Char"/>
    <w:basedOn w:val="1079"/>
    <w:link w:val="107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7" w:customStyle="1">
    <w:name w:val="Heading 6 Char"/>
    <w:basedOn w:val="1079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8" w:customStyle="1">
    <w:name w:val="Heading 7 Char"/>
    <w:basedOn w:val="1079"/>
    <w:link w:val="107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9" w:customStyle="1">
    <w:name w:val="Heading 8 Char"/>
    <w:basedOn w:val="1079"/>
    <w:link w:val="107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90" w:customStyle="1">
    <w:name w:val="Heading 9 Char"/>
    <w:basedOn w:val="1079"/>
    <w:link w:val="107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91">
    <w:name w:val="Title"/>
    <w:basedOn w:val="1069"/>
    <w:next w:val="1069"/>
    <w:link w:val="109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2" w:customStyle="1">
    <w:name w:val="Title Char"/>
    <w:basedOn w:val="1079"/>
    <w:link w:val="109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3">
    <w:name w:val="Subtitle"/>
    <w:basedOn w:val="1069"/>
    <w:next w:val="1069"/>
    <w:link w:val="109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4" w:customStyle="1">
    <w:name w:val="Subtitle Char"/>
    <w:basedOn w:val="1079"/>
    <w:link w:val="109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5">
    <w:name w:val="Quote"/>
    <w:basedOn w:val="1069"/>
    <w:next w:val="1069"/>
    <w:link w:val="10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6" w:customStyle="1">
    <w:name w:val="Quote Char"/>
    <w:basedOn w:val="1079"/>
    <w:link w:val="10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7">
    <w:name w:val="List Paragraph"/>
    <w:basedOn w:val="1069"/>
    <w:uiPriority w:val="34"/>
    <w:qFormat/>
    <w:pPr>
      <w:pBdr/>
      <w:spacing/>
      <w:ind w:left="720"/>
      <w:contextualSpacing w:val="true"/>
    </w:pPr>
  </w:style>
  <w:style w:type="character" w:styleId="1098">
    <w:name w:val="Intense Emphasis"/>
    <w:basedOn w:val="10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9">
    <w:name w:val="Intense Quote"/>
    <w:basedOn w:val="1069"/>
    <w:next w:val="1069"/>
    <w:link w:val="11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0" w:customStyle="1">
    <w:name w:val="Intense Quote Char"/>
    <w:basedOn w:val="1079"/>
    <w:link w:val="10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1">
    <w:name w:val="Intense Reference"/>
    <w:basedOn w:val="10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2">
    <w:name w:val="Normal (Web)"/>
    <w:basedOn w:val="106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3">
    <w:name w:val="Strong"/>
    <w:basedOn w:val="1079"/>
    <w:uiPriority w:val="22"/>
    <w:qFormat/>
    <w:pPr>
      <w:pBdr/>
      <w:spacing/>
      <w:ind/>
    </w:pPr>
    <w:rPr>
      <w:b/>
      <w:bCs/>
    </w:rPr>
  </w:style>
  <w:style w:type="character" w:styleId="1104">
    <w:name w:val="Hyperlink"/>
    <w:basedOn w:val="107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5">
    <w:name w:val="Header"/>
    <w:basedOn w:val="1069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Header Char"/>
    <w:basedOn w:val="1079"/>
    <w:link w:val="1105"/>
    <w:uiPriority w:val="99"/>
    <w:pPr>
      <w:pBdr/>
      <w:spacing/>
      <w:ind/>
    </w:pPr>
  </w:style>
  <w:style w:type="paragraph" w:styleId="1107">
    <w:name w:val="Footer"/>
    <w:basedOn w:val="1069"/>
    <w:link w:val="110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8" w:customStyle="1">
    <w:name w:val="Footer Char"/>
    <w:basedOn w:val="1079"/>
    <w:link w:val="110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Relationship Id="rId23" Type="http://schemas.openxmlformats.org/officeDocument/2006/relationships/hyperlink" Target="https://computernetworking747640215.wordpress.com/2018/07/05/secure-shell-ssh-configuration-on-a-switch-and-router-in-packet-tracer/" TargetMode="External"/><Relationship Id="rId24" Type="http://schemas.openxmlformats.org/officeDocument/2006/relationships/hyperlink" Target="https://computernetworking747640215.wordpress.com/2018/07/05/configuring-telnet-on-a-switch-and-a-router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28</cp:revision>
  <dcterms:created xsi:type="dcterms:W3CDTF">2025-03-13T00:36:00Z</dcterms:created>
  <dcterms:modified xsi:type="dcterms:W3CDTF">2025-04-18T12:21:19Z</dcterms:modified>
</cp:coreProperties>
</file>