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  <w:t xml:space="preserve"> &amp; Telnet</w:t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Style w:val="1084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4"/>
          <w:rFonts w:ascii="Arial" w:hAnsi="Arial" w:cs="Arial"/>
          <w:lang w:val="en-AU"/>
        </w:rPr>
        <w:t xml:space="preserve">r 4 (RT4)</w:t>
      </w:r>
      <w:r>
        <w:rPr>
          <w:rStyle w:val="1084"/>
          <w:rFonts w:ascii="Arial" w:hAnsi="Arial" w:cs="Arial"/>
          <w14:ligatures w14:val="none"/>
        </w:rPr>
      </w:r>
      <w:r>
        <w:rPr>
          <w:rStyle w:val="1084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lang w:val="en-AU"/>
        </w:rPr>
        <w:t xml:space="preserve"> &amp; Telnet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&lt;ip_vlan1&gt;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&lt;ip_vlan1&gt;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 (sw1)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(sw2)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(sw3)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  <w:t xml:space="preserve"> (sw4)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  <w:t xml:space="preserve"> (sw5)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192.168.10.92 255.255.255.0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  <w:t xml:space="preserve"> (swm1)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(swm2)</w:t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  <w:t xml:space="preserve"> (sw6)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192.168.30.96 255.255.255.0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 (sw7)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192.168.30.95 255.255.255.0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 (sw8)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192.168.30.94 255.255.255.0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192.168.30.93 255.255.255.0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(swm3)</w:t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192.168.30.98 255.255.255.0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  <w:t xml:space="preserve"> (swm4)</w:t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192.168.30.97 255.255.255.0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  <w:t xml:space="preserve">12. Legal &amp; security: Policies and Procedures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4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SSH: 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3" w:tooltip=" Sheffer Kimanzi, Configuring ssh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ssh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Telnet: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4" w:tooltip=" Sheffer Kimanzi, Configuring telnet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telnet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9">
    <w:name w:val="Table Grid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5">
    <w:name w:val="No Spacing"/>
    <w:basedOn w:val="1069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79"/>
    <w:uiPriority w:val="20"/>
    <w:qFormat/>
    <w:pPr>
      <w:pBdr/>
      <w:spacing/>
      <w:ind/>
    </w:pPr>
    <w:rPr>
      <w:i/>
      <w:iCs/>
    </w:rPr>
  </w:style>
  <w:style w:type="character" w:styleId="1048">
    <w:name w:val="Subtle Reference"/>
    <w:basedOn w:val="10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69"/>
    <w:next w:val="10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69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9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69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9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FollowedHyperlink"/>
    <w:basedOn w:val="10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8">
    <w:name w:val="toc 1"/>
    <w:basedOn w:val="1069"/>
    <w:next w:val="1069"/>
    <w:uiPriority w:val="39"/>
    <w:unhideWhenUsed/>
    <w:pPr>
      <w:pBdr/>
      <w:spacing w:after="100"/>
      <w:ind/>
    </w:pPr>
  </w:style>
  <w:style w:type="paragraph" w:styleId="1059">
    <w:name w:val="toc 2"/>
    <w:basedOn w:val="1069"/>
    <w:next w:val="1069"/>
    <w:uiPriority w:val="39"/>
    <w:unhideWhenUsed/>
    <w:pPr>
      <w:pBdr/>
      <w:spacing w:after="100"/>
      <w:ind w:left="220"/>
    </w:pPr>
  </w:style>
  <w:style w:type="paragraph" w:styleId="1060">
    <w:name w:val="toc 3"/>
    <w:basedOn w:val="1069"/>
    <w:next w:val="1069"/>
    <w:uiPriority w:val="39"/>
    <w:unhideWhenUsed/>
    <w:pPr>
      <w:pBdr/>
      <w:spacing w:after="100"/>
      <w:ind w:left="440"/>
    </w:pPr>
  </w:style>
  <w:style w:type="paragraph" w:styleId="1061">
    <w:name w:val="toc 4"/>
    <w:basedOn w:val="1069"/>
    <w:next w:val="1069"/>
    <w:uiPriority w:val="39"/>
    <w:unhideWhenUsed/>
    <w:pPr>
      <w:pBdr/>
      <w:spacing w:after="100"/>
      <w:ind w:left="660"/>
    </w:pPr>
  </w:style>
  <w:style w:type="paragraph" w:styleId="1062">
    <w:name w:val="toc 5"/>
    <w:basedOn w:val="1069"/>
    <w:next w:val="1069"/>
    <w:uiPriority w:val="39"/>
    <w:unhideWhenUsed/>
    <w:pPr>
      <w:pBdr/>
      <w:spacing w:after="100"/>
      <w:ind w:left="880"/>
    </w:pPr>
  </w:style>
  <w:style w:type="paragraph" w:styleId="1063">
    <w:name w:val="toc 6"/>
    <w:basedOn w:val="1069"/>
    <w:next w:val="1069"/>
    <w:uiPriority w:val="39"/>
    <w:unhideWhenUsed/>
    <w:pPr>
      <w:pBdr/>
      <w:spacing w:after="100"/>
      <w:ind w:left="1100"/>
    </w:pPr>
  </w:style>
  <w:style w:type="paragraph" w:styleId="1064">
    <w:name w:val="toc 7"/>
    <w:basedOn w:val="1069"/>
    <w:next w:val="1069"/>
    <w:uiPriority w:val="39"/>
    <w:unhideWhenUsed/>
    <w:pPr>
      <w:pBdr/>
      <w:spacing w:after="100"/>
      <w:ind w:left="1320"/>
    </w:pPr>
  </w:style>
  <w:style w:type="paragraph" w:styleId="1065">
    <w:name w:val="toc 8"/>
    <w:basedOn w:val="1069"/>
    <w:next w:val="1069"/>
    <w:uiPriority w:val="39"/>
    <w:unhideWhenUsed/>
    <w:pPr>
      <w:pBdr/>
      <w:spacing w:after="100"/>
      <w:ind w:left="1540"/>
    </w:pPr>
  </w:style>
  <w:style w:type="paragraph" w:styleId="1066">
    <w:name w:val="toc 9"/>
    <w:basedOn w:val="1069"/>
    <w:next w:val="1069"/>
    <w:uiPriority w:val="39"/>
    <w:unhideWhenUsed/>
    <w:pPr>
      <w:pBdr/>
      <w:spacing w:after="100"/>
      <w:ind w:left="1760"/>
    </w:pPr>
  </w:style>
  <w:style w:type="paragraph" w:styleId="1067">
    <w:name w:val="TOC Heading"/>
    <w:uiPriority w:val="39"/>
    <w:unhideWhenUsed/>
    <w:pPr>
      <w:pBdr/>
      <w:spacing/>
      <w:ind/>
    </w:pPr>
  </w:style>
  <w:style w:type="paragraph" w:styleId="1068">
    <w:name w:val="table of figures"/>
    <w:basedOn w:val="1069"/>
    <w:next w:val="1069"/>
    <w:uiPriority w:val="99"/>
    <w:unhideWhenUsed/>
    <w:pPr>
      <w:pBdr/>
      <w:spacing w:after="0" w:afterAutospacing="0"/>
      <w:ind/>
    </w:pPr>
  </w:style>
  <w:style w:type="paragraph" w:styleId="1069" w:default="1">
    <w:name w:val="Normal"/>
    <w:qFormat/>
    <w:pPr>
      <w:pBdr/>
      <w:spacing/>
      <w:ind/>
    </w:pPr>
  </w:style>
  <w:style w:type="paragraph" w:styleId="1070">
    <w:name w:val="Heading 1"/>
    <w:basedOn w:val="1069"/>
    <w:next w:val="1069"/>
    <w:link w:val="10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71">
    <w:name w:val="Heading 2"/>
    <w:basedOn w:val="1069"/>
    <w:next w:val="1069"/>
    <w:link w:val="10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2">
    <w:name w:val="Heading 3"/>
    <w:basedOn w:val="1069"/>
    <w:next w:val="1069"/>
    <w:link w:val="10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3">
    <w:name w:val="Heading 4"/>
    <w:basedOn w:val="1069"/>
    <w:next w:val="1069"/>
    <w:link w:val="10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4">
    <w:name w:val="Heading 5"/>
    <w:basedOn w:val="1069"/>
    <w:next w:val="1069"/>
    <w:link w:val="10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5">
    <w:name w:val="Heading 6"/>
    <w:basedOn w:val="1069"/>
    <w:next w:val="1069"/>
    <w:link w:val="108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6">
    <w:name w:val="Heading 7"/>
    <w:basedOn w:val="1069"/>
    <w:next w:val="1069"/>
    <w:link w:val="108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7">
    <w:name w:val="Heading 8"/>
    <w:basedOn w:val="1069"/>
    <w:next w:val="1069"/>
    <w:link w:val="108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8">
    <w:name w:val="Heading 9"/>
    <w:basedOn w:val="1069"/>
    <w:next w:val="1069"/>
    <w:link w:val="109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9" w:default="1">
    <w:name w:val="Default Paragraph Font"/>
    <w:uiPriority w:val="1"/>
    <w:semiHidden/>
    <w:unhideWhenUsed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1" w:default="1">
    <w:name w:val="No List"/>
    <w:uiPriority w:val="99"/>
    <w:semiHidden/>
    <w:unhideWhenUsed/>
    <w:pPr>
      <w:pBdr/>
      <w:spacing/>
      <w:ind/>
    </w:pPr>
  </w:style>
  <w:style w:type="character" w:styleId="1082" w:customStyle="1">
    <w:name w:val="Heading 1 Char"/>
    <w:basedOn w:val="1079"/>
    <w:link w:val="107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3" w:customStyle="1">
    <w:name w:val="Heading 2 Char"/>
    <w:basedOn w:val="1079"/>
    <w:link w:val="107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4" w:customStyle="1">
    <w:name w:val="Heading 3 Char"/>
    <w:basedOn w:val="1079"/>
    <w:link w:val="107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5" w:customStyle="1">
    <w:name w:val="Heading 4 Char"/>
    <w:basedOn w:val="1079"/>
    <w:link w:val="107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6" w:customStyle="1">
    <w:name w:val="Heading 5 Char"/>
    <w:basedOn w:val="1079"/>
    <w:link w:val="107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7" w:customStyle="1">
    <w:name w:val="Heading 6 Char"/>
    <w:basedOn w:val="1079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8" w:customStyle="1">
    <w:name w:val="Heading 7 Char"/>
    <w:basedOn w:val="1079"/>
    <w:link w:val="107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9" w:customStyle="1">
    <w:name w:val="Heading 8 Char"/>
    <w:basedOn w:val="1079"/>
    <w:link w:val="107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90" w:customStyle="1">
    <w:name w:val="Heading 9 Char"/>
    <w:basedOn w:val="1079"/>
    <w:link w:val="107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91">
    <w:name w:val="Title"/>
    <w:basedOn w:val="1069"/>
    <w:next w:val="1069"/>
    <w:link w:val="109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2" w:customStyle="1">
    <w:name w:val="Title Char"/>
    <w:basedOn w:val="1079"/>
    <w:link w:val="109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3">
    <w:name w:val="Subtitle"/>
    <w:basedOn w:val="1069"/>
    <w:next w:val="1069"/>
    <w:link w:val="109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4" w:customStyle="1">
    <w:name w:val="Subtitle Char"/>
    <w:basedOn w:val="1079"/>
    <w:link w:val="109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5">
    <w:name w:val="Quote"/>
    <w:basedOn w:val="1069"/>
    <w:next w:val="1069"/>
    <w:link w:val="10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6" w:customStyle="1">
    <w:name w:val="Quote Char"/>
    <w:basedOn w:val="1079"/>
    <w:link w:val="10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7">
    <w:name w:val="List Paragraph"/>
    <w:basedOn w:val="1069"/>
    <w:uiPriority w:val="34"/>
    <w:qFormat/>
    <w:pPr>
      <w:pBdr/>
      <w:spacing/>
      <w:ind w:left="720"/>
      <w:contextualSpacing w:val="true"/>
    </w:pPr>
  </w:style>
  <w:style w:type="character" w:styleId="1098">
    <w:name w:val="Intense Emphasis"/>
    <w:basedOn w:val="10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9">
    <w:name w:val="Intense Quote"/>
    <w:basedOn w:val="1069"/>
    <w:next w:val="1069"/>
    <w:link w:val="11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0" w:customStyle="1">
    <w:name w:val="Intense Quote Char"/>
    <w:basedOn w:val="1079"/>
    <w:link w:val="10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1">
    <w:name w:val="Intense Reference"/>
    <w:basedOn w:val="10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2">
    <w:name w:val="Normal (Web)"/>
    <w:basedOn w:val="106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3">
    <w:name w:val="Strong"/>
    <w:basedOn w:val="1079"/>
    <w:uiPriority w:val="22"/>
    <w:qFormat/>
    <w:pPr>
      <w:pBdr/>
      <w:spacing/>
      <w:ind/>
    </w:pPr>
    <w:rPr>
      <w:b/>
      <w:bCs/>
    </w:rPr>
  </w:style>
  <w:style w:type="character" w:styleId="1104">
    <w:name w:val="Hyperlink"/>
    <w:basedOn w:val="107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5">
    <w:name w:val="Header"/>
    <w:basedOn w:val="1069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Header Char"/>
    <w:basedOn w:val="1079"/>
    <w:link w:val="1105"/>
    <w:uiPriority w:val="99"/>
    <w:pPr>
      <w:pBdr/>
      <w:spacing/>
      <w:ind/>
    </w:pPr>
  </w:style>
  <w:style w:type="paragraph" w:styleId="1107">
    <w:name w:val="Footer"/>
    <w:basedOn w:val="1069"/>
    <w:link w:val="110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8" w:customStyle="1">
    <w:name w:val="Footer Char"/>
    <w:basedOn w:val="1079"/>
    <w:link w:val="110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Relationship Id="rId23" Type="http://schemas.openxmlformats.org/officeDocument/2006/relationships/hyperlink" Target="https://computernetworking747640215.wordpress.com/2018/07/05/secure-shell-ssh-configuration-on-a-switch-and-router-in-packet-tracer/" TargetMode="External"/><Relationship Id="rId24" Type="http://schemas.openxmlformats.org/officeDocument/2006/relationships/hyperlink" Target="https://computernetworking747640215.wordpress.com/2018/07/05/configuring-telnet-on-a-switch-and-a-router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25</cp:revision>
  <dcterms:created xsi:type="dcterms:W3CDTF">2025-03-13T00:36:00Z</dcterms:created>
  <dcterms:modified xsi:type="dcterms:W3CDTF">2025-04-17T16:12:58Z</dcterms:modified>
</cp:coreProperties>
</file>