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ICTNWK541 Configure, verify and troubleshoot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unit describes the skills and knowledge required to use required tools, equipment, software and protocols to install, operate and troubleshoot switches and routers in a medium-size enterprise network.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applies to individuals who are employed in desk technician and network support technician roles.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licensing, legislative or certification requirements apply to this unit at the time of publication.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Elements and Performance Criteria</w:t>
      </w:r>
    </w:p>
    <w:tbl>
      <w:tblPr>
        <w:tblStyle w:val="Table1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4819"/>
        <w:gridCol w:w="1867"/>
        <w:tblGridChange w:id="0">
          <w:tblGrid>
            <w:gridCol w:w="2689"/>
            <w:gridCol w:w="4819"/>
            <w:gridCol w:w="18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 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 criteria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Covered in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to install medium enterprise Wide Area Network (WAN) links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existing network design documentation and determine currency and completeness according to organisational requirements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Analyse organisational security protocol requirements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access and security requirements of required tools, equipment, software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and document installation plans and detail prioritised tasks and contingency arrangements according to organisational requirements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Obtain installation plan sign off from required personnel 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WAN links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WAN connection method requirements according to installation plan specifications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and verify required serial WAN configuration and WAN protocols according to vendor specifications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required virtual private network (VPN) and site-to-site technology according to vendor specifications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and configure an asymmetric digital subscriber line (ADSL) connection according to installation plan specifications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and verify IP services on a router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Configure, implement and verify a Dynamic Host Configuration Protocol (DHCP) router operation according to vendor specifications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and verify internet protocol version 6 (IPv6) addressing according to vendor specifications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and verify the operation of network address translation (NAT) requirements according to installation plan specifications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 a network using router services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purpose and types of access control lists (ACLs) according to installation plan specifications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and apply ACLs according to network filtering requirements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 access to the network router according to installation plan specifications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 medium enterprise WAN links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WAN implementation links and align to installation plan service expectations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 and rectify identified WAN implementation issues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test results and rectification methods according to installation plan specifications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0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Seek and respond to feedback from required personnel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 skills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section describes language, literacy, numeracy and employment skills incorporated in the performance criteria that are required for competent performance.</w:t>
      </w:r>
    </w:p>
    <w:tbl>
      <w:tblPr>
        <w:tblStyle w:val="Table2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4819"/>
        <w:gridCol w:w="1867"/>
        <w:tblGridChange w:id="0">
          <w:tblGrid>
            <w:gridCol w:w="2689"/>
            <w:gridCol w:w="4819"/>
            <w:gridCol w:w="18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Covered in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Numeracy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Analyses numerical information to take measurements, interpret results and evaluate performance and interoperability of network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Oral communication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listening and questioning techniques to confirm requirements, articulate complex concepts and matters using required terminology to explain technical and business-related matters with required personnel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Interprets and analyses technical information to determine requirements according to organisational needs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Prepares workplace documentation which incorporates an evaluation of technical information and specialised language in a format and style for a specific audience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organising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a combination of formal, logical planning processes and an increasingly intuitive knowledge of context to plan, prioritise and monitor own work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Demonstrates effective decision making for relatively complex situations and takes a range of factors into consideration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intuition to identify the general problem area, switching to analytical processes to clarify goals and key issues and lateral thinking processes to generate possible solutions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Self-management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Demonstrates knowledge of the implications of legal and regulatory responsibilities related to own work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Demonstrates knowledge of how strategic and operational applications are used or could be used to achieve work goals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Demonstrates knowledge of the ways in which digital systems and tools are used or could be used to achieve work goals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digital technologies and systems safely and securely when implementing and monitoring a system, with a growing awareness of the permanence and transparency of all activities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evidence</w:t>
      </w:r>
    </w:p>
    <w:tbl>
      <w:tblPr>
        <w:tblStyle w:val="Table3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8"/>
        <w:gridCol w:w="1867"/>
        <w:tblGridChange w:id="0">
          <w:tblGrid>
            <w:gridCol w:w="7508"/>
            <w:gridCol w:w="18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candidate must demonstrate the ability to complete the tasks outlined in the elements, performance criteria and foundation skills of this unit, including evidence of the ability to: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Covered in assessment task and following topics: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install, configure and test Wide Area Networks (WAN) links on at least two occasions.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 T3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the course of the above, the candidate must: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and prepare for WAN link installation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T2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finalised solutions for WAN links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 access to network router through access control lists.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T4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If a specific volume or frequency is not stated, then evidence must be provided at least once.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evidence</w:t>
      </w:r>
    </w:p>
    <w:tbl>
      <w:tblPr>
        <w:tblStyle w:val="Table4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8"/>
        <w:gridCol w:w="1867"/>
        <w:tblGridChange w:id="0">
          <w:tblGrid>
            <w:gridCol w:w="7508"/>
            <w:gridCol w:w="18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candidate must be able to demonstrate knowledge to complete the tasks outlined in the elements, performance criteria and foundation skills of this unit, including knowledge of: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Covered in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industry standard operation and configuration of internet protocol version 6 (IPv6)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industry standard router setup and operations, including: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T4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router command line interface (CLI) configuration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T4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router debug commands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T5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industry standard problems and solutions with WAN link installations.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T5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conditions </w:t>
      </w:r>
    </w:p>
    <w:tbl>
      <w:tblPr>
        <w:tblStyle w:val="Table5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8"/>
        <w:gridCol w:w="1867"/>
        <w:tblGridChange w:id="0">
          <w:tblGrid>
            <w:gridCol w:w="7508"/>
            <w:gridCol w:w="18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 in this unit must be demonstrated in a workplace or simulated environment where the conditions are typical of those in a working environment in this industry. 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Assessed in assessment tasks.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site where network installation may be conducted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small enterprise routers and switches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network’s design documentation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equipment specifications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and software required to install and operate small enterprise branch networks 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user device 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425" w:right="0" w:hanging="4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policies and procedures pertaining to the installation and operation of a network.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Assessors of this unit must satisfy the requirements for assessors in applicable vocational education and training legislation, frameworks and/or standards.</w:t>
      </w:r>
    </w:p>
    <w:sectPr>
      <w:headerReference r:id="rId7" w:type="default"/>
      <w:footerReference r:id="rId8" w:type="default"/>
      <w:pgSz w:h="16838" w:w="11906" w:orient="portrait"/>
      <w:pgMar w:bottom="1701" w:top="1701" w:left="1247" w:right="127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Gulim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Bdr>
        <w:bottom w:color="000000" w:space="4" w:sz="12" w:val="single"/>
      </w:pBdr>
      <w:tabs>
        <w:tab w:val="right" w:leader="none" w:pos="8565"/>
      </w:tabs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tabs>
        <w:tab w:val="right" w:leader="none" w:pos="8565"/>
      </w:tabs>
      <w:spacing w:after="120" w:line="240" w:lineRule="auto"/>
      <w:ind w:right="-2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[ICTNWK541] Trainer Guide Mapping</w:t>
    </w:r>
  </w:p>
  <w:p w:rsidR="00000000" w:rsidDel="00000000" w:rsidP="00000000" w:rsidRDefault="00000000" w:rsidRPr="00000000" w14:paraId="0000009C">
    <w:pPr>
      <w:tabs>
        <w:tab w:val="right" w:leader="none" w:pos="8565"/>
      </w:tabs>
      <w:spacing w:after="120" w:line="240" w:lineRule="auto"/>
      <w:ind w:right="-2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| Trident Education Pty Ltd trading as Milestones International College | TOID 45323|CRICOS 03877M| Level 3,  252 Lygon Street Carlton VIC 3053 | 1300 991 716 | </w:t>
    </w:r>
    <w:hyperlink r:id="rId1">
      <w:r w:rsidDel="00000000" w:rsidR="00000000" w:rsidRPr="00000000">
        <w:rPr>
          <w:color w:val="0563c1"/>
          <w:sz w:val="16"/>
          <w:szCs w:val="16"/>
          <w:u w:val="single"/>
          <w:rtl w:val="0"/>
        </w:rPr>
        <w:t xml:space="preserve">info@milestones.vic.edu.au</w:t>
      </w:r>
    </w:hyperlink>
    <w:r w:rsidDel="00000000" w:rsidR="00000000" w:rsidRPr="00000000">
      <w:rPr>
        <w:color w:val="0563c1"/>
        <w:sz w:val="16"/>
        <w:szCs w:val="16"/>
        <w:u w:val="single"/>
        <w:rtl w:val="0"/>
      </w:rPr>
      <w:t xml:space="preserve"> </w:t>
    </w:r>
    <w:r w:rsidDel="00000000" w:rsidR="00000000" w:rsidRPr="00000000">
      <w:rPr>
        <w:sz w:val="16"/>
        <w:szCs w:val="16"/>
        <w:rtl w:val="0"/>
      </w:rPr>
      <w:t xml:space="preserve">|</w:t>
    </w:r>
  </w:p>
  <w:p w:rsidR="00000000" w:rsidDel="00000000" w:rsidP="00000000" w:rsidRDefault="00000000" w:rsidRPr="00000000" w14:paraId="0000009D">
    <w:pPr>
      <w:tabs>
        <w:tab w:val="center" w:leader="none" w:pos="4513"/>
        <w:tab w:val="right" w:leader="none" w:pos="9026"/>
        <w:tab w:val="right" w:leader="none" w:pos="9356"/>
      </w:tabs>
      <w:spacing w:after="0" w:line="240" w:lineRule="auto"/>
      <w:jc w:val="right"/>
      <w:rPr>
        <w:rFonts w:ascii="Gulim" w:cs="Gulim" w:eastAsia="Gulim" w:hAnsi="Gulim"/>
        <w:i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|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Page: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9356"/>
      </w:tabs>
      <w:spacing w:after="0" w:before="0" w:line="240" w:lineRule="auto"/>
      <w:ind w:left="0" w:right="0" w:firstLine="0"/>
      <w:jc w:val="left"/>
      <w:rPr>
        <w:rFonts w:ascii="Gulim" w:cs="Gulim" w:eastAsia="Gulim" w:hAnsi="Gulim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-257174</wp:posOffset>
          </wp:positionV>
          <wp:extent cx="1866900" cy="459422"/>
          <wp:effectExtent b="0" l="0" r="0" t="0"/>
          <wp:wrapNone/>
          <wp:docPr descr="A close up of a logo&#10;&#10;Description automatically generated" id="1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45942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850" w:hanging="425"/>
      </w:pPr>
      <w:rPr/>
    </w:lvl>
    <w:lvl w:ilvl="2">
      <w:start w:val="1"/>
      <w:numFmt w:val="decimal"/>
      <w:lvlText w:val="%1.%2.%3."/>
      <w:lvlJc w:val="left"/>
      <w:pPr>
        <w:ind w:left="1275" w:hanging="425"/>
      </w:pPr>
      <w:rPr/>
    </w:lvl>
    <w:lvl w:ilvl="3">
      <w:start w:val="1"/>
      <w:numFmt w:val="decimal"/>
      <w:lvlText w:val="%1.%2.%3.%4."/>
      <w:lvlJc w:val="left"/>
      <w:pPr>
        <w:ind w:left="1700" w:hanging="425"/>
      </w:pPr>
      <w:rPr/>
    </w:lvl>
    <w:lvl w:ilvl="4">
      <w:start w:val="1"/>
      <w:numFmt w:val="decimal"/>
      <w:lvlText w:val="%1.%2.%3.%4.%5."/>
      <w:lvlJc w:val="left"/>
      <w:pPr>
        <w:ind w:left="2125" w:hanging="425"/>
      </w:pPr>
      <w:rPr/>
    </w:lvl>
    <w:lvl w:ilvl="5">
      <w:start w:val="1"/>
      <w:numFmt w:val="decimal"/>
      <w:lvlText w:val="%1.%2.%3.%4.%5.%6."/>
      <w:lvlJc w:val="left"/>
      <w:pPr>
        <w:ind w:left="2550" w:hanging="425"/>
      </w:pPr>
      <w:rPr/>
    </w:lvl>
    <w:lvl w:ilvl="6">
      <w:start w:val="1"/>
      <w:numFmt w:val="decimal"/>
      <w:lvlText w:val="%1.%2.%3.%4.%5.%6.%7."/>
      <w:lvlJc w:val="left"/>
      <w:pPr>
        <w:ind w:left="2975" w:hanging="425"/>
      </w:pPr>
      <w:rPr/>
    </w:lvl>
    <w:lvl w:ilvl="7">
      <w:start w:val="1"/>
      <w:numFmt w:val="decimal"/>
      <w:lvlText w:val="%1.%2.%3.%4.%5.%6.%7.%8."/>
      <w:lvlJc w:val="left"/>
      <w:pPr>
        <w:ind w:left="3400" w:hanging="425"/>
      </w:pPr>
      <w:rPr/>
    </w:lvl>
    <w:lvl w:ilvl="8">
      <w:start w:val="1"/>
      <w:numFmt w:val="decimal"/>
      <w:lvlText w:val="%1.%2.%3.%4.%5.%6.%7.%8.%9."/>
      <w:lvlJc w:val="left"/>
      <w:pPr>
        <w:ind w:left="3825" w:hanging="425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425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6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semiHidden w:val="1"/>
    <w:qFormat w:val="1"/>
    <w:rsid w:val="00BB490E"/>
  </w:style>
  <w:style w:type="paragraph" w:styleId="Heading1">
    <w:name w:val="heading 1"/>
    <w:basedOn w:val="Normal"/>
    <w:next w:val="Normal"/>
    <w:link w:val="Heading1Char"/>
    <w:uiPriority w:val="9"/>
    <w:semiHidden w:val="1"/>
    <w:qFormat w:val="1"/>
    <w:locked w:val="1"/>
    <w:rsid w:val="00D0188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qFormat w:val="1"/>
    <w:locked w:val="1"/>
    <w:rsid w:val="00A932F6"/>
    <w:pPr>
      <w:spacing w:after="120" w:before="60" w:line="276" w:lineRule="auto"/>
      <w:contextualSpacing w:val="1"/>
      <w:outlineLvl w:val="1"/>
    </w:pPr>
    <w:rPr>
      <w:rFonts w:ascii="Arial" w:cs="Arial" w:eastAsia="Calibri" w:hAnsi="Arial"/>
      <w:b w:val="1"/>
      <w:color w:val="000000" w:themeColor="text1"/>
      <w:sz w:val="24"/>
      <w:szCs w:val="20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 w:val="1"/>
    <w:qFormat w:val="1"/>
    <w:locked w:val="1"/>
    <w:rsid w:val="00D0188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semiHidden w:val="1"/>
    <w:qFormat w:val="1"/>
    <w:locked w:val="1"/>
    <w:rsid w:val="001278C6"/>
    <w:pPr>
      <w:ind w:left="720"/>
      <w:contextualSpacing w:val="1"/>
    </w:pPr>
  </w:style>
  <w:style w:type="paragraph" w:styleId="RTOWorksElement" w:customStyle="1">
    <w:name w:val="RTO Works Element"/>
    <w:qFormat w:val="1"/>
    <w:rsid w:val="00396CCC"/>
    <w:pPr>
      <w:numPr>
        <w:numId w:val="36"/>
      </w:numPr>
      <w:spacing w:after="120" w:before="120" w:line="276" w:lineRule="auto"/>
    </w:pPr>
    <w:rPr>
      <w:rFonts w:ascii="Arial" w:cs="Arial" w:hAnsi="Arial"/>
      <w:sz w:val="20"/>
      <w:szCs w:val="20"/>
    </w:rPr>
  </w:style>
  <w:style w:type="paragraph" w:styleId="RTOWorksPerformanceCritieria" w:customStyle="1">
    <w:name w:val="RTO Works Performance Critieria"/>
    <w:qFormat w:val="1"/>
    <w:rsid w:val="00AD1729"/>
    <w:pPr>
      <w:numPr>
        <w:ilvl w:val="1"/>
        <w:numId w:val="36"/>
      </w:numPr>
      <w:spacing w:after="120" w:before="120" w:line="240" w:lineRule="auto"/>
      <w:ind w:left="425"/>
    </w:pPr>
    <w:rPr>
      <w:rFonts w:ascii="Arial" w:cs="Arial" w:hAnsi="Arial"/>
      <w:sz w:val="20"/>
      <w:szCs w:val="20"/>
    </w:rPr>
  </w:style>
  <w:style w:type="paragraph" w:styleId="Header">
    <w:name w:val="header"/>
    <w:aliases w:val="RTO Works Header"/>
    <w:link w:val="HeaderChar"/>
    <w:uiPriority w:val="99"/>
    <w:semiHidden w:val="1"/>
    <w:locked w:val="1"/>
    <w:rsid w:val="004263B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aliases w:val="RTO Works Header Char"/>
    <w:basedOn w:val="DefaultParagraphFont"/>
    <w:link w:val="Header"/>
    <w:uiPriority w:val="99"/>
    <w:semiHidden w:val="1"/>
    <w:rsid w:val="00AD1729"/>
  </w:style>
  <w:style w:type="paragraph" w:styleId="Footer">
    <w:name w:val="footer"/>
    <w:aliases w:val="RTO Works Footer"/>
    <w:link w:val="FooterChar"/>
    <w:uiPriority w:val="99"/>
    <w:semiHidden w:val="1"/>
    <w:locked w:val="1"/>
    <w:rsid w:val="004263B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aliases w:val="RTO Works Footer Char"/>
    <w:basedOn w:val="DefaultParagraphFont"/>
    <w:link w:val="Footer"/>
    <w:uiPriority w:val="99"/>
    <w:semiHidden w:val="1"/>
    <w:rsid w:val="00AD1729"/>
  </w:style>
  <w:style w:type="numbering" w:styleId="RTOWorksElementandPerformanceCriteria" w:customStyle="1">
    <w:name w:val="RTO Works Element and Performance Criteria"/>
    <w:uiPriority w:val="99"/>
    <w:rsid w:val="00C81D61"/>
    <w:pPr>
      <w:numPr>
        <w:numId w:val="32"/>
      </w:numPr>
    </w:pPr>
  </w:style>
  <w:style w:type="paragraph" w:styleId="RTOWorksHeading1" w:customStyle="1">
    <w:name w:val="RTO Works Heading 1"/>
    <w:next w:val="RTOWorksBodyText"/>
    <w:qFormat w:val="1"/>
    <w:rsid w:val="00396CCC"/>
    <w:pPr>
      <w:spacing w:after="120" w:line="276" w:lineRule="auto"/>
    </w:pPr>
    <w:rPr>
      <w:rFonts w:ascii="Arial" w:cs="Arial" w:hAnsi="Arial"/>
      <w:b w:val="1"/>
      <w:bCs w:val="1"/>
      <w:sz w:val="32"/>
      <w:szCs w:val="32"/>
    </w:rPr>
  </w:style>
  <w:style w:type="paragraph" w:styleId="RTOWorksBodyText" w:customStyle="1">
    <w:name w:val="RTO Works Body Text"/>
    <w:qFormat w:val="1"/>
    <w:rsid w:val="00AD1729"/>
    <w:pPr>
      <w:spacing w:after="120" w:before="120" w:line="276" w:lineRule="auto"/>
    </w:pPr>
    <w:rPr>
      <w:rFonts w:ascii="Arial" w:cs="Arial" w:hAnsi="Arial"/>
      <w:sz w:val="20"/>
      <w:szCs w:val="20"/>
    </w:rPr>
  </w:style>
  <w:style w:type="paragraph" w:styleId="RTOWorksHeading2" w:customStyle="1">
    <w:name w:val="RTO Works Heading 2"/>
    <w:next w:val="RTOWorksBodyText"/>
    <w:qFormat w:val="1"/>
    <w:rsid w:val="00396CCC"/>
    <w:pPr>
      <w:spacing w:after="120" w:before="360"/>
    </w:pPr>
    <w:rPr>
      <w:rFonts w:ascii="Arial" w:cs="Arial" w:hAnsi="Arial"/>
      <w:b w:val="1"/>
      <w:bCs w:val="1"/>
      <w:sz w:val="28"/>
      <w:szCs w:val="28"/>
    </w:rPr>
  </w:style>
  <w:style w:type="paragraph" w:styleId="RTOWorksHeading3" w:customStyle="1">
    <w:name w:val="RTO Works Heading 3"/>
    <w:next w:val="RTOWorksBodyText"/>
    <w:qFormat w:val="1"/>
    <w:rsid w:val="00396CCC"/>
    <w:pPr>
      <w:spacing w:after="120" w:before="240" w:line="276" w:lineRule="auto"/>
    </w:pPr>
    <w:rPr>
      <w:rFonts w:ascii="Arial" w:cs="Arial" w:hAnsi="Arial"/>
      <w:b w:val="1"/>
      <w:bCs w:val="1"/>
      <w:sz w:val="24"/>
      <w:szCs w:val="24"/>
    </w:rPr>
  </w:style>
  <w:style w:type="table" w:styleId="TableGrid">
    <w:name w:val="Table Grid"/>
    <w:basedOn w:val="TableNormal"/>
    <w:uiPriority w:val="39"/>
    <w:locked w:val="1"/>
    <w:rsid w:val="004263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numbering" w:styleId="RTOWorksElementsandPerformanceCriteria" w:customStyle="1">
    <w:name w:val="RTO Works Elements and Performance Criteria"/>
    <w:uiPriority w:val="99"/>
    <w:rsid w:val="00C81D61"/>
    <w:pPr>
      <w:numPr>
        <w:numId w:val="34"/>
      </w:numPr>
    </w:pPr>
  </w:style>
  <w:style w:type="paragraph" w:styleId="RTOWorksBullet1" w:customStyle="1">
    <w:name w:val="RTO Works Bullet 1"/>
    <w:qFormat w:val="1"/>
    <w:rsid w:val="00396CCC"/>
    <w:pPr>
      <w:numPr>
        <w:numId w:val="3"/>
      </w:numPr>
      <w:spacing w:after="120" w:before="120" w:line="276" w:lineRule="auto"/>
    </w:pPr>
    <w:rPr>
      <w:rFonts w:ascii="Arial" w:cs="Arial" w:hAnsi="Arial"/>
      <w:sz w:val="20"/>
      <w:szCs w:val="20"/>
    </w:rPr>
  </w:style>
  <w:style w:type="numbering" w:styleId="Style1" w:customStyle="1">
    <w:name w:val="Style1"/>
    <w:uiPriority w:val="99"/>
    <w:locked w:val="1"/>
    <w:rsid w:val="00C81D61"/>
    <w:pPr>
      <w:numPr>
        <w:numId w:val="36"/>
      </w:numPr>
    </w:pPr>
  </w:style>
  <w:style w:type="character" w:styleId="Emphasis">
    <w:name w:val="Emphasis"/>
    <w:basedOn w:val="DefaultParagraphFont"/>
    <w:uiPriority w:val="20"/>
    <w:semiHidden w:val="1"/>
    <w:qFormat w:val="1"/>
    <w:locked w:val="1"/>
    <w:rsid w:val="00FD512F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D1729"/>
    <w:rPr>
      <w:rFonts w:ascii="Arial" w:cs="Arial" w:eastAsia="Calibri" w:hAnsi="Arial"/>
      <w:b w:val="1"/>
      <w:color w:val="000000" w:themeColor="text1"/>
      <w:sz w:val="24"/>
      <w:szCs w:val="20"/>
      <w:lang w:eastAsia="en-AU"/>
    </w:rPr>
  </w:style>
  <w:style w:type="paragraph" w:styleId="RTOWorksBullet2" w:customStyle="1">
    <w:name w:val="RTO Works Bullet 2"/>
    <w:qFormat w:val="1"/>
    <w:rsid w:val="00396CCC"/>
    <w:pPr>
      <w:numPr>
        <w:numId w:val="38"/>
      </w:numPr>
      <w:spacing w:after="120" w:before="120" w:line="276" w:lineRule="auto"/>
      <w:ind w:left="850" w:hanging="425"/>
    </w:pPr>
    <w:rPr>
      <w:rFonts w:ascii="Arial" w:cs="Arial" w:hAnsi="Arial"/>
      <w:sz w:val="20"/>
      <w:szCs w:val="20"/>
    </w:rPr>
  </w:style>
  <w:style w:type="paragraph" w:styleId="RTOWorksBullet3" w:customStyle="1">
    <w:name w:val="RTO Works Bullet 3"/>
    <w:qFormat w:val="1"/>
    <w:rsid w:val="00396CCC"/>
    <w:pPr>
      <w:numPr>
        <w:numId w:val="40"/>
      </w:numPr>
      <w:spacing w:after="120" w:before="120" w:line="276" w:lineRule="auto"/>
      <w:ind w:left="1276" w:hanging="425"/>
    </w:pPr>
    <w:rPr>
      <w:rFonts w:ascii="Arial" w:cs="Arial" w:hAnsi="Arial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semiHidden w:val="1"/>
    <w:rsid w:val="00AD172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172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locked w:val="1"/>
    <w:rsid w:val="00D018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D01887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milestonesenglish.com.a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l5ZxVg1QKU9FO3COeqn0lyXoSw==">CgMxLjA4AHIhMUV6N2dkd3RUcVZHd3lzNGZ1NGdUVGw0QmRENi0yWnlh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2022-02-28T00:40:00Z</dcterms:created>
  <dc:creator>RTO Works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0x01010055C80B126816A9409F2C6B4A1A06B318</vt:lpwstr>
  </property>
  <property fmtid="{D5CDD505-2E9C-101B-9397-08002B2CF9AE}" pid="3" name="Order">
    <vt:r8>3355700.0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