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RTOWorksHeading1"/>
        <w:spacing w:before="480" w:after="120"/>
        <w:jc w:val="center"/>
        <w:rPr>
          <w:color w:val="000000"/>
          <w:lang w:eastAsia="en-US"/>
        </w:rPr>
      </w:pPr>
      <w:r>
        <w:rPr>
          <w:color w:val="000000"/>
          <w:lang w:eastAsia="en-US"/>
        </w:rPr>
        <w:t>ICTPMG613 AssessmentTask</w:t>
      </w:r>
    </w:p>
    <w:p>
      <w:pPr>
        <w:pStyle w:val="RTOWorksHeading1"/>
        <w:spacing w:before="480" w:after="120"/>
        <w:jc w:val="center"/>
        <w:rPr>
          <w:color w:val="000000"/>
          <w:lang w:eastAsia="en-US"/>
        </w:rPr>
      </w:pPr>
      <w:r>
        <w:rPr>
          <w:color w:val="000000"/>
          <w:lang w:eastAsia="en-US"/>
        </w:rPr>
      </w:r>
    </w:p>
    <w:p>
      <w:pPr>
        <w:pStyle w:val="RTOWorksHeading1"/>
        <w:jc w:val="center"/>
        <w:rPr/>
      </w:pPr>
      <w:r>
        <w:rPr/>
        <w:t>Project Name:</w:t>
      </w:r>
    </w:p>
    <w:p>
      <w:pPr>
        <w:pStyle w:val="RTOWorksHeading1"/>
        <w:jc w:val="center"/>
        <w:rPr/>
      </w:pPr>
      <w:r>
        <w:rPr/>
        <w:t>Technological modernisation of software and hardware systems at Boutique Build Australia</w:t>
      </w:r>
    </w:p>
    <w:p>
      <w:pPr>
        <w:pStyle w:val="RTOWorksHeading1"/>
        <w:jc w:val="center"/>
        <w:rPr/>
      </w:pPr>
      <w:r>
        <w:rPr/>
        <w:t>Design and implementation of a modern website at Boutique Build Australia</w:t>
      </w:r>
    </w:p>
    <w:p>
      <w:pPr>
        <w:pStyle w:val="RTOWorksHeading1"/>
        <w:spacing w:before="480" w:after="120"/>
        <w:jc w:val="center"/>
        <w:rPr>
          <w:color w:val="000000"/>
          <w:lang w:eastAsia="en-US"/>
        </w:rPr>
      </w:pPr>
      <w:r>
        <w:rPr>
          <w:color w:val="000000"/>
          <w:lang w:eastAsia="en-US"/>
        </w:rPr>
        <w:t xml:space="preserve"> </w:t>
      </w:r>
    </w:p>
    <w:p>
      <w:pPr>
        <w:pStyle w:val="RTOWorksHeading2"/>
        <w:spacing w:before="360" w:after="120"/>
        <w:jc w:val="center"/>
        <w:rPr>
          <w:sz w:val="40"/>
          <w:szCs w:val="40"/>
        </w:rPr>
      </w:pPr>
      <w:r>
        <w:rPr>
          <w:sz w:val="40"/>
          <w:szCs w:val="40"/>
        </w:rPr>
        <w:t>Strategic Plan</w:t>
        <w:br/>
        <w:t>Boutique Build Australia</w:t>
      </w:r>
    </w:p>
    <w:p>
      <w:pPr>
        <w:pStyle w:val="RTOWorksHeading1"/>
        <w:spacing w:before="480" w:after="120"/>
        <w:jc w:val="center"/>
        <w:rPr>
          <w:color w:val="000000"/>
          <w:lang w:eastAsia="en-US"/>
        </w:rPr>
      </w:pPr>
      <w:r>
        <w:rPr>
          <w:color w:val="000000"/>
          <w:lang w:eastAsia="en-US"/>
        </w:rPr>
      </w:r>
    </w:p>
    <w:p>
      <w:pPr>
        <w:pStyle w:val="RTOWorksHeading1"/>
        <w:spacing w:before="480" w:after="120"/>
        <w:jc w:val="center"/>
        <w:rPr>
          <w:color w:val="000000"/>
          <w:lang w:eastAsia="en-US"/>
        </w:rPr>
      </w:pPr>
      <w:r>
        <w:rPr>
          <w:color w:val="000000"/>
          <w:lang w:eastAsia="en-US"/>
        </w:rPr>
        <w:t>Manuel Sergio Perez Espitia</w:t>
        <w:br/>
      </w:r>
    </w:p>
    <w:p>
      <w:pPr>
        <w:pStyle w:val="RTOWorksBodyText"/>
        <w:spacing w:before="480" w:after="120"/>
        <w:jc w:val="center"/>
        <w:rPr>
          <w:color w:val="000000"/>
          <w:lang w:eastAsia="en-US"/>
        </w:rPr>
      </w:pPr>
      <w:r>
        <w:rPr>
          <w:color w:val="000000"/>
          <w:lang w:eastAsia="en-US"/>
        </w:rPr>
      </w:r>
    </w:p>
    <w:p>
      <w:pPr>
        <w:pStyle w:val="RTOWorksBodyText"/>
        <w:spacing w:before="480" w:after="120"/>
        <w:jc w:val="center"/>
        <w:rPr>
          <w:lang w:eastAsia="en-US"/>
        </w:rPr>
      </w:pPr>
      <w:r>
        <w:rPr>
          <w:lang w:eastAsia="en-US"/>
        </w:rPr>
      </w:r>
    </w:p>
    <w:p>
      <w:pPr>
        <w:pStyle w:val="RTOWorksBodyText"/>
        <w:spacing w:before="480" w:after="120"/>
        <w:jc w:val="center"/>
        <w:rPr>
          <w:lang w:eastAsia="en-US"/>
        </w:rPr>
      </w:pPr>
      <w:r>
        <w:rPr>
          <w:lang w:eastAsia="en-US"/>
        </w:rPr>
        <w:t>13/07/2055</w:t>
      </w:r>
    </w:p>
    <w:p>
      <w:pPr>
        <w:pStyle w:val="RTOWorksHeading2"/>
        <w:spacing w:before="0" w:after="120"/>
        <w:rPr/>
      </w:pPr>
      <w:r>
        <w:rPr/>
        <w:t>Executive Summary</w:t>
      </w:r>
    </w:p>
    <w:p>
      <w:pPr>
        <w:pStyle w:val="BodyText3"/>
        <w:spacing w:lineRule="auto" w:line="276" w:before="0" w:after="0"/>
        <w:jc w:val="both"/>
        <w:rPr>
          <w:rFonts w:ascii="Arial" w:hAnsi="Arial" w:cs="Arial"/>
          <w:sz w:val="20"/>
          <w:szCs w:val="20"/>
        </w:rPr>
      </w:pPr>
      <w:r>
        <w:rPr>
          <w:rFonts w:cs="Arial" w:ascii="Arial" w:hAnsi="Arial"/>
          <w:sz w:val="20"/>
          <w:szCs w:val="20"/>
        </w:rPr>
        <w:t>Established in 2010, Boutique Build Australia is a building company specialising in the design and building of high-quality designer homes for the Sydney metropolitan and surrounding areas.</w:t>
      </w:r>
    </w:p>
    <w:p>
      <w:pPr>
        <w:pStyle w:val="BodyText3"/>
        <w:spacing w:lineRule="auto" w:line="276" w:before="0" w:after="0"/>
        <w:jc w:val="both"/>
        <w:rPr>
          <w:rFonts w:ascii="Arial" w:hAnsi="Arial" w:cs="Arial"/>
          <w:sz w:val="20"/>
          <w:szCs w:val="20"/>
        </w:rPr>
      </w:pPr>
      <w:r>
        <w:rPr>
          <w:rFonts w:cs="Arial" w:ascii="Arial" w:hAnsi="Arial"/>
          <w:sz w:val="20"/>
          <w:szCs w:val="20"/>
        </w:rPr>
      </w:r>
    </w:p>
    <w:p>
      <w:pPr>
        <w:pStyle w:val="BodyText3"/>
        <w:spacing w:lineRule="auto" w:line="276" w:before="0" w:after="0"/>
        <w:jc w:val="both"/>
        <w:rPr/>
      </w:pPr>
      <w:bookmarkStart w:id="0" w:name="_Toc247949624"/>
      <w:r>
        <w:rPr>
          <w:rFonts w:cs="Arial" w:ascii="Arial" w:hAnsi="Arial"/>
          <w:sz w:val="20"/>
          <w:szCs w:val="20"/>
        </w:rPr>
        <w:t xml:space="preserve">Our vision – to be the best home builder in Australia – drives everything we do, from the friendly greeting we give to customers at our display centre, to our supplier relationships and to our employees’ professional development.  </w:t>
      </w:r>
      <w:bookmarkEnd w:id="0"/>
    </w:p>
    <w:p>
      <w:pPr>
        <w:pStyle w:val="RTOWorksHeading3"/>
        <w:rPr/>
      </w:pPr>
      <w:r>
        <w:rPr/>
        <w:t xml:space="preserve">Vision  </w:t>
      </w:r>
    </w:p>
    <w:p>
      <w:pPr>
        <w:pStyle w:val="RTOWorksBodyText"/>
        <w:rPr/>
      </w:pPr>
      <w:r>
        <w:rPr/>
        <w:t>To be the best quality home builder in Australia.</w:t>
      </w:r>
    </w:p>
    <w:p>
      <w:pPr>
        <w:pStyle w:val="RTOWorksHeading3"/>
        <w:rPr/>
      </w:pPr>
      <w:r>
        <w:rPr/>
        <w:t>Our values are:</w:t>
      </w:r>
    </w:p>
    <w:p>
      <w:pPr>
        <w:pStyle w:val="RTOWorksBodyText"/>
        <w:rPr/>
      </w:pPr>
      <w:r>
        <w:rPr/>
        <w:t>The core values underpinning our activities are:</w:t>
      </w:r>
    </w:p>
    <w:p>
      <w:pPr>
        <w:pStyle w:val="RTOWorksBullet1"/>
        <w:numPr>
          <w:ilvl w:val="0"/>
          <w:numId w:val="1"/>
        </w:numPr>
        <w:rPr/>
      </w:pPr>
      <w:r>
        <w:rPr/>
        <w:t>Quality</w:t>
      </w:r>
    </w:p>
    <w:p>
      <w:pPr>
        <w:pStyle w:val="RTOWorksBullet1"/>
        <w:numPr>
          <w:ilvl w:val="0"/>
          <w:numId w:val="1"/>
        </w:numPr>
        <w:rPr/>
      </w:pPr>
      <w:r>
        <w:rPr/>
        <w:t>Innovation</w:t>
      </w:r>
    </w:p>
    <w:p>
      <w:pPr>
        <w:pStyle w:val="RTOWorksBullet1"/>
        <w:numPr>
          <w:ilvl w:val="0"/>
          <w:numId w:val="1"/>
        </w:numPr>
        <w:rPr/>
      </w:pPr>
      <w:r>
        <w:rPr/>
        <w:t>Leadership</w:t>
      </w:r>
    </w:p>
    <w:p>
      <w:pPr>
        <w:pStyle w:val="RTOWorksBullet1"/>
        <w:numPr>
          <w:ilvl w:val="0"/>
          <w:numId w:val="1"/>
        </w:numPr>
        <w:rPr/>
      </w:pPr>
      <w:r>
        <w:rPr/>
        <w:t>Respect</w:t>
      </w:r>
    </w:p>
    <w:p>
      <w:pPr>
        <w:pStyle w:val="RTOWorksBullet1"/>
        <w:numPr>
          <w:ilvl w:val="0"/>
          <w:numId w:val="1"/>
        </w:numPr>
        <w:rPr/>
      </w:pPr>
      <w:bookmarkStart w:id="1" w:name="_Hlk25484174"/>
      <w:r>
        <w:rPr/>
        <w:t>Honesty and reliability</w:t>
      </w:r>
      <w:bookmarkEnd w:id="1"/>
    </w:p>
    <w:p>
      <w:pPr>
        <w:pStyle w:val="RTOWorksHeading3"/>
        <w:rPr/>
      </w:pPr>
      <w:r>
        <w:rPr/>
        <w:t>Our policies:</w:t>
      </w:r>
    </w:p>
    <w:p>
      <w:pPr>
        <w:pStyle w:val="RTOWorksBodyText"/>
        <w:rPr/>
      </w:pPr>
      <w:r>
        <w:rPr/>
        <w:t>In order to meet our core values, we have policies in these areas:</w:t>
      </w:r>
    </w:p>
    <w:p>
      <w:pPr>
        <w:pStyle w:val="RTOWorksBullet1"/>
        <w:numPr>
          <w:ilvl w:val="0"/>
          <w:numId w:val="1"/>
        </w:numPr>
        <w:rPr/>
      </w:pPr>
      <w:r>
        <w:rPr/>
        <w:t xml:space="preserve">Quality control </w:t>
      </w:r>
    </w:p>
    <w:p>
      <w:pPr>
        <w:pStyle w:val="RTOWorksBullet1"/>
        <w:numPr>
          <w:ilvl w:val="0"/>
          <w:numId w:val="1"/>
        </w:numPr>
        <w:rPr/>
      </w:pPr>
      <w:r>
        <w:rPr/>
        <w:t>High-quality and timely customer service</w:t>
      </w:r>
    </w:p>
    <w:p>
      <w:pPr>
        <w:pStyle w:val="RTOWorksBullet1"/>
        <w:numPr>
          <w:ilvl w:val="0"/>
          <w:numId w:val="1"/>
        </w:numPr>
        <w:rPr/>
      </w:pPr>
      <w:r>
        <w:rPr/>
        <w:t xml:space="preserve">Continuous improvement </w:t>
      </w:r>
    </w:p>
    <w:p>
      <w:pPr>
        <w:pStyle w:val="RTOWorksBullet1"/>
        <w:numPr>
          <w:ilvl w:val="0"/>
          <w:numId w:val="1"/>
        </w:numPr>
        <w:rPr/>
      </w:pPr>
      <w:r>
        <w:rPr/>
        <w:t xml:space="preserve">Customer complaints and feedback </w:t>
      </w:r>
    </w:p>
    <w:p>
      <w:pPr>
        <w:pStyle w:val="RTOWorksBullet1"/>
        <w:numPr>
          <w:ilvl w:val="0"/>
          <w:numId w:val="1"/>
        </w:numPr>
        <w:rPr/>
      </w:pPr>
      <w:r>
        <w:rPr/>
        <w:t>Respectful, sensitive and transparent work practices</w:t>
      </w:r>
    </w:p>
    <w:p>
      <w:pPr>
        <w:pStyle w:val="RTOWorksBullet1"/>
        <w:numPr>
          <w:ilvl w:val="0"/>
          <w:numId w:val="1"/>
        </w:numPr>
        <w:rPr/>
      </w:pPr>
      <w:r>
        <w:rPr/>
        <w:t>Work health and safety, to protect our staff and our customers</w:t>
      </w:r>
    </w:p>
    <w:p>
      <w:pPr>
        <w:pStyle w:val="RTOWorksBullet1"/>
        <w:numPr>
          <w:ilvl w:val="0"/>
          <w:numId w:val="1"/>
        </w:numPr>
        <w:rPr/>
      </w:pPr>
      <w:r>
        <w:rPr/>
        <w:t xml:space="preserve">Compliance against relevant Australian Standards, state and federal legislation and regulations </w:t>
      </w:r>
    </w:p>
    <w:p>
      <w:pPr>
        <w:pStyle w:val="RTOWorksHeading3"/>
        <w:rPr/>
      </w:pPr>
      <w:r>
        <w:rPr/>
        <w:t>Strategic Goals</w:t>
      </w:r>
      <w:bookmarkStart w:id="2" w:name="OLE_LINK2"/>
      <w:bookmarkStart w:id="3" w:name="OLE_LINK1"/>
    </w:p>
    <w:p>
      <w:pPr>
        <w:pStyle w:val="RTOWorksBodyText"/>
        <w:rPr>
          <w:b/>
          <w:bCs/>
        </w:rPr>
      </w:pPr>
      <w:r>
        <w:rPr>
          <w:b/>
          <w:bCs/>
        </w:rPr>
        <w:t xml:space="preserve">To be well led, high performing, profitable and accountable </w:t>
      </w:r>
    </w:p>
    <w:p>
      <w:pPr>
        <w:pStyle w:val="RTOWorksBullet1"/>
        <w:numPr>
          <w:ilvl w:val="0"/>
          <w:numId w:val="1"/>
        </w:numPr>
        <w:rPr/>
      </w:pPr>
      <w:r>
        <w:rPr/>
        <w:t>Ensure that all financial operations, performance indicators and results support the strategic policies</w:t>
      </w:r>
    </w:p>
    <w:p>
      <w:pPr>
        <w:pStyle w:val="RTOWorksBullet1"/>
        <w:numPr>
          <w:ilvl w:val="0"/>
          <w:numId w:val="1"/>
        </w:numPr>
        <w:rPr/>
      </w:pPr>
      <w:r>
        <w:rPr/>
        <w:t>Identify new and expand existing sources of revenue</w:t>
      </w:r>
    </w:p>
    <w:p>
      <w:pPr>
        <w:pStyle w:val="RTOWorksBullet1"/>
        <w:numPr>
          <w:ilvl w:val="0"/>
          <w:numId w:val="1"/>
        </w:numPr>
        <w:rPr/>
      </w:pPr>
      <w:r>
        <w:rPr/>
        <w:t>Achieve profits of at least 10% per annum</w:t>
      </w:r>
    </w:p>
    <w:p>
      <w:pPr>
        <w:pStyle w:val="RTOWorksBullet1"/>
        <w:numPr>
          <w:ilvl w:val="0"/>
          <w:numId w:val="1"/>
        </w:numPr>
        <w:rPr/>
      </w:pPr>
      <w:r>
        <w:rPr/>
        <w:t>Increase sales of homes in current Sydney market by 10% per annum over the next three years</w:t>
      </w:r>
    </w:p>
    <w:p>
      <w:pPr>
        <w:pStyle w:val="RTOWorksBullet1"/>
        <w:numPr>
          <w:ilvl w:val="0"/>
          <w:numId w:val="1"/>
        </w:numPr>
        <w:rPr/>
      </w:pPr>
      <w:r>
        <w:rPr/>
        <w:t>Establish a presence in Queensland and build at least 100 new homes in Brisbane and its surrounding areas during the period of the Strategic Plan, beginning 2020</w:t>
      </w:r>
    </w:p>
    <w:p>
      <w:pPr>
        <w:pStyle w:val="RTOWorksBullet1"/>
        <w:numPr>
          <w:ilvl w:val="0"/>
          <w:numId w:val="1"/>
        </w:numPr>
        <w:rPr/>
      </w:pPr>
      <w:r>
        <w:rPr/>
        <w:t xml:space="preserve">Plan expansion into other Australian states and territories during the second half of 2021. </w:t>
      </w:r>
      <w:bookmarkEnd w:id="2"/>
      <w:bookmarkEnd w:id="3"/>
    </w:p>
    <w:p>
      <w:pPr>
        <w:pStyle w:val="RTOWorksBodyText"/>
        <w:spacing w:before="240" w:after="120"/>
        <w:rPr>
          <w:b/>
          <w:bCs/>
        </w:rPr>
      </w:pPr>
      <w:r>
        <w:rPr>
          <w:b/>
          <w:bCs/>
        </w:rPr>
        <w:t xml:space="preserve">Set up and operate a permanent model home </w:t>
      </w:r>
    </w:p>
    <w:p>
      <w:pPr>
        <w:pStyle w:val="RTOWorksBullet1"/>
        <w:numPr>
          <w:ilvl w:val="0"/>
          <w:numId w:val="1"/>
        </w:numPr>
        <w:rPr/>
      </w:pPr>
      <w:r>
        <w:rPr/>
        <w:t>Give potential customers the experience of being in a high-quality home</w:t>
      </w:r>
    </w:p>
    <w:p>
      <w:pPr>
        <w:pStyle w:val="RTOWorksBullet1"/>
        <w:numPr>
          <w:ilvl w:val="0"/>
          <w:numId w:val="1"/>
        </w:numPr>
        <w:rPr/>
      </w:pPr>
      <w:r>
        <w:rPr/>
        <w:t>Demonstrate new environmentally friendly building techniques</w:t>
      </w:r>
    </w:p>
    <w:p>
      <w:pPr>
        <w:pStyle w:val="RTOWorksBullet1"/>
        <w:numPr>
          <w:ilvl w:val="0"/>
          <w:numId w:val="1"/>
        </w:numPr>
        <w:rPr/>
      </w:pPr>
      <w:r>
        <w:rPr/>
        <w:t>Provide a point of reference for customers</w:t>
      </w:r>
    </w:p>
    <w:p>
      <w:pPr>
        <w:pStyle w:val="RTOWorksBullet1"/>
        <w:numPr>
          <w:ilvl w:val="0"/>
          <w:numId w:val="1"/>
        </w:numPr>
        <w:rPr/>
      </w:pPr>
      <w:r>
        <w:rPr/>
        <w:t>Improve brand recognition.</w:t>
      </w:r>
    </w:p>
    <w:p>
      <w:pPr>
        <w:pStyle w:val="RTOWorksBodyText"/>
        <w:spacing w:before="240" w:after="120"/>
        <w:rPr>
          <w:b/>
          <w:bCs/>
        </w:rPr>
      </w:pPr>
      <w:r>
        <w:rPr>
          <w:b/>
          <w:bCs/>
        </w:rPr>
        <w:t>Attract, engage and develop the best staff</w:t>
      </w:r>
    </w:p>
    <w:p>
      <w:pPr>
        <w:pStyle w:val="RTOWorksBullet1"/>
        <w:numPr>
          <w:ilvl w:val="0"/>
          <w:numId w:val="1"/>
        </w:numPr>
        <w:rPr/>
      </w:pPr>
      <w:r>
        <w:rPr/>
        <w:t>Continuing the drive to a customer centred, high performance workforce and culture</w:t>
      </w:r>
    </w:p>
    <w:p>
      <w:pPr>
        <w:pStyle w:val="RTOWorksBullet1"/>
        <w:numPr>
          <w:ilvl w:val="0"/>
          <w:numId w:val="1"/>
        </w:numPr>
        <w:rPr/>
      </w:pPr>
      <w:r>
        <w:rPr/>
        <w:t>Strengthening the skills of our people, to better support customer needs</w:t>
      </w:r>
    </w:p>
    <w:p>
      <w:pPr>
        <w:pStyle w:val="RTOWorksBullet1"/>
        <w:numPr>
          <w:ilvl w:val="0"/>
          <w:numId w:val="1"/>
        </w:numPr>
        <w:rPr/>
      </w:pPr>
      <w:r>
        <w:rPr/>
        <w:t>Continuing to enhance the diversity of our workforce.</w:t>
      </w:r>
    </w:p>
    <w:p>
      <w:pPr>
        <w:pStyle w:val="RTOWorksHeading3"/>
        <w:rPr/>
      </w:pPr>
      <w:r>
        <w:rPr/>
        <w:t>Situation Analysis</w:t>
      </w:r>
    </w:p>
    <w:tbl>
      <w:tblPr>
        <w:tblStyle w:val="TableGrid"/>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27"/>
        <w:gridCol w:w="4526"/>
      </w:tblGrid>
      <w:tr>
        <w:trPr/>
        <w:tc>
          <w:tcPr>
            <w:tcW w:w="4527" w:type="dxa"/>
            <w:tcBorders>
              <w:top w:val="single" w:sz="4" w:space="0" w:color="DEEAF6"/>
              <w:left w:val="single" w:sz="4" w:space="0" w:color="DEEAF6"/>
              <w:bottom w:val="single" w:sz="4" w:space="0" w:color="DEEAF6"/>
              <w:right w:val="single" w:sz="4" w:space="0" w:color="FFFFFF"/>
            </w:tcBorders>
            <w:shd w:color="auto" w:fill="DEEAF6" w:val="clear"/>
            <w:vAlign w:val="center"/>
          </w:tcPr>
          <w:p>
            <w:pPr>
              <w:pStyle w:val="RTOWorksBodyText"/>
              <w:widowControl/>
              <w:suppressAutoHyphens w:val="true"/>
              <w:spacing w:before="120" w:after="120"/>
              <w:jc w:val="left"/>
              <w:rPr>
                <w:lang w:val="en-AU"/>
              </w:rPr>
            </w:pPr>
            <w:r>
              <w:rPr>
                <w:rFonts w:eastAsia=""/>
                <w:b/>
                <w:color w:val="000000"/>
                <w:kern w:val="0"/>
                <w:sz w:val="22"/>
                <w:szCs w:val="22"/>
                <w:lang w:val="en-AU" w:eastAsia="en-US" w:bidi="ar-SA"/>
              </w:rPr>
              <w:t>Strengths</w:t>
            </w:r>
          </w:p>
        </w:tc>
        <w:tc>
          <w:tcPr>
            <w:tcW w:w="4526" w:type="dxa"/>
            <w:tcBorders>
              <w:top w:val="single" w:sz="4" w:space="0" w:color="DEEAF6"/>
              <w:left w:val="single" w:sz="4" w:space="0" w:color="FFFFFF"/>
              <w:bottom w:val="single" w:sz="4" w:space="0" w:color="DEEAF6"/>
              <w:right w:val="single" w:sz="4" w:space="0" w:color="DEEAF6"/>
            </w:tcBorders>
            <w:shd w:color="auto" w:fill="DEEAF6" w:val="clear"/>
            <w:vAlign w:val="center"/>
          </w:tcPr>
          <w:p>
            <w:pPr>
              <w:pStyle w:val="RTOWorksBodyText"/>
              <w:widowControl/>
              <w:suppressAutoHyphens w:val="true"/>
              <w:spacing w:before="120" w:after="120"/>
              <w:jc w:val="left"/>
              <w:rPr>
                <w:lang w:val="en-AU"/>
              </w:rPr>
            </w:pPr>
            <w:r>
              <w:rPr>
                <w:rFonts w:eastAsia=""/>
                <w:b/>
                <w:color w:val="000000"/>
                <w:kern w:val="0"/>
                <w:sz w:val="22"/>
                <w:szCs w:val="22"/>
                <w:lang w:val="en-AU" w:eastAsia="en-US" w:bidi="ar-SA"/>
              </w:rPr>
              <w:t>Weaknesses</w:t>
            </w:r>
          </w:p>
        </w:tc>
      </w:tr>
      <w:tr>
        <w:trPr/>
        <w:tc>
          <w:tcPr>
            <w:tcW w:w="4527"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before="120" w:after="120"/>
              <w:jc w:val="left"/>
              <w:rPr>
                <w:lang w:val="en-AU"/>
              </w:rPr>
            </w:pPr>
            <w:r>
              <w:rPr>
                <w:rFonts w:eastAsia=""/>
                <w:kern w:val="0"/>
                <w:lang w:val="en-AU" w:eastAsia="en-US" w:bidi="ar-SA"/>
              </w:rPr>
              <w:t>Value and quality</w:t>
            </w:r>
          </w:p>
          <w:p>
            <w:pPr>
              <w:pStyle w:val="RTOWorksBullet1"/>
              <w:widowControl/>
              <w:numPr>
                <w:ilvl w:val="0"/>
                <w:numId w:val="1"/>
              </w:numPr>
              <w:suppressAutoHyphens w:val="true"/>
              <w:jc w:val="left"/>
              <w:rPr>
                <w:lang w:val="en-AU"/>
              </w:rPr>
            </w:pPr>
            <w:r>
              <w:rPr>
                <w:rFonts w:eastAsia=""/>
                <w:kern w:val="0"/>
                <w:lang w:val="en-AU" w:eastAsia="en-US" w:bidi="ar-SA"/>
              </w:rPr>
              <w:t>Strong management</w:t>
            </w:r>
          </w:p>
          <w:p>
            <w:pPr>
              <w:pStyle w:val="RTOWorksBullet1"/>
              <w:widowControl/>
              <w:numPr>
                <w:ilvl w:val="0"/>
                <w:numId w:val="1"/>
              </w:numPr>
              <w:suppressAutoHyphens w:val="true"/>
              <w:jc w:val="left"/>
              <w:rPr>
                <w:lang w:val="en-AU"/>
              </w:rPr>
            </w:pPr>
            <w:r>
              <w:rPr>
                <w:rFonts w:eastAsia=""/>
                <w:kern w:val="0"/>
                <w:lang w:val="en-AU" w:eastAsia="en-US" w:bidi="ar-SA"/>
              </w:rPr>
              <w:t>Customer loyalty</w:t>
            </w:r>
          </w:p>
          <w:p>
            <w:pPr>
              <w:pStyle w:val="RTOWorksBullet1"/>
              <w:widowControl/>
              <w:numPr>
                <w:ilvl w:val="0"/>
                <w:numId w:val="1"/>
              </w:numPr>
              <w:suppressAutoHyphens w:val="true"/>
              <w:jc w:val="left"/>
              <w:rPr>
                <w:lang w:val="en-AU"/>
              </w:rPr>
            </w:pPr>
            <w:r>
              <w:rPr>
                <w:rFonts w:eastAsia=""/>
                <w:kern w:val="0"/>
                <w:lang w:val="en-AU" w:eastAsia="en-US" w:bidi="ar-SA"/>
              </w:rPr>
              <w:t>Friendly organisational culture</w:t>
            </w:r>
          </w:p>
          <w:p>
            <w:pPr>
              <w:pStyle w:val="RTOWorksBullet1"/>
              <w:widowControl/>
              <w:numPr>
                <w:ilvl w:val="0"/>
                <w:numId w:val="1"/>
              </w:numPr>
              <w:suppressAutoHyphens w:val="true"/>
              <w:spacing w:before="120" w:after="120"/>
              <w:jc w:val="left"/>
              <w:rPr>
                <w:lang w:val="en-AU"/>
              </w:rPr>
            </w:pPr>
            <w:r>
              <w:rPr>
                <w:rFonts w:eastAsia=""/>
                <w:kern w:val="0"/>
                <w:lang w:val="en-AU" w:eastAsia="en-US" w:bidi="ar-SA"/>
              </w:rPr>
              <w:t>Level of available finance for investment</w:t>
            </w:r>
          </w:p>
        </w:tc>
        <w:tc>
          <w:tcPr>
            <w:tcW w:w="452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before="120" w:after="120"/>
              <w:jc w:val="left"/>
              <w:rPr>
                <w:lang w:val="en-AU"/>
              </w:rPr>
            </w:pPr>
            <w:r>
              <w:rPr>
                <w:rFonts w:eastAsia=""/>
                <w:kern w:val="0"/>
                <w:lang w:val="en-AU" w:eastAsia="en-US" w:bidi="ar-SA"/>
              </w:rPr>
              <w:t>Focus on Sydney market only</w:t>
            </w:r>
          </w:p>
          <w:p>
            <w:pPr>
              <w:pStyle w:val="RTOWorksBullet1"/>
              <w:widowControl/>
              <w:numPr>
                <w:ilvl w:val="0"/>
                <w:numId w:val="1"/>
              </w:numPr>
              <w:suppressAutoHyphens w:val="true"/>
              <w:jc w:val="left"/>
              <w:rPr>
                <w:lang w:val="en-AU"/>
              </w:rPr>
            </w:pPr>
            <w:r>
              <w:rPr>
                <w:rFonts w:eastAsia=""/>
                <w:kern w:val="0"/>
                <w:lang w:val="en-AU" w:eastAsia="en-US" w:bidi="ar-SA"/>
              </w:rPr>
              <w:t>Brand name not developed as yet</w:t>
            </w:r>
          </w:p>
          <w:p>
            <w:pPr>
              <w:pStyle w:val="RTOWorksBullet1"/>
              <w:widowControl/>
              <w:numPr>
                <w:ilvl w:val="0"/>
                <w:numId w:val="1"/>
              </w:numPr>
              <w:suppressAutoHyphens w:val="true"/>
              <w:jc w:val="left"/>
              <w:rPr>
                <w:lang w:val="en-AU"/>
              </w:rPr>
            </w:pPr>
            <w:r>
              <w:rPr>
                <w:rFonts w:eastAsia=""/>
                <w:kern w:val="0"/>
                <w:lang w:val="en-AU" w:eastAsia="en-US" w:bidi="ar-SA"/>
              </w:rPr>
              <w:t>High turnover of casual workforce</w:t>
            </w:r>
          </w:p>
          <w:p>
            <w:pPr>
              <w:pStyle w:val="RTOWorksBullet1"/>
              <w:widowControl/>
              <w:numPr>
                <w:ilvl w:val="0"/>
                <w:numId w:val="1"/>
              </w:numPr>
              <w:suppressAutoHyphens w:val="true"/>
              <w:jc w:val="left"/>
              <w:rPr>
                <w:lang w:val="en-AU"/>
              </w:rPr>
            </w:pPr>
            <w:r>
              <w:rPr>
                <w:rFonts w:eastAsia=""/>
                <w:kern w:val="0"/>
                <w:lang w:val="en-AU" w:eastAsia="en-US" w:bidi="ar-SA"/>
              </w:rPr>
              <w:t>Poor IT infrastructure</w:t>
            </w:r>
          </w:p>
          <w:p>
            <w:pPr>
              <w:pStyle w:val="RTOWorksBullet1"/>
              <w:widowControl/>
              <w:numPr>
                <w:ilvl w:val="0"/>
                <w:numId w:val="1"/>
              </w:numPr>
              <w:suppressAutoHyphens w:val="true"/>
              <w:spacing w:before="120" w:after="120"/>
              <w:jc w:val="left"/>
              <w:rPr>
                <w:lang w:val="en-AU"/>
              </w:rPr>
            </w:pPr>
            <w:r>
              <w:rPr>
                <w:rFonts w:eastAsia=""/>
                <w:kern w:val="0"/>
                <w:lang w:val="en-AU" w:eastAsia="en-US" w:bidi="ar-SA"/>
              </w:rPr>
              <w:t>Lack of diversity in workforce</w:t>
            </w:r>
          </w:p>
        </w:tc>
      </w:tr>
      <w:tr>
        <w:trPr/>
        <w:tc>
          <w:tcPr>
            <w:tcW w:w="4527" w:type="dxa"/>
            <w:tcBorders>
              <w:top w:val="single" w:sz="4" w:space="0" w:color="DEEAF6"/>
              <w:left w:val="single" w:sz="4" w:space="0" w:color="DEEAF6"/>
              <w:bottom w:val="single" w:sz="4" w:space="0" w:color="DEEAF6"/>
              <w:right w:val="single" w:sz="4" w:space="0" w:color="FFFFFF"/>
            </w:tcBorders>
            <w:shd w:color="auto" w:fill="DEEAF6" w:val="clear"/>
            <w:vAlign w:val="center"/>
          </w:tcPr>
          <w:p>
            <w:pPr>
              <w:pStyle w:val="RTOWorksBodyText"/>
              <w:widowControl/>
              <w:suppressAutoHyphens w:val="true"/>
              <w:spacing w:before="120" w:after="120"/>
              <w:jc w:val="left"/>
              <w:rPr>
                <w:lang w:val="en-AU"/>
              </w:rPr>
            </w:pPr>
            <w:r>
              <w:rPr>
                <w:rFonts w:eastAsia=""/>
                <w:b/>
                <w:color w:val="000000"/>
                <w:kern w:val="0"/>
                <w:sz w:val="22"/>
                <w:szCs w:val="22"/>
                <w:lang w:val="en-AU" w:eastAsia="en-US" w:bidi="ar-SA"/>
              </w:rPr>
              <w:t>Opportunities</w:t>
            </w:r>
          </w:p>
        </w:tc>
        <w:tc>
          <w:tcPr>
            <w:tcW w:w="4526" w:type="dxa"/>
            <w:tcBorders>
              <w:top w:val="single" w:sz="4" w:space="0" w:color="DEEAF6"/>
              <w:left w:val="single" w:sz="4" w:space="0" w:color="FFFFFF"/>
              <w:bottom w:val="single" w:sz="4" w:space="0" w:color="DEEAF6"/>
              <w:right w:val="single" w:sz="4" w:space="0" w:color="DEEAF6"/>
            </w:tcBorders>
            <w:shd w:color="auto" w:fill="DEEAF6" w:val="clear"/>
            <w:vAlign w:val="center"/>
          </w:tcPr>
          <w:p>
            <w:pPr>
              <w:pStyle w:val="RTOWorksBodyText"/>
              <w:widowControl/>
              <w:suppressAutoHyphens w:val="true"/>
              <w:spacing w:before="120" w:after="120"/>
              <w:jc w:val="left"/>
              <w:rPr>
                <w:lang w:val="en-AU"/>
              </w:rPr>
            </w:pPr>
            <w:r>
              <w:rPr>
                <w:rFonts w:eastAsia=""/>
                <w:b/>
                <w:color w:val="000000"/>
                <w:kern w:val="0"/>
                <w:sz w:val="22"/>
                <w:szCs w:val="22"/>
                <w:lang w:val="en-AU" w:eastAsia="en-US" w:bidi="ar-SA"/>
              </w:rPr>
              <w:t>Threats</w:t>
            </w:r>
          </w:p>
        </w:tc>
      </w:tr>
      <w:tr>
        <w:trPr/>
        <w:tc>
          <w:tcPr>
            <w:tcW w:w="4527"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before="120" w:after="120"/>
              <w:jc w:val="left"/>
              <w:rPr>
                <w:lang w:val="en-AU"/>
              </w:rPr>
            </w:pPr>
            <w:r>
              <w:rPr>
                <w:rFonts w:eastAsia=""/>
                <w:kern w:val="0"/>
                <w:lang w:val="en-AU" w:eastAsia="en-US" w:bidi="ar-SA"/>
              </w:rPr>
              <w:t>Housing sector experiencing growth</w:t>
            </w:r>
          </w:p>
          <w:p>
            <w:pPr>
              <w:pStyle w:val="RTOWorksBullet1"/>
              <w:widowControl/>
              <w:numPr>
                <w:ilvl w:val="0"/>
                <w:numId w:val="1"/>
              </w:numPr>
              <w:suppressAutoHyphens w:val="true"/>
              <w:jc w:val="left"/>
              <w:rPr>
                <w:lang w:val="en-AU"/>
              </w:rPr>
            </w:pPr>
            <w:r>
              <w:rPr>
                <w:rFonts w:eastAsia=""/>
                <w:kern w:val="0"/>
                <w:lang w:val="en-AU" w:eastAsia="en-US" w:bidi="ar-SA"/>
              </w:rPr>
              <w:t>Potential for growth in Brisbane and Sunshine Coast market</w:t>
            </w:r>
          </w:p>
          <w:p>
            <w:pPr>
              <w:pStyle w:val="RTOWorksBullet1"/>
              <w:widowControl/>
              <w:numPr>
                <w:ilvl w:val="0"/>
                <w:numId w:val="1"/>
              </w:numPr>
              <w:suppressAutoHyphens w:val="true"/>
              <w:jc w:val="left"/>
              <w:rPr>
                <w:lang w:val="en-AU"/>
              </w:rPr>
            </w:pPr>
            <w:r>
              <w:rPr>
                <w:rFonts w:eastAsia=""/>
                <w:kern w:val="0"/>
                <w:lang w:val="en-AU" w:eastAsia="en-US" w:bidi="ar-SA"/>
              </w:rPr>
              <w:t>Innovation in environmental housing</w:t>
            </w:r>
          </w:p>
          <w:p>
            <w:pPr>
              <w:pStyle w:val="RTOWorksBullet1"/>
              <w:widowControl/>
              <w:numPr>
                <w:ilvl w:val="0"/>
                <w:numId w:val="1"/>
              </w:numPr>
              <w:suppressAutoHyphens w:val="true"/>
              <w:spacing w:before="120" w:after="120"/>
              <w:jc w:val="left"/>
              <w:rPr>
                <w:lang w:val="en-AU"/>
              </w:rPr>
            </w:pPr>
            <w:r>
              <w:rPr>
                <w:rFonts w:eastAsia=""/>
                <w:kern w:val="0"/>
                <w:lang w:val="en-AU" w:eastAsia="en-US" w:bidi="ar-SA"/>
              </w:rPr>
              <w:t>Many advertising channels unexplored</w:t>
            </w:r>
          </w:p>
        </w:tc>
        <w:tc>
          <w:tcPr>
            <w:tcW w:w="4526" w:type="dxa"/>
            <w:tcBorders>
              <w:top w:val="single" w:sz="4" w:space="0" w:color="DEEAF6"/>
              <w:left w:val="single" w:sz="4" w:space="0" w:color="DEEAF6"/>
              <w:bottom w:val="single" w:sz="4" w:space="0" w:color="DEEAF6"/>
              <w:right w:val="single" w:sz="4" w:space="0" w:color="DEEAF6"/>
            </w:tcBorders>
          </w:tcPr>
          <w:p>
            <w:pPr>
              <w:pStyle w:val="RTOWorksBullet1"/>
              <w:widowControl/>
              <w:numPr>
                <w:ilvl w:val="0"/>
                <w:numId w:val="1"/>
              </w:numPr>
              <w:suppressAutoHyphens w:val="true"/>
              <w:spacing w:before="120" w:after="120"/>
              <w:jc w:val="left"/>
              <w:rPr>
                <w:lang w:val="en-AU"/>
              </w:rPr>
            </w:pPr>
            <w:r>
              <w:rPr>
                <w:rFonts w:eastAsia=""/>
                <w:kern w:val="0"/>
                <w:lang w:val="en-AU" w:eastAsia="en-US" w:bidi="ar-SA"/>
              </w:rPr>
              <w:t>Environmental effects</w:t>
            </w:r>
          </w:p>
          <w:p>
            <w:pPr>
              <w:pStyle w:val="RTOWorksBullet1"/>
              <w:widowControl/>
              <w:numPr>
                <w:ilvl w:val="0"/>
                <w:numId w:val="1"/>
              </w:numPr>
              <w:suppressAutoHyphens w:val="true"/>
              <w:jc w:val="left"/>
              <w:rPr>
                <w:lang w:val="en-AU"/>
              </w:rPr>
            </w:pPr>
            <w:r>
              <w:rPr>
                <w:rFonts w:eastAsia=""/>
                <w:kern w:val="0"/>
                <w:lang w:val="en-AU" w:eastAsia="en-US" w:bidi="ar-SA"/>
              </w:rPr>
              <w:t>Changes in Industry/ Government legislation affecting construction industry</w:t>
            </w:r>
          </w:p>
          <w:p>
            <w:pPr>
              <w:pStyle w:val="RTOWorksBullet1"/>
              <w:widowControl/>
              <w:numPr>
                <w:ilvl w:val="0"/>
                <w:numId w:val="1"/>
              </w:numPr>
              <w:suppressAutoHyphens w:val="true"/>
              <w:jc w:val="left"/>
              <w:rPr>
                <w:lang w:val="en-AU"/>
              </w:rPr>
            </w:pPr>
            <w:r>
              <w:rPr>
                <w:rFonts w:eastAsia=""/>
                <w:kern w:val="0"/>
                <w:lang w:val="en-AU" w:eastAsia="en-US" w:bidi="ar-SA"/>
              </w:rPr>
              <w:t>Possible adverse effects of government policy formulation</w:t>
            </w:r>
          </w:p>
          <w:p>
            <w:pPr>
              <w:pStyle w:val="RTOWorksBullet1"/>
              <w:widowControl/>
              <w:numPr>
                <w:ilvl w:val="0"/>
                <w:numId w:val="1"/>
              </w:numPr>
              <w:suppressAutoHyphens w:val="true"/>
              <w:jc w:val="left"/>
              <w:rPr>
                <w:lang w:val="en-AU"/>
              </w:rPr>
            </w:pPr>
            <w:r>
              <w:rPr>
                <w:rFonts w:eastAsia=""/>
                <w:kern w:val="0"/>
                <w:lang w:val="en-AU" w:eastAsia="en-US" w:bidi="ar-SA"/>
              </w:rPr>
              <w:t>High level of competition</w:t>
            </w:r>
          </w:p>
          <w:p>
            <w:pPr>
              <w:pStyle w:val="RTOWorksBullet1"/>
              <w:widowControl/>
              <w:numPr>
                <w:ilvl w:val="0"/>
                <w:numId w:val="1"/>
              </w:numPr>
              <w:suppressAutoHyphens w:val="true"/>
              <w:jc w:val="left"/>
              <w:rPr>
                <w:lang w:val="en-AU"/>
              </w:rPr>
            </w:pPr>
            <w:r>
              <w:rPr>
                <w:rFonts w:eastAsia=""/>
                <w:kern w:val="0"/>
                <w:lang w:val="en-AU" w:eastAsia="en-US" w:bidi="ar-SA"/>
              </w:rPr>
              <w:t>Predicted uncertainties in the world economy impacting level of demand for housing</w:t>
            </w:r>
          </w:p>
          <w:p>
            <w:pPr>
              <w:pStyle w:val="RTOWorksBullet1"/>
              <w:widowControl/>
              <w:numPr>
                <w:ilvl w:val="0"/>
                <w:numId w:val="1"/>
              </w:numPr>
              <w:suppressAutoHyphens w:val="true"/>
              <w:jc w:val="left"/>
              <w:rPr>
                <w:lang w:val="en-AU"/>
              </w:rPr>
            </w:pPr>
            <w:r>
              <w:rPr>
                <w:rFonts w:eastAsia=""/>
                <w:kern w:val="0"/>
                <w:lang w:val="en-AU" w:eastAsia="en-US" w:bidi="ar-SA"/>
              </w:rPr>
              <w:t>Low price competitors</w:t>
            </w:r>
          </w:p>
          <w:p>
            <w:pPr>
              <w:pStyle w:val="RTOWorksBullet1"/>
              <w:widowControl/>
              <w:numPr>
                <w:ilvl w:val="0"/>
                <w:numId w:val="1"/>
              </w:numPr>
              <w:suppressAutoHyphens w:val="true"/>
              <w:spacing w:before="120" w:after="120"/>
              <w:jc w:val="left"/>
              <w:rPr>
                <w:lang w:val="en-AU"/>
              </w:rPr>
            </w:pPr>
            <w:r>
              <w:rPr>
                <w:rFonts w:eastAsia=""/>
                <w:kern w:val="0"/>
                <w:lang w:val="en-AU" w:eastAsia="en-US" w:bidi="ar-SA"/>
              </w:rPr>
              <w:t>Failing to satisfy client demands</w:t>
            </w:r>
          </w:p>
        </w:tc>
      </w:tr>
    </w:tbl>
    <w:p>
      <w:pPr>
        <w:pStyle w:val="RTOWorksHeading3"/>
        <w:rPr/>
      </w:pPr>
      <w:r>
        <w:rPr/>
        <w:t>Marketing Strategies</w:t>
      </w:r>
    </w:p>
    <w:p>
      <w:pPr>
        <w:pStyle w:val="RTOWorksBodyText"/>
        <w:rPr/>
      </w:pPr>
      <w:r>
        <w:rPr/>
        <w:t>Our marketing strategies aim to:</w:t>
      </w:r>
    </w:p>
    <w:p>
      <w:pPr>
        <w:pStyle w:val="RTOWorksBullet1"/>
        <w:numPr>
          <w:ilvl w:val="0"/>
          <w:numId w:val="1"/>
        </w:numPr>
        <w:rPr/>
      </w:pPr>
      <w:r>
        <w:rPr/>
        <w:t>build trust</w:t>
      </w:r>
    </w:p>
    <w:p>
      <w:pPr>
        <w:pStyle w:val="RTOWorksBullet1"/>
        <w:numPr>
          <w:ilvl w:val="0"/>
          <w:numId w:val="1"/>
        </w:numPr>
        <w:rPr/>
      </w:pPr>
      <w:r>
        <w:rPr/>
        <w:t>generate leads now and convert those leads quickly</w:t>
      </w:r>
    </w:p>
    <w:p>
      <w:pPr>
        <w:pStyle w:val="RTOWorksBullet1"/>
        <w:numPr>
          <w:ilvl w:val="0"/>
          <w:numId w:val="1"/>
        </w:numPr>
        <w:rPr/>
      </w:pPr>
      <w:r>
        <w:rPr/>
        <w:t>demonstrate our commitment to deeper customer engagement.</w:t>
      </w:r>
    </w:p>
    <w:p>
      <w:pPr>
        <w:pStyle w:val="RTOWorksBodyText"/>
        <w:spacing w:before="240" w:after="120"/>
        <w:rPr/>
      </w:pPr>
      <w:r>
        <w:rPr/>
        <w:t>We plan to develop our market share by:</w:t>
      </w:r>
    </w:p>
    <w:p>
      <w:pPr>
        <w:pStyle w:val="RTOWorksBullet1"/>
        <w:numPr>
          <w:ilvl w:val="0"/>
          <w:numId w:val="1"/>
        </w:numPr>
        <w:rPr/>
      </w:pPr>
      <w:r>
        <w:rPr/>
        <w:t xml:space="preserve">Improving our marketing and advertising </w:t>
      </w:r>
    </w:p>
    <w:p>
      <w:pPr>
        <w:pStyle w:val="RTOWorksBullet1"/>
        <w:numPr>
          <w:ilvl w:val="0"/>
          <w:numId w:val="1"/>
        </w:numPr>
        <w:rPr/>
      </w:pPr>
      <w:r>
        <w:rPr/>
        <w:t>Setting up a permanent model home near a popular shopping centre to increase interaction with potential customers.</w:t>
      </w:r>
    </w:p>
    <w:p>
      <w:pPr>
        <w:pStyle w:val="RTOWorksBullet1"/>
        <w:numPr>
          <w:ilvl w:val="0"/>
          <w:numId w:val="1"/>
        </w:numPr>
        <w:rPr/>
      </w:pPr>
      <w:r>
        <w:rPr/>
        <w:t xml:space="preserve">Placing brand recognition advertisements in the Sydney Domain Magazine </w:t>
      </w:r>
    </w:p>
    <w:p>
      <w:pPr>
        <w:pStyle w:val="RTOWorksBullet1"/>
        <w:numPr>
          <w:ilvl w:val="0"/>
          <w:numId w:val="1"/>
        </w:numPr>
        <w:rPr/>
      </w:pPr>
      <w:r>
        <w:rPr/>
        <w:t>Continually improving communication channels with all our stakeholders, ensuring a flow of timely and accurate information to facilitate effective planning and decision making</w:t>
      </w:r>
    </w:p>
    <w:p>
      <w:pPr>
        <w:pStyle w:val="RTOWorksBullet1"/>
        <w:numPr>
          <w:ilvl w:val="0"/>
          <w:numId w:val="1"/>
        </w:numPr>
        <w:rPr/>
      </w:pPr>
      <w:r>
        <w:rPr/>
        <w:t>Targeting identified growth markets with planned, market appropriate campaigns employing a variety of promotional strategies and advertising mediums</w:t>
      </w:r>
    </w:p>
    <w:p>
      <w:pPr>
        <w:pStyle w:val="RTOWorksBullet1"/>
        <w:numPr>
          <w:ilvl w:val="0"/>
          <w:numId w:val="1"/>
        </w:numPr>
        <w:rPr/>
      </w:pPr>
      <w:r>
        <w:rPr/>
        <w:t>Offering attractive fee structures to our clients</w:t>
      </w:r>
    </w:p>
    <w:p>
      <w:pPr>
        <w:pStyle w:val="RTOWorksBullet1"/>
        <w:numPr>
          <w:ilvl w:val="0"/>
          <w:numId w:val="1"/>
        </w:numPr>
        <w:rPr/>
      </w:pPr>
      <w:r>
        <w:rPr/>
        <w:t>Continually improving the skills, knowledge and effectiveness of Boutique Build Australia through our commitment to training and development</w:t>
      </w:r>
    </w:p>
    <w:p>
      <w:pPr>
        <w:pStyle w:val="RTOWorksBullet1"/>
        <w:numPr>
          <w:ilvl w:val="0"/>
          <w:numId w:val="1"/>
        </w:numPr>
        <w:rPr/>
      </w:pPr>
      <w:r>
        <w:rPr/>
        <w:t>Regularly reviewing the effectiveness of all our operations and making improvements when and where necessary.</w:t>
      </w:r>
    </w:p>
    <w:p>
      <w:pPr>
        <w:pStyle w:val="Normal"/>
        <w:spacing w:lineRule="auto" w:line="240" w:before="0" w:after="0"/>
        <w:rPr>
          <w:rFonts w:ascii="Gulim" w:hAnsi="Gulim" w:eastAsia="Gulim" w:cs="Arial"/>
          <w:b/>
          <w:bCs/>
          <w:color w:val="00667A"/>
          <w:spacing w:val="20"/>
          <w:sz w:val="28"/>
          <w:szCs w:val="28"/>
        </w:rPr>
      </w:pPr>
      <w:r>
        <w:rPr>
          <w:rFonts w:eastAsia="Gulim" w:cs="Arial" w:ascii="Gulim" w:hAnsi="Gulim"/>
          <w:b/>
          <w:bCs/>
          <w:color w:val="00667A"/>
          <w:spacing w:val="20"/>
          <w:sz w:val="28"/>
          <w:szCs w:val="28"/>
        </w:rPr>
      </w:r>
      <w:r>
        <w:br w:type="page"/>
      </w:r>
    </w:p>
    <w:p>
      <w:pPr>
        <w:pStyle w:val="RTOWorksHeading2"/>
        <w:spacing w:before="0" w:after="120"/>
        <w:rPr/>
      </w:pPr>
      <w:r>
        <w:rPr/>
        <w:t xml:space="preserve">Project management plan </w:t>
      </w:r>
    </w:p>
    <w:p>
      <w:pPr>
        <w:pStyle w:val="RTOWorksHeading3"/>
        <w:rPr/>
      </w:pPr>
      <w:r>
        <w:rPr/>
        <w:t xml:space="preserve">Project overview </w:t>
      </w:r>
    </w:p>
    <w:p>
      <w:pPr>
        <w:pStyle w:val="RTOWorksBodyText"/>
        <w:rPr>
          <w:i/>
          <w:i/>
          <w:iCs/>
          <w:color w:themeColor="text1" w:val="000000"/>
        </w:rPr>
      </w:pPr>
      <w:bookmarkStart w:id="4" w:name="_Hlk29640572"/>
      <w:r>
        <w:rPr>
          <w:i/>
          <w:iCs/>
          <w:color w:themeColor="text1" w:val="000000"/>
        </w:rPr>
        <w:t xml:space="preserve">Provide a brief explanation of the background of the project. </w:t>
      </w:r>
      <w:bookmarkEnd w:id="4"/>
    </w:p>
    <w:p>
      <w:pPr>
        <w:pStyle w:val="RTOWorksHeading3"/>
        <w:rPr/>
      </w:pPr>
      <w:r>
        <w:rPr/>
        <w:t>Project methodology</w:t>
      </w:r>
    </w:p>
    <w:p>
      <w:pPr>
        <w:pStyle w:val="RTOWorksBodyText"/>
        <w:rPr>
          <w:i/>
          <w:i/>
          <w:iCs/>
          <w:color w:themeColor="text1" w:val="FF0000"/>
          <w:sz w:val="22"/>
          <w:szCs w:val="22"/>
        </w:rPr>
      </w:pPr>
      <w:r>
        <w:rPr>
          <w:i/>
          <w:iCs/>
          <w:color w:themeColor="text1" w:val="000000"/>
        </w:rPr>
        <w:t>Provide a brief explanation of the project methodology chosen and rationale. Include reference to tailoring required.</w:t>
      </w:r>
    </w:p>
    <w:p>
      <w:pPr>
        <w:pStyle w:val="RTOWorksHeading3"/>
        <w:rPr/>
      </w:pPr>
      <w:r>
        <w:rPr/>
        <w:t>Objectives</w:t>
      </w:r>
    </w:p>
    <w:p>
      <w:pPr>
        <w:pStyle w:val="RTOWorksBodyText"/>
        <w:rPr>
          <w:i/>
          <w:i/>
          <w:iCs/>
          <w:color w:themeColor="text1" w:val="000000"/>
        </w:rPr>
      </w:pPr>
      <w:r>
        <w:rPr>
          <w:i/>
          <w:iCs/>
          <w:color w:themeColor="text1" w:val="000000"/>
        </w:rPr>
        <w:t>Benefits that the project intends to achieve.</w:t>
      </w:r>
    </w:p>
    <w:p>
      <w:pPr>
        <w:pStyle w:val="RTOWorksHeading3"/>
        <w:rPr/>
      </w:pPr>
      <w:r>
        <w:rPr/>
        <w:t xml:space="preserve">Scope </w:t>
      </w:r>
    </w:p>
    <w:p>
      <w:pPr>
        <w:pStyle w:val="RTOWorksBodyText"/>
        <w:rPr>
          <w:i/>
          <w:i/>
          <w:iCs/>
          <w:color w:themeColor="text1" w:val="000000"/>
        </w:rPr>
      </w:pPr>
      <w:r>
        <w:rPr>
          <w:i/>
          <w:iCs/>
          <w:color w:themeColor="text1" w:val="000000"/>
        </w:rPr>
        <w:t>Document the project scope.</w:t>
      </w:r>
    </w:p>
    <w:p>
      <w:pPr>
        <w:pStyle w:val="RTOWorksHeading3"/>
        <w:rPr/>
      </w:pPr>
      <w:r>
        <w:rPr/>
        <w:t xml:space="preserve">Assumptions and constraints </w:t>
      </w:r>
    </w:p>
    <w:p>
      <w:pPr>
        <w:pStyle w:val="RTOWorksBodyText"/>
        <w:rPr>
          <w:i/>
          <w:i/>
          <w:iCs/>
          <w:color w:themeColor="text1" w:val="000000"/>
        </w:rPr>
      </w:pPr>
      <w:r>
        <w:rPr>
          <w:i/>
          <w:iCs/>
          <w:color w:themeColor="text1" w:val="000000"/>
        </w:rPr>
        <w:t>List assumptions and constraints.</w:t>
      </w:r>
    </w:p>
    <w:p>
      <w:pPr>
        <w:pStyle w:val="RTOWorksHeading3"/>
        <w:rPr/>
      </w:pPr>
      <w:r>
        <w:rPr/>
        <w:t xml:space="preserve">Deliverables </w:t>
      </w:r>
    </w:p>
    <w:p>
      <w:pPr>
        <w:pStyle w:val="RTOWorksBodyText"/>
        <w:rPr>
          <w:i/>
          <w:i/>
          <w:iCs/>
          <w:color w:themeColor="text1" w:val="000000"/>
        </w:rPr>
      </w:pPr>
      <w:r>
        <w:rPr>
          <w:i/>
          <w:iCs/>
          <w:color w:themeColor="text1" w:val="000000"/>
        </w:rPr>
        <w:t>List project deliverables.</w:t>
      </w:r>
    </w:p>
    <w:p>
      <w:pPr>
        <w:pStyle w:val="RTOWorksHeading3"/>
        <w:rPr/>
      </w:pPr>
      <w:r>
        <w:rPr/>
        <w:t xml:space="preserve">Roles and responsibilities </w:t>
      </w:r>
    </w:p>
    <w:p>
      <w:pPr>
        <w:pStyle w:val="RTOWorksBodyText"/>
        <w:rPr>
          <w:i/>
          <w:i/>
          <w:iCs/>
          <w:color w:themeColor="text1" w:val="000000"/>
        </w:rPr>
      </w:pPr>
      <w:r>
        <w:rPr>
          <w:i/>
          <w:iCs/>
          <w:color w:themeColor="text1" w:val="000000"/>
        </w:rPr>
        <w:t>Identify the roles of the project team.</w:t>
      </w:r>
    </w:p>
    <w:p>
      <w:pPr>
        <w:pStyle w:val="RTOWorksHeading3"/>
        <w:rPr/>
      </w:pPr>
      <w:bookmarkStart w:id="5" w:name="_Hlk29642724"/>
      <w:r>
        <w:rPr/>
        <w:t>Risk management plan</w:t>
      </w:r>
      <w:bookmarkEnd w:id="5"/>
    </w:p>
    <w:p>
      <w:pPr>
        <w:pStyle w:val="RTOWorksBodyText"/>
        <w:rPr>
          <w:i/>
          <w:i/>
        </w:rPr>
      </w:pPr>
      <w:r>
        <w:rPr>
          <w:i/>
        </w:rPr>
        <w:t xml:space="preserve">List the major risks that could be expected for this type of project, as well as consequences of the risk occurring (add more rows as required). Use the risk management legend below. </w:t>
      </w:r>
    </w:p>
    <w:tbl>
      <w:tblPr>
        <w:tblW w:w="5000" w:type="pct"/>
        <w:jc w:val="left"/>
        <w:tblInd w:w="-5" w:type="dxa"/>
        <w:tblLayout w:type="fixed"/>
        <w:tblCellMar>
          <w:top w:w="57" w:type="dxa"/>
          <w:left w:w="108" w:type="dxa"/>
          <w:bottom w:w="57" w:type="dxa"/>
          <w:right w:w="108" w:type="dxa"/>
        </w:tblCellMar>
        <w:tblLook w:val="01e0" w:noHBand="0" w:noVBand="0" w:firstColumn="1" w:lastRow="1" w:lastColumn="1" w:firstRow="1"/>
      </w:tblPr>
      <w:tblGrid>
        <w:gridCol w:w="2811"/>
        <w:gridCol w:w="1350"/>
        <w:gridCol w:w="1351"/>
        <w:gridCol w:w="3557"/>
      </w:tblGrid>
      <w:tr>
        <w:trPr>
          <w:tblHeader w:val="true"/>
        </w:trPr>
        <w:tc>
          <w:tcPr>
            <w:tcW w:w="2811" w:type="dxa"/>
            <w:tcBorders>
              <w:top w:val="single" w:sz="4" w:space="0" w:color="DEEAF6"/>
              <w:left w:val="single" w:sz="4" w:space="0" w:color="DEEAF6"/>
              <w:bottom w:val="single" w:sz="4" w:space="0" w:color="DEEAF6"/>
              <w:right w:val="single" w:sz="4" w:space="0" w:color="FFFFFF"/>
            </w:tcBorders>
            <w:shd w:color="auto" w:fill="DEEAF6" w:val="clear"/>
          </w:tcPr>
          <w:p>
            <w:pPr>
              <w:pStyle w:val="RTOWorksBodyText"/>
              <w:spacing w:before="120" w:after="120"/>
              <w:rPr>
                <w:b/>
                <w:bCs/>
                <w:i/>
                <w:i/>
                <w:color w:themeColor="text1" w:val="000000"/>
              </w:rPr>
            </w:pPr>
            <w:r>
              <w:rPr>
                <w:b/>
                <w:bCs/>
                <w:color w:val="FF0000"/>
              </w:rPr>
              <w:t xml:space="preserve"> </w:t>
            </w:r>
            <w:r>
              <w:rPr>
                <w:b/>
                <w:bCs/>
                <w:color w:themeColor="text1" w:val="000000"/>
              </w:rPr>
              <w:t>Risk</w:t>
            </w:r>
          </w:p>
        </w:tc>
        <w:tc>
          <w:tcPr>
            <w:tcW w:w="1350" w:type="dxa"/>
            <w:tcBorders>
              <w:top w:val="single" w:sz="4" w:space="0" w:color="DEEAF6"/>
              <w:left w:val="single" w:sz="4" w:space="0" w:color="FFFFFF"/>
              <w:bottom w:val="single" w:sz="4" w:space="0" w:color="DEEAF6"/>
              <w:right w:val="single" w:sz="4" w:space="0" w:color="FFFFFF"/>
            </w:tcBorders>
            <w:shd w:color="auto" w:fill="DEEAF6" w:val="clear"/>
          </w:tcPr>
          <w:p>
            <w:pPr>
              <w:pStyle w:val="RTOWorksBodyText"/>
              <w:spacing w:before="120" w:after="120"/>
              <w:rPr>
                <w:b/>
                <w:bCs/>
                <w:i/>
                <w:i/>
                <w:color w:themeColor="text1" w:val="000000"/>
              </w:rPr>
            </w:pPr>
            <w:r>
              <w:rPr>
                <w:b/>
                <w:bCs/>
                <w:color w:themeColor="text1" w:val="000000"/>
              </w:rPr>
              <w:t>Likelihood</w:t>
            </w:r>
          </w:p>
        </w:tc>
        <w:tc>
          <w:tcPr>
            <w:tcW w:w="1351" w:type="dxa"/>
            <w:tcBorders>
              <w:top w:val="single" w:sz="4" w:space="0" w:color="DEEAF6"/>
              <w:left w:val="single" w:sz="4" w:space="0" w:color="FFFFFF"/>
              <w:bottom w:val="single" w:sz="4" w:space="0" w:color="DEEAF6"/>
              <w:right w:val="single" w:sz="4" w:space="0" w:color="FFFFFF"/>
            </w:tcBorders>
            <w:shd w:color="auto" w:fill="DEEAF6" w:val="clear"/>
          </w:tcPr>
          <w:p>
            <w:pPr>
              <w:pStyle w:val="RTOWorksBodyText"/>
              <w:spacing w:before="120" w:after="120"/>
              <w:rPr>
                <w:b/>
                <w:bCs/>
                <w:i/>
                <w:i/>
                <w:color w:themeColor="text1" w:val="000000"/>
              </w:rPr>
            </w:pPr>
            <w:r>
              <w:rPr>
                <w:b/>
                <w:bCs/>
                <w:color w:themeColor="text1" w:val="000000"/>
              </w:rPr>
              <w:t>Severity</w:t>
            </w:r>
          </w:p>
        </w:tc>
        <w:tc>
          <w:tcPr>
            <w:tcW w:w="3557" w:type="dxa"/>
            <w:tcBorders>
              <w:top w:val="single" w:sz="4" w:space="0" w:color="DEEAF6"/>
              <w:left w:val="single" w:sz="4" w:space="0" w:color="FFFFFF"/>
              <w:bottom w:val="single" w:sz="4" w:space="0" w:color="DEEAF6"/>
              <w:right w:val="single" w:sz="4" w:space="0" w:color="DEEAF6"/>
            </w:tcBorders>
            <w:shd w:color="auto" w:fill="DEEAF6" w:val="clear"/>
          </w:tcPr>
          <w:p>
            <w:pPr>
              <w:pStyle w:val="RTOWorksBodyText"/>
              <w:spacing w:before="120" w:after="120"/>
              <w:rPr>
                <w:b/>
                <w:bCs/>
                <w:i/>
                <w:i/>
                <w:color w:themeColor="text1" w:val="000000"/>
              </w:rPr>
            </w:pPr>
            <w:r>
              <w:rPr>
                <w:b/>
                <w:bCs/>
                <w:color w:themeColor="text1" w:val="000000"/>
              </w:rPr>
              <w:t>Treatment/control methods</w:t>
            </w:r>
          </w:p>
        </w:tc>
      </w:tr>
      <w:tr>
        <w:trPr>
          <w:trHeight w:val="1134" w:hRule="atLeast"/>
        </w:trPr>
        <w:tc>
          <w:tcPr>
            <w:tcW w:w="281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i/>
                <w:i/>
                <w:color w:val="FF0000"/>
              </w:rPr>
            </w:pPr>
            <w:r>
              <w:rPr>
                <w:i/>
                <w:color w:val="FF0000"/>
              </w:rPr>
            </w:r>
          </w:p>
        </w:tc>
        <w:tc>
          <w:tcPr>
            <w:tcW w:w="1350"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135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3557"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r>
      <w:tr>
        <w:trPr>
          <w:trHeight w:val="1134" w:hRule="atLeast"/>
        </w:trPr>
        <w:tc>
          <w:tcPr>
            <w:tcW w:w="281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i/>
                <w:i/>
                <w:color w:val="FF0000"/>
              </w:rPr>
            </w:pPr>
            <w:r>
              <w:rPr>
                <w:i/>
                <w:color w:val="FF0000"/>
              </w:rPr>
            </w:r>
          </w:p>
        </w:tc>
        <w:tc>
          <w:tcPr>
            <w:tcW w:w="1350"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135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3557"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r>
      <w:tr>
        <w:trPr>
          <w:trHeight w:val="1134" w:hRule="atLeast"/>
        </w:trPr>
        <w:tc>
          <w:tcPr>
            <w:tcW w:w="281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i/>
                <w:i/>
                <w:color w:val="FF0000"/>
              </w:rPr>
            </w:pPr>
            <w:r>
              <w:rPr>
                <w:i/>
                <w:color w:val="FF0000"/>
              </w:rPr>
            </w:r>
          </w:p>
        </w:tc>
        <w:tc>
          <w:tcPr>
            <w:tcW w:w="1350"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135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3557"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r>
      <w:tr>
        <w:trPr>
          <w:trHeight w:val="1134" w:hRule="atLeast"/>
        </w:trPr>
        <w:tc>
          <w:tcPr>
            <w:tcW w:w="281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i/>
                <w:i/>
                <w:color w:val="FF0000"/>
              </w:rPr>
            </w:pPr>
            <w:r>
              <w:rPr>
                <w:i/>
                <w:color w:val="FF0000"/>
              </w:rPr>
            </w:r>
          </w:p>
        </w:tc>
        <w:tc>
          <w:tcPr>
            <w:tcW w:w="1350"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135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bCs/>
              </w:rPr>
            </w:pPr>
            <w:r>
              <w:rPr>
                <w:bCs/>
              </w:rPr>
            </w:r>
          </w:p>
        </w:tc>
        <w:tc>
          <w:tcPr>
            <w:tcW w:w="3557"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r>
      <w:tr>
        <w:trPr>
          <w:trHeight w:val="1134" w:hRule="atLeast"/>
        </w:trPr>
        <w:tc>
          <w:tcPr>
            <w:tcW w:w="281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i/>
                <w:i/>
                <w:color w:val="FF0000"/>
                <w:u w:val="single"/>
              </w:rPr>
            </w:pPr>
            <w:r>
              <w:rPr>
                <w:i/>
                <w:color w:val="FF0000"/>
                <w:u w:val="single"/>
              </w:rPr>
            </w:r>
          </w:p>
        </w:tc>
        <w:tc>
          <w:tcPr>
            <w:tcW w:w="1350"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1351"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c>
          <w:tcPr>
            <w:tcW w:w="3557" w:type="dxa"/>
            <w:tcBorders>
              <w:top w:val="single" w:sz="4" w:space="0" w:color="DEEAF6"/>
              <w:left w:val="single" w:sz="4" w:space="0" w:color="DEEAF6"/>
              <w:bottom w:val="single" w:sz="4" w:space="0" w:color="DEEAF6"/>
              <w:right w:val="single" w:sz="4" w:space="0" w:color="DEEAF6"/>
            </w:tcBorders>
          </w:tcPr>
          <w:p>
            <w:pPr>
              <w:pStyle w:val="RTOWorksBodyText"/>
              <w:spacing w:before="120" w:after="120"/>
              <w:rPr/>
            </w:pPr>
            <w:r>
              <w:rPr/>
            </w:r>
          </w:p>
        </w:tc>
      </w:tr>
    </w:tbl>
    <w:p>
      <w:pPr>
        <w:pStyle w:val="RTOWorksBodyText"/>
        <w:rPr/>
      </w:pPr>
      <w:r>
        <w:rPr/>
      </w:r>
    </w:p>
    <w:p>
      <w:pPr>
        <w:pStyle w:val="RTOWorksBodyText"/>
        <w:rPr/>
      </w:pPr>
      <w:r>
        <w:rPr/>
      </w:r>
    </w:p>
    <w:tbl>
      <w:tblPr>
        <w:tblStyle w:val="TableGrid"/>
        <w:tblW w:w="907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654"/>
        <w:gridCol w:w="1473"/>
        <w:gridCol w:w="1472"/>
        <w:gridCol w:w="1363"/>
        <w:gridCol w:w="1441"/>
        <w:gridCol w:w="1398"/>
        <w:gridCol w:w="1270"/>
      </w:tblGrid>
      <w:tr>
        <w:trPr>
          <w:trHeight w:val="20" w:hRule="atLeast"/>
          <w:cantSplit w:val="true"/>
        </w:trPr>
        <w:tc>
          <w:tcPr>
            <w:tcW w:w="654" w:type="dxa"/>
            <w:vMerge w:val="restart"/>
            <w:tcBorders>
              <w:top w:val="single" w:sz="4" w:space="0" w:color="FFFFFF"/>
              <w:left w:val="single" w:sz="4" w:space="0" w:color="FFFFFF"/>
              <w:bottom w:val="single" w:sz="4" w:space="0" w:color="FFFFFF"/>
              <w:right w:val="single" w:sz="4" w:space="0" w:color="FFFFFF"/>
            </w:tcBorders>
            <w:shd w:color="auto" w:fill="BFBFBF" w:themeFill="background1" w:themeFillShade="bf" w:val="clear"/>
            <w:textDirection w:val="btLr"/>
          </w:tcPr>
          <w:p>
            <w:pPr>
              <w:pStyle w:val="RTOWorksBodyText"/>
              <w:widowControl/>
              <w:suppressAutoHyphens w:val="true"/>
              <w:spacing w:before="80" w:after="80"/>
              <w:ind w:left="170"/>
              <w:jc w:val="left"/>
              <w:rPr>
                <w:b/>
                <w:bCs/>
              </w:rPr>
            </w:pPr>
            <w:r>
              <w:rPr>
                <w:rFonts w:eastAsia=""/>
                <w:b/>
                <w:bCs/>
                <w:kern w:val="0"/>
                <w:lang w:val="en-US" w:eastAsia="en-US" w:bidi="ar-SA"/>
              </w:rPr>
              <w:t>Likelihood</w:t>
            </w:r>
          </w:p>
        </w:tc>
        <w:tc>
          <w:tcPr>
            <w:tcW w:w="1473" w:type="dxa"/>
            <w:tcBorders>
              <w:top w:val="single" w:sz="4" w:space="0" w:color="FFFFFF"/>
              <w:left w:val="single" w:sz="4" w:space="0" w:color="FFFFFF"/>
              <w:bottom w:val="single" w:sz="4" w:space="0" w:color="FFFFFF"/>
              <w:right w:val="single" w:sz="4" w:space="0" w:color="FFFFFF"/>
            </w:tcBorders>
            <w:shd w:color="auto" w:fill="BFBFBF" w:themeFill="background1" w:themeFillShade="bf"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r>
          </w:p>
        </w:tc>
        <w:tc>
          <w:tcPr>
            <w:tcW w:w="6944" w:type="dxa"/>
            <w:gridSpan w:val="5"/>
            <w:tcBorders>
              <w:top w:val="single" w:sz="4" w:space="0" w:color="FFFFFF"/>
              <w:left w:val="single" w:sz="4" w:space="0" w:color="FFFFFF"/>
              <w:bottom w:val="single" w:sz="4" w:space="0" w:color="FFFFFF"/>
              <w:right w:val="single" w:sz="4" w:space="0" w:color="FFFFFF"/>
            </w:tcBorders>
            <w:shd w:color="auto" w:fill="BFBFBF" w:themeFill="background1" w:themeFillShade="bf" w:val="clear"/>
          </w:tcPr>
          <w:p>
            <w:pPr>
              <w:pStyle w:val="RTOWorksBodyText"/>
              <w:widowControl/>
              <w:suppressAutoHyphens w:val="true"/>
              <w:spacing w:before="120" w:after="120"/>
              <w:jc w:val="left"/>
              <w:rPr>
                <w:b/>
                <w:bCs/>
              </w:rPr>
            </w:pPr>
            <w:r>
              <w:rPr>
                <w:rFonts w:eastAsia=""/>
                <w:b/>
                <w:bCs/>
                <w:kern w:val="0"/>
                <w:lang w:val="en-US" w:eastAsia="en-US" w:bidi="ar-SA"/>
              </w:rPr>
              <w:t>Impact</w:t>
            </w:r>
          </w:p>
        </w:tc>
      </w:tr>
      <w:tr>
        <w:trPr/>
        <w:tc>
          <w:tcPr>
            <w:tcW w:w="654" w:type="dxa"/>
            <w:vMerge w:val="continue"/>
            <w:tcBorders>
              <w:top w:val="single" w:sz="4" w:space="0" w:color="FFFFFF"/>
              <w:left w:val="single" w:sz="4" w:space="0" w:color="FFFFFF"/>
              <w:bottom w:val="single" w:sz="4" w:space="0" w:color="FFFFFF"/>
              <w:right w:val="single" w:sz="4" w:space="0" w:color="FFFFFF"/>
            </w:tcBorders>
            <w:shd w:color="auto" w:fill="BFBFBF" w:themeFill="background1" w:themeFillShade="bf" w:val="clear"/>
          </w:tcPr>
          <w:p>
            <w:pPr>
              <w:pStyle w:val="RTOWorksBodyText"/>
              <w:widowControl/>
              <w:suppressAutoHyphens w:val="true"/>
              <w:spacing w:before="120" w:after="120"/>
              <w:jc w:val="left"/>
              <w:rPr>
                <w:sz w:val="16"/>
                <w:szCs w:val="16"/>
              </w:rPr>
            </w:pPr>
            <w:r>
              <w:rPr>
                <w:sz w:val="16"/>
                <w:szCs w:val="16"/>
              </w:rPr>
            </w:r>
          </w:p>
        </w:tc>
        <w:tc>
          <w:tcPr>
            <w:tcW w:w="1473"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r>
          </w:p>
        </w:tc>
        <w:tc>
          <w:tcPr>
            <w:tcW w:w="1472"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Negligible</w:t>
            </w:r>
          </w:p>
        </w:tc>
        <w:tc>
          <w:tcPr>
            <w:tcW w:w="1363"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Minor</w:t>
            </w:r>
          </w:p>
        </w:tc>
        <w:tc>
          <w:tcPr>
            <w:tcW w:w="1441"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Moderate</w:t>
            </w:r>
          </w:p>
        </w:tc>
        <w:tc>
          <w:tcPr>
            <w:tcW w:w="1398"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Significant</w:t>
            </w:r>
          </w:p>
        </w:tc>
        <w:tc>
          <w:tcPr>
            <w:tcW w:w="1270"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Severe</w:t>
            </w:r>
          </w:p>
        </w:tc>
      </w:tr>
      <w:tr>
        <w:trPr/>
        <w:tc>
          <w:tcPr>
            <w:tcW w:w="654" w:type="dxa"/>
            <w:vMerge w:val="continue"/>
            <w:tcBorders>
              <w:top w:val="single" w:sz="4" w:space="0" w:color="FFFFFF"/>
              <w:left w:val="single" w:sz="4" w:space="0" w:color="FFFFFF"/>
              <w:bottom w:val="single" w:sz="4" w:space="0" w:color="FFFFFF"/>
              <w:right w:val="single" w:sz="4" w:space="0" w:color="FFFFFF"/>
            </w:tcBorders>
            <w:shd w:color="auto" w:fill="BFBFBF" w:themeFill="background1" w:themeFillShade="bf" w:val="clear"/>
          </w:tcPr>
          <w:p>
            <w:pPr>
              <w:pStyle w:val="RTOWorksBodyText"/>
              <w:widowControl/>
              <w:suppressAutoHyphens w:val="true"/>
              <w:spacing w:before="120" w:after="120"/>
              <w:jc w:val="left"/>
              <w:rPr>
                <w:sz w:val="16"/>
                <w:szCs w:val="16"/>
              </w:rPr>
            </w:pPr>
            <w:r>
              <w:rPr>
                <w:sz w:val="16"/>
                <w:szCs w:val="16"/>
              </w:rPr>
            </w:r>
          </w:p>
        </w:tc>
        <w:tc>
          <w:tcPr>
            <w:tcW w:w="1473"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Very likely</w:t>
            </w:r>
          </w:p>
        </w:tc>
        <w:tc>
          <w:tcPr>
            <w:tcW w:w="1472" w:type="dxa"/>
            <w:tcBorders>
              <w:top w:val="single" w:sz="4" w:space="0" w:color="FFFFFF"/>
              <w:left w:val="single" w:sz="4" w:space="0" w:color="FFFFFF"/>
              <w:bottom w:val="single" w:sz="4" w:space="0" w:color="FFFFFF"/>
              <w:right w:val="single" w:sz="4" w:space="0" w:color="FFFFFF"/>
            </w:tcBorders>
            <w:shd w:color="auto" w:fill="92D05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 Medium</w:t>
            </w:r>
          </w:p>
        </w:tc>
        <w:tc>
          <w:tcPr>
            <w:tcW w:w="1363" w:type="dxa"/>
            <w:tcBorders>
              <w:top w:val="single" w:sz="4" w:space="0" w:color="FFFFFF"/>
              <w:left w:val="single" w:sz="4" w:space="0" w:color="FFFFFF"/>
              <w:bottom w:val="single" w:sz="4" w:space="0" w:color="FFFFFF"/>
              <w:right w:val="single" w:sz="4" w:space="0" w:color="FFFFFF"/>
            </w:tcBorders>
            <w:shd w:color="auto" w:fill="FFFF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w:t>
            </w:r>
          </w:p>
        </w:tc>
        <w:tc>
          <w:tcPr>
            <w:tcW w:w="1441" w:type="dxa"/>
            <w:tcBorders>
              <w:top w:val="single" w:sz="4" w:space="0" w:color="FFFFFF"/>
              <w:left w:val="single" w:sz="4" w:space="0" w:color="FFFFFF"/>
              <w:bottom w:val="single" w:sz="4" w:space="0" w:color="FFFFFF"/>
              <w:right w:val="single" w:sz="4" w:space="0" w:color="FFFFFF"/>
            </w:tcBorders>
            <w:shd w:color="auto" w:fill="FFC0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 High</w:t>
            </w:r>
          </w:p>
        </w:tc>
        <w:tc>
          <w:tcPr>
            <w:tcW w:w="1398" w:type="dxa"/>
            <w:tcBorders>
              <w:top w:val="single" w:sz="4" w:space="0" w:color="FFFFFF"/>
              <w:left w:val="single" w:sz="4" w:space="0" w:color="FFFFFF"/>
              <w:bottom w:val="single" w:sz="4" w:space="0" w:color="FFFFFF"/>
              <w:right w:val="single" w:sz="4" w:space="0" w:color="FFFFFF"/>
            </w:tcBorders>
            <w:shd w:color="auto" w:fill="FF00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High</w:t>
            </w:r>
          </w:p>
        </w:tc>
        <w:tc>
          <w:tcPr>
            <w:tcW w:w="1270" w:type="dxa"/>
            <w:tcBorders>
              <w:top w:val="single" w:sz="4" w:space="0" w:color="FFFFFF"/>
              <w:left w:val="single" w:sz="4" w:space="0" w:color="FFFFFF"/>
              <w:bottom w:val="single" w:sz="4" w:space="0" w:color="FFFFFF"/>
              <w:right w:val="single" w:sz="4" w:space="0" w:color="FFFFFF"/>
            </w:tcBorders>
            <w:shd w:color="auto" w:fill="FF00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High</w:t>
            </w:r>
          </w:p>
        </w:tc>
      </w:tr>
      <w:tr>
        <w:trPr/>
        <w:tc>
          <w:tcPr>
            <w:tcW w:w="654" w:type="dxa"/>
            <w:vMerge w:val="continue"/>
            <w:tcBorders>
              <w:top w:val="single" w:sz="4" w:space="0" w:color="FFFFFF"/>
              <w:left w:val="single" w:sz="4" w:space="0" w:color="FFFFFF"/>
              <w:bottom w:val="single" w:sz="4" w:space="0" w:color="FFFFFF"/>
              <w:right w:val="single" w:sz="4" w:space="0" w:color="FFFFFF"/>
            </w:tcBorders>
            <w:shd w:color="auto" w:fill="BFBFBF" w:themeFill="background1" w:themeFillShade="bf" w:val="clear"/>
          </w:tcPr>
          <w:p>
            <w:pPr>
              <w:pStyle w:val="RTOWorksBodyText"/>
              <w:widowControl/>
              <w:suppressAutoHyphens w:val="true"/>
              <w:spacing w:before="120" w:after="120"/>
              <w:jc w:val="left"/>
              <w:rPr>
                <w:sz w:val="16"/>
                <w:szCs w:val="16"/>
              </w:rPr>
            </w:pPr>
            <w:r>
              <w:rPr>
                <w:sz w:val="16"/>
                <w:szCs w:val="16"/>
              </w:rPr>
            </w:r>
          </w:p>
        </w:tc>
        <w:tc>
          <w:tcPr>
            <w:tcW w:w="1473"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Likely</w:t>
            </w:r>
          </w:p>
        </w:tc>
        <w:tc>
          <w:tcPr>
            <w:tcW w:w="1472" w:type="dxa"/>
            <w:tcBorders>
              <w:top w:val="single" w:sz="4" w:space="0" w:color="FFFFFF"/>
              <w:left w:val="single" w:sz="4" w:space="0" w:color="FFFFFF"/>
              <w:bottom w:val="single" w:sz="4" w:space="0" w:color="FFFFFF"/>
              <w:right w:val="single" w:sz="4" w:space="0" w:color="FFFFFF"/>
            </w:tcBorders>
            <w:shd w:color="auto" w:fill="6CA62C"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w:t>
            </w:r>
          </w:p>
        </w:tc>
        <w:tc>
          <w:tcPr>
            <w:tcW w:w="1363" w:type="dxa"/>
            <w:tcBorders>
              <w:top w:val="single" w:sz="4" w:space="0" w:color="FFFFFF"/>
              <w:left w:val="single" w:sz="4" w:space="0" w:color="FFFFFF"/>
              <w:bottom w:val="single" w:sz="4" w:space="0" w:color="FFFFFF"/>
              <w:right w:val="single" w:sz="4" w:space="0" w:color="FFFFFF"/>
            </w:tcBorders>
            <w:shd w:color="auto" w:fill="92D05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 Medium</w:t>
            </w:r>
          </w:p>
        </w:tc>
        <w:tc>
          <w:tcPr>
            <w:tcW w:w="1441" w:type="dxa"/>
            <w:tcBorders>
              <w:top w:val="single" w:sz="4" w:space="0" w:color="FFFFFF"/>
              <w:left w:val="single" w:sz="4" w:space="0" w:color="FFFFFF"/>
              <w:bottom w:val="single" w:sz="4" w:space="0" w:color="FFFFFF"/>
              <w:right w:val="single" w:sz="4" w:space="0" w:color="FFFFFF"/>
            </w:tcBorders>
            <w:shd w:color="auto" w:fill="FFFF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w:t>
            </w:r>
          </w:p>
        </w:tc>
        <w:tc>
          <w:tcPr>
            <w:tcW w:w="1398" w:type="dxa"/>
            <w:tcBorders>
              <w:top w:val="single" w:sz="4" w:space="0" w:color="FFFFFF"/>
              <w:left w:val="single" w:sz="4" w:space="0" w:color="FFFFFF"/>
              <w:bottom w:val="single" w:sz="4" w:space="0" w:color="FFFFFF"/>
              <w:right w:val="single" w:sz="4" w:space="0" w:color="FFFFFF"/>
            </w:tcBorders>
            <w:shd w:color="auto" w:fill="FFC0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 High</w:t>
            </w:r>
          </w:p>
        </w:tc>
        <w:tc>
          <w:tcPr>
            <w:tcW w:w="1270" w:type="dxa"/>
            <w:tcBorders>
              <w:top w:val="single" w:sz="4" w:space="0" w:color="FFFFFF"/>
              <w:left w:val="single" w:sz="4" w:space="0" w:color="FFFFFF"/>
              <w:bottom w:val="single" w:sz="4" w:space="0" w:color="FFFFFF"/>
              <w:right w:val="single" w:sz="4" w:space="0" w:color="FFFFFF"/>
            </w:tcBorders>
            <w:shd w:color="auto" w:fill="FFC0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High</w:t>
            </w:r>
          </w:p>
        </w:tc>
      </w:tr>
      <w:tr>
        <w:trPr/>
        <w:tc>
          <w:tcPr>
            <w:tcW w:w="654" w:type="dxa"/>
            <w:vMerge w:val="continue"/>
            <w:tcBorders>
              <w:top w:val="single" w:sz="4" w:space="0" w:color="FFFFFF"/>
              <w:left w:val="single" w:sz="4" w:space="0" w:color="FFFFFF"/>
              <w:bottom w:val="single" w:sz="4" w:space="0" w:color="FFFFFF"/>
              <w:right w:val="single" w:sz="4" w:space="0" w:color="FFFFFF"/>
            </w:tcBorders>
            <w:shd w:color="auto" w:fill="BFBFBF" w:themeFill="background1" w:themeFillShade="bf" w:val="clear"/>
          </w:tcPr>
          <w:p>
            <w:pPr>
              <w:pStyle w:val="RTOWorksBodyText"/>
              <w:widowControl/>
              <w:suppressAutoHyphens w:val="true"/>
              <w:spacing w:before="120" w:after="120"/>
              <w:jc w:val="left"/>
              <w:rPr>
                <w:sz w:val="16"/>
                <w:szCs w:val="16"/>
              </w:rPr>
            </w:pPr>
            <w:r>
              <w:rPr>
                <w:sz w:val="16"/>
                <w:szCs w:val="16"/>
              </w:rPr>
            </w:r>
          </w:p>
        </w:tc>
        <w:tc>
          <w:tcPr>
            <w:tcW w:w="1473"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Possible</w:t>
            </w:r>
          </w:p>
        </w:tc>
        <w:tc>
          <w:tcPr>
            <w:tcW w:w="1472" w:type="dxa"/>
            <w:tcBorders>
              <w:top w:val="single" w:sz="4" w:space="0" w:color="FFFFFF"/>
              <w:left w:val="single" w:sz="4" w:space="0" w:color="FFFFFF"/>
              <w:bottom w:val="single" w:sz="4" w:space="0" w:color="FFFFFF"/>
              <w:right w:val="single" w:sz="4" w:space="0" w:color="FFFFFF"/>
            </w:tcBorders>
            <w:shd w:color="auto" w:fill="6CA62C"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w:t>
            </w:r>
          </w:p>
        </w:tc>
        <w:tc>
          <w:tcPr>
            <w:tcW w:w="1363" w:type="dxa"/>
            <w:tcBorders>
              <w:top w:val="single" w:sz="4" w:space="0" w:color="FFFFFF"/>
              <w:left w:val="single" w:sz="4" w:space="0" w:color="FFFFFF"/>
              <w:bottom w:val="single" w:sz="4" w:space="0" w:color="FFFFFF"/>
              <w:right w:val="single" w:sz="4" w:space="0" w:color="FFFFFF"/>
            </w:tcBorders>
            <w:shd w:color="auto" w:fill="92D05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 Medium</w:t>
            </w:r>
          </w:p>
        </w:tc>
        <w:tc>
          <w:tcPr>
            <w:tcW w:w="1441" w:type="dxa"/>
            <w:tcBorders>
              <w:top w:val="single" w:sz="4" w:space="0" w:color="FFFFFF"/>
              <w:left w:val="single" w:sz="4" w:space="0" w:color="FFFFFF"/>
              <w:bottom w:val="single" w:sz="4" w:space="0" w:color="FFFFFF"/>
              <w:right w:val="single" w:sz="4" w:space="0" w:color="FFFFFF"/>
            </w:tcBorders>
            <w:shd w:color="auto" w:fill="FFFF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w:t>
            </w:r>
          </w:p>
        </w:tc>
        <w:tc>
          <w:tcPr>
            <w:tcW w:w="1398" w:type="dxa"/>
            <w:tcBorders>
              <w:top w:val="single" w:sz="4" w:space="0" w:color="FFFFFF"/>
              <w:left w:val="single" w:sz="4" w:space="0" w:color="FFFFFF"/>
              <w:bottom w:val="single" w:sz="4" w:space="0" w:color="FFFFFF"/>
              <w:right w:val="single" w:sz="4" w:space="0" w:color="FFFFFF"/>
            </w:tcBorders>
            <w:shd w:color="auto" w:fill="FFC0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 High</w:t>
            </w:r>
          </w:p>
        </w:tc>
        <w:tc>
          <w:tcPr>
            <w:tcW w:w="1270" w:type="dxa"/>
            <w:tcBorders>
              <w:top w:val="single" w:sz="4" w:space="0" w:color="FFFFFF"/>
              <w:left w:val="single" w:sz="4" w:space="0" w:color="FFFFFF"/>
              <w:bottom w:val="single" w:sz="4" w:space="0" w:color="FFFFFF"/>
              <w:right w:val="single" w:sz="4" w:space="0" w:color="FFFFFF"/>
            </w:tcBorders>
            <w:shd w:color="auto" w:fill="FFC0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 High</w:t>
            </w:r>
          </w:p>
        </w:tc>
      </w:tr>
      <w:tr>
        <w:trPr/>
        <w:tc>
          <w:tcPr>
            <w:tcW w:w="654" w:type="dxa"/>
            <w:vMerge w:val="continue"/>
            <w:tcBorders>
              <w:top w:val="single" w:sz="4" w:space="0" w:color="FFFFFF"/>
              <w:left w:val="single" w:sz="4" w:space="0" w:color="FFFFFF"/>
              <w:bottom w:val="single" w:sz="4" w:space="0" w:color="FFFFFF"/>
              <w:right w:val="single" w:sz="4" w:space="0" w:color="FFFFFF"/>
            </w:tcBorders>
            <w:shd w:color="auto" w:fill="BFBFBF" w:themeFill="background1" w:themeFillShade="bf" w:val="clear"/>
          </w:tcPr>
          <w:p>
            <w:pPr>
              <w:pStyle w:val="RTOWorksBodyText"/>
              <w:widowControl/>
              <w:suppressAutoHyphens w:val="true"/>
              <w:spacing w:before="120" w:after="120"/>
              <w:jc w:val="left"/>
              <w:rPr>
                <w:sz w:val="16"/>
                <w:szCs w:val="16"/>
              </w:rPr>
            </w:pPr>
            <w:r>
              <w:rPr>
                <w:sz w:val="16"/>
                <w:szCs w:val="16"/>
              </w:rPr>
            </w:r>
          </w:p>
        </w:tc>
        <w:tc>
          <w:tcPr>
            <w:tcW w:w="1473"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Unlikely</w:t>
            </w:r>
          </w:p>
        </w:tc>
        <w:tc>
          <w:tcPr>
            <w:tcW w:w="1472" w:type="dxa"/>
            <w:tcBorders>
              <w:top w:val="single" w:sz="4" w:space="0" w:color="FFFFFF"/>
              <w:left w:val="single" w:sz="4" w:space="0" w:color="FFFFFF"/>
              <w:bottom w:val="single" w:sz="4" w:space="0" w:color="FFFFFF"/>
              <w:right w:val="single" w:sz="4" w:space="0" w:color="FFFFFF"/>
            </w:tcBorders>
            <w:shd w:color="auto" w:fill="6CA62C"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w:t>
            </w:r>
          </w:p>
        </w:tc>
        <w:tc>
          <w:tcPr>
            <w:tcW w:w="1363" w:type="dxa"/>
            <w:tcBorders>
              <w:top w:val="single" w:sz="4" w:space="0" w:color="FFFFFF"/>
              <w:left w:val="single" w:sz="4" w:space="0" w:color="FFFFFF"/>
              <w:bottom w:val="single" w:sz="4" w:space="0" w:color="FFFFFF"/>
              <w:right w:val="single" w:sz="4" w:space="0" w:color="FFFFFF"/>
            </w:tcBorders>
            <w:shd w:color="auto" w:fill="92D05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 Medium</w:t>
            </w:r>
          </w:p>
        </w:tc>
        <w:tc>
          <w:tcPr>
            <w:tcW w:w="1441" w:type="dxa"/>
            <w:tcBorders>
              <w:top w:val="single" w:sz="4" w:space="0" w:color="FFFFFF"/>
              <w:left w:val="single" w:sz="4" w:space="0" w:color="FFFFFF"/>
              <w:bottom w:val="single" w:sz="4" w:space="0" w:color="FFFFFF"/>
              <w:right w:val="single" w:sz="4" w:space="0" w:color="FFFFFF"/>
            </w:tcBorders>
            <w:shd w:color="auto" w:fill="92D05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 Medium</w:t>
            </w:r>
          </w:p>
        </w:tc>
        <w:tc>
          <w:tcPr>
            <w:tcW w:w="1398" w:type="dxa"/>
            <w:tcBorders>
              <w:top w:val="single" w:sz="4" w:space="0" w:color="FFFFFF"/>
              <w:left w:val="single" w:sz="4" w:space="0" w:color="FFFFFF"/>
              <w:bottom w:val="single" w:sz="4" w:space="0" w:color="FFFFFF"/>
              <w:right w:val="single" w:sz="4" w:space="0" w:color="FFFFFF"/>
            </w:tcBorders>
            <w:shd w:color="auto" w:fill="FFFF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w:t>
            </w:r>
          </w:p>
        </w:tc>
        <w:tc>
          <w:tcPr>
            <w:tcW w:w="1270" w:type="dxa"/>
            <w:tcBorders>
              <w:top w:val="single" w:sz="4" w:space="0" w:color="FFFFFF"/>
              <w:left w:val="single" w:sz="4" w:space="0" w:color="FFFFFF"/>
              <w:bottom w:val="single" w:sz="4" w:space="0" w:color="FFFFFF"/>
              <w:right w:val="single" w:sz="4" w:space="0" w:color="FFFFFF"/>
            </w:tcBorders>
            <w:shd w:color="auto" w:fill="FFC0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 High</w:t>
            </w:r>
          </w:p>
        </w:tc>
      </w:tr>
      <w:tr>
        <w:trPr/>
        <w:tc>
          <w:tcPr>
            <w:tcW w:w="654" w:type="dxa"/>
            <w:vMerge w:val="continue"/>
            <w:tcBorders>
              <w:top w:val="single" w:sz="4" w:space="0" w:color="FFFFFF"/>
              <w:left w:val="single" w:sz="4" w:space="0" w:color="FFFFFF"/>
              <w:bottom w:val="single" w:sz="4" w:space="0" w:color="FFFFFF"/>
              <w:right w:val="single" w:sz="4" w:space="0" w:color="FFFFFF"/>
            </w:tcBorders>
            <w:shd w:color="auto" w:fill="BFBFBF" w:themeFill="background1" w:themeFillShade="bf" w:val="clear"/>
          </w:tcPr>
          <w:p>
            <w:pPr>
              <w:pStyle w:val="RTOWorksBodyText"/>
              <w:widowControl/>
              <w:suppressAutoHyphens w:val="true"/>
              <w:spacing w:before="120" w:after="120"/>
              <w:jc w:val="left"/>
              <w:rPr>
                <w:sz w:val="16"/>
                <w:szCs w:val="16"/>
              </w:rPr>
            </w:pPr>
            <w:r>
              <w:rPr>
                <w:sz w:val="16"/>
                <w:szCs w:val="16"/>
              </w:rPr>
            </w:r>
          </w:p>
        </w:tc>
        <w:tc>
          <w:tcPr>
            <w:tcW w:w="1473" w:type="dxa"/>
            <w:tcBorders>
              <w:top w:val="single" w:sz="4" w:space="0" w:color="FFFFFF"/>
              <w:left w:val="single" w:sz="4" w:space="0" w:color="FFFFFF"/>
              <w:bottom w:val="single" w:sz="4" w:space="0" w:color="FFFFFF"/>
              <w:right w:val="single" w:sz="4" w:space="0" w:color="FFFFFF"/>
            </w:tcBorders>
            <w:shd w:color="auto" w:fill="F2F2F2" w:themeFill="background1" w:themeFillShade="f2"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Very unlikely</w:t>
            </w:r>
          </w:p>
        </w:tc>
        <w:tc>
          <w:tcPr>
            <w:tcW w:w="1472" w:type="dxa"/>
            <w:tcBorders>
              <w:top w:val="single" w:sz="4" w:space="0" w:color="FFFFFF"/>
              <w:left w:val="single" w:sz="4" w:space="0" w:color="FFFFFF"/>
              <w:bottom w:val="single" w:sz="4" w:space="0" w:color="FFFFFF"/>
              <w:right w:val="single" w:sz="4" w:space="0" w:color="FFFFFF"/>
            </w:tcBorders>
            <w:shd w:color="auto" w:fill="6CA62C"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w:t>
            </w:r>
          </w:p>
        </w:tc>
        <w:tc>
          <w:tcPr>
            <w:tcW w:w="1363" w:type="dxa"/>
            <w:tcBorders>
              <w:top w:val="single" w:sz="4" w:space="0" w:color="FFFFFF"/>
              <w:left w:val="single" w:sz="4" w:space="0" w:color="FFFFFF"/>
              <w:bottom w:val="single" w:sz="4" w:space="0" w:color="FFFFFF"/>
              <w:right w:val="single" w:sz="4" w:space="0" w:color="FFFFFF"/>
            </w:tcBorders>
            <w:shd w:color="auto" w:fill="6CA62C"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w:t>
            </w:r>
          </w:p>
        </w:tc>
        <w:tc>
          <w:tcPr>
            <w:tcW w:w="1441" w:type="dxa"/>
            <w:tcBorders>
              <w:top w:val="single" w:sz="4" w:space="0" w:color="FFFFFF"/>
              <w:left w:val="single" w:sz="4" w:space="0" w:color="FFFFFF"/>
              <w:bottom w:val="single" w:sz="4" w:space="0" w:color="FFFFFF"/>
              <w:right w:val="single" w:sz="4" w:space="0" w:color="FFFFFF"/>
            </w:tcBorders>
            <w:shd w:color="auto" w:fill="92D05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Low Medium</w:t>
            </w:r>
          </w:p>
        </w:tc>
        <w:tc>
          <w:tcPr>
            <w:tcW w:w="1398" w:type="dxa"/>
            <w:tcBorders>
              <w:top w:val="single" w:sz="4" w:space="0" w:color="FFFFFF"/>
              <w:left w:val="single" w:sz="4" w:space="0" w:color="FFFFFF"/>
              <w:bottom w:val="single" w:sz="4" w:space="0" w:color="FFFFFF"/>
              <w:right w:val="single" w:sz="4" w:space="0" w:color="FFFFFF"/>
            </w:tcBorders>
            <w:shd w:color="auto" w:fill="FFFF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w:t>
            </w:r>
          </w:p>
        </w:tc>
        <w:tc>
          <w:tcPr>
            <w:tcW w:w="1270" w:type="dxa"/>
            <w:tcBorders>
              <w:top w:val="single" w:sz="4" w:space="0" w:color="FFFFFF"/>
              <w:left w:val="single" w:sz="4" w:space="0" w:color="FFFFFF"/>
              <w:bottom w:val="single" w:sz="4" w:space="0" w:color="FFFFFF"/>
              <w:right w:val="single" w:sz="4" w:space="0" w:color="FFFFFF"/>
            </w:tcBorders>
            <w:shd w:color="auto" w:fill="FFFF00" w:val="clear"/>
          </w:tcPr>
          <w:p>
            <w:pPr>
              <w:pStyle w:val="RTOWorksBodyText"/>
              <w:widowControl/>
              <w:suppressAutoHyphens w:val="true"/>
              <w:spacing w:before="120" w:after="120"/>
              <w:jc w:val="left"/>
              <w:rPr>
                <w:rFonts w:eastAsia=""/>
                <w:kern w:val="0"/>
                <w:lang w:val="en-US" w:eastAsia="en-US" w:bidi="ar-SA"/>
              </w:rPr>
            </w:pPr>
            <w:r>
              <w:rPr>
                <w:rFonts w:eastAsia=""/>
                <w:kern w:val="0"/>
                <w:lang w:val="en-US" w:eastAsia="en-US" w:bidi="ar-SA"/>
              </w:rPr>
              <w:t>Medium</w:t>
            </w:r>
          </w:p>
        </w:tc>
      </w:tr>
    </w:tbl>
    <w:p>
      <w:pPr>
        <w:pStyle w:val="RTOWorksBodyText"/>
        <w:spacing w:before="120" w:after="120"/>
        <w:rPr/>
      </w:pPr>
      <w:r>
        <w:rPr/>
      </w:r>
    </w:p>
    <w:sectPr>
      <w:footerReference w:type="even" r:id="rId2"/>
      <w:footerReference w:type="default" r:id="rId3"/>
      <w:footerReference w:type="first" r:id="rId4"/>
      <w:type w:val="nextPage"/>
      <w:pgSz w:w="11906" w:h="16838"/>
      <w:pgMar w:left="1418" w:right="1418" w:gutter="0" w:header="0" w:top="1701" w:footer="709"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swiss"/>
    <w:pitch w:val="variable"/>
  </w:font>
  <w:font w:name="Times New Roman">
    <w:charset w:val="01"/>
    <w:family w:val="roman"/>
    <w:pitch w:val="variable"/>
  </w:font>
  <w:font w:name="Liberation Sans">
    <w:altName w:val="Arial"/>
    <w:charset w:val="01"/>
    <w:family w:val="swiss"/>
    <w:pitch w:val="variable"/>
  </w:font>
  <w:font w:name="Gulim">
    <w:charset w:val="01"/>
    <w:family w:val="swiss"/>
    <w:pitch w:val="variable"/>
  </w:font>
  <w:font w:name="Verdana">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None/>
              <wp:docPr id="1" name="Frame1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021521860"/>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wps:txbx>
                    <wps:bodyPr lIns="0" rIns="0" tIns="0" bIns="0" anchor="t">
                      <a:spAutoFit/>
                    </wps:bodyPr>
                  </wps:wsp>
                </a:graphicData>
              </a:graphic>
            </wp:anchor>
          </w:drawing>
        </mc:Choice>
        <mc:Fallback>
          <w:pict>
            <v:rect id="shape_0" ID="Frame12"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sdt>
                    <w:sdtPr>
                      <w:docPartObj>
                        <w:docPartGallery w:val="Page Numbers (Bottom of Page)"/>
                        <w:docPartUnique w:val="true"/>
                      </w:docPartObj>
                      <w:id w:val="1021521860"/>
                    </w:sdtPr>
                    <w:sdt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type="none"/>
            </v:rect>
          </w:pict>
        </mc:Fallback>
      </mc:AlternateContent>
    </w:r>
  </w:p>
  <w:p>
    <w:pPr>
      <w:pStyle w:val="Normal"/>
      <w:widowControl/>
      <w:bidi w:val="0"/>
      <w:spacing w:lineRule="auto" w:line="259" w:before="0" w:after="16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4" w:space="2" w:color="7B7B7B" w:themeColor="accent3" w:themeShade="bf"/>
      </w:pBdr>
      <w:tabs>
        <w:tab w:val="clear" w:pos="720"/>
        <w:tab w:val="left" w:pos="6379" w:leader="none"/>
        <w:tab w:val="right" w:pos="9356" w:leader="none"/>
      </w:tabs>
      <w:spacing w:lineRule="auto" w:line="276" w:before="0" w:after="160"/>
      <w:rPr>
        <w:rFonts w:ascii="Arial" w:hAnsi="Arial" w:eastAsia="Gulim" w:cs="Arial"/>
        <w:color w:themeColor="text1" w:val="000000"/>
        <w:sz w:val="16"/>
        <w:szCs w:val="16"/>
      </w:rPr>
    </w:pPr>
    <w:r>
      <w:rPr>
        <w:rFonts w:eastAsia="Gulim" w:cs="Arial" w:ascii="Arial" w:hAnsi="Arial"/>
        <w:i/>
        <w:iCs/>
        <w:color w:themeColor="text1" w:val="000000"/>
        <w:sz w:val="16"/>
        <w:szCs w:val="16"/>
        <w:lang w:eastAsia="en-AU"/>
      </w:rPr>
      <w:t>© 2021 RTO Works</w:t>
      <w:tab/>
      <w:tab/>
    </w:r>
    <w:r>
      <w:rPr>
        <w:rFonts w:eastAsia="Gulim" w:cs="Arial" w:ascii="Arial" w:hAnsi="Arial"/>
        <w:i/>
        <w:iCs/>
        <w:color w:themeColor="text1" w:val="000000"/>
        <w:sz w:val="16"/>
        <w:szCs w:val="16"/>
        <w:lang w:eastAsia="en-AU"/>
      </w:rPr>
      <w:fldChar w:fldCharType="begin"/>
    </w:r>
    <w:r>
      <w:rPr>
        <w:sz w:val="16"/>
        <w:i/>
        <w:szCs w:val="16"/>
        <w:iCs/>
        <w:rFonts w:eastAsia="Gulim" w:cs="Arial" w:ascii="Arial" w:hAnsi="Arial"/>
        <w:color w:themeColor="text1" w:val="000000"/>
        <w:lang w:eastAsia="en-AU"/>
      </w:rPr>
      <w:instrText xml:space="preserve"> PAGE </w:instrText>
    </w:r>
    <w:r>
      <w:rPr>
        <w:sz w:val="16"/>
        <w:i/>
        <w:szCs w:val="16"/>
        <w:iCs/>
        <w:rFonts w:eastAsia="Gulim" w:cs="Arial" w:ascii="Arial" w:hAnsi="Arial"/>
        <w:color w:themeColor="text1" w:val="000000"/>
        <w:lang w:eastAsia="en-AU"/>
      </w:rPr>
      <w:fldChar w:fldCharType="separate"/>
    </w:r>
    <w:r>
      <w:rPr>
        <w:sz w:val="16"/>
        <w:i/>
        <w:szCs w:val="16"/>
        <w:iCs/>
        <w:rFonts w:eastAsia="Gulim" w:cs="Arial" w:ascii="Arial" w:hAnsi="Arial"/>
        <w:color w:themeColor="text1" w:val="000000"/>
        <w:lang w:eastAsia="en-AU"/>
      </w:rPr>
      <w:t>6</w:t>
    </w:r>
    <w:r>
      <w:rPr>
        <w:sz w:val="16"/>
        <w:i/>
        <w:szCs w:val="16"/>
        <w:iCs/>
        <w:rFonts w:eastAsia="Gulim" w:cs="Arial" w:ascii="Arial" w:hAnsi="Arial"/>
        <w:color w:themeColor="text1" w:val="000000"/>
        <w:lang w:eastAsia="en-AU"/>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4" w:space="2" w:color="7B7B7B" w:themeColor="accent3" w:themeShade="bf"/>
      </w:pBdr>
      <w:tabs>
        <w:tab w:val="clear" w:pos="720"/>
        <w:tab w:val="left" w:pos="6379" w:leader="none"/>
        <w:tab w:val="right" w:pos="9356" w:leader="none"/>
      </w:tabs>
      <w:spacing w:lineRule="auto" w:line="276" w:before="0" w:after="160"/>
      <w:rPr>
        <w:rFonts w:ascii="Arial" w:hAnsi="Arial" w:eastAsia="Gulim" w:cs="Arial"/>
        <w:color w:themeColor="text1" w:val="000000"/>
        <w:sz w:val="16"/>
        <w:szCs w:val="16"/>
      </w:rPr>
    </w:pPr>
    <w:r>
      <w:rPr>
        <w:rFonts w:eastAsia="Gulim" w:cs="Arial" w:ascii="Arial" w:hAnsi="Arial"/>
        <w:i/>
        <w:iCs/>
        <w:color w:themeColor="text1" w:val="000000"/>
        <w:sz w:val="16"/>
        <w:szCs w:val="16"/>
        <w:lang w:eastAsia="en-AU"/>
      </w:rPr>
      <w:t>© 2021 RTO Works</w:t>
      <w:tab/>
      <w:tab/>
    </w:r>
    <w:r>
      <w:rPr>
        <w:rFonts w:eastAsia="Gulim" w:cs="Arial" w:ascii="Arial" w:hAnsi="Arial"/>
        <w:i/>
        <w:iCs/>
        <w:color w:themeColor="text1" w:val="000000"/>
        <w:sz w:val="16"/>
        <w:szCs w:val="16"/>
        <w:lang w:eastAsia="en-AU"/>
      </w:rPr>
      <w:fldChar w:fldCharType="begin"/>
    </w:r>
    <w:r>
      <w:rPr>
        <w:sz w:val="16"/>
        <w:i/>
        <w:szCs w:val="16"/>
        <w:iCs/>
        <w:rFonts w:eastAsia="Gulim" w:cs="Arial" w:ascii="Arial" w:hAnsi="Arial"/>
        <w:color w:themeColor="text1" w:val="000000"/>
        <w:lang w:eastAsia="en-AU"/>
      </w:rPr>
      <w:instrText xml:space="preserve"> PAGE </w:instrText>
    </w:r>
    <w:r>
      <w:rPr>
        <w:sz w:val="16"/>
        <w:i/>
        <w:szCs w:val="16"/>
        <w:iCs/>
        <w:rFonts w:eastAsia="Gulim" w:cs="Arial" w:ascii="Arial" w:hAnsi="Arial"/>
        <w:color w:themeColor="text1" w:val="000000"/>
        <w:lang w:eastAsia="en-AU"/>
      </w:rPr>
      <w:fldChar w:fldCharType="separate"/>
    </w:r>
    <w:r>
      <w:rPr>
        <w:sz w:val="16"/>
        <w:i/>
        <w:szCs w:val="16"/>
        <w:iCs/>
        <w:rFonts w:eastAsia="Gulim" w:cs="Arial" w:ascii="Arial" w:hAnsi="Arial"/>
        <w:color w:themeColor="text1" w:val="000000"/>
        <w:lang w:eastAsia="en-AU"/>
      </w:rPr>
      <w:t>6</w:t>
    </w:r>
    <w:r>
      <w:rPr>
        <w:sz w:val="16"/>
        <w:i/>
        <w:szCs w:val="16"/>
        <w:iCs/>
        <w:rFonts w:eastAsia="Gulim" w:cs="Arial" w:ascii="Arial" w:hAnsi="Arial"/>
        <w:color w:themeColor="text1" w:val="000000"/>
        <w:lang w:eastAsia="en-AU"/>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25" w:hanging="425"/>
      </w:pPr>
      <w:rPr>
        <w:rFonts w:ascii="Symbol" w:hAnsi="Symbol" w:cs="Symbol" w:hint="default"/>
      </w:rPr>
    </w:lvl>
    <w:lvl w:ilvl="1">
      <w:start w:val="1"/>
      <w:numFmt w:val="bullet"/>
      <w:lvlText w:val="o"/>
      <w:lvlJc w:val="left"/>
      <w:pPr>
        <w:tabs>
          <w:tab w:val="num" w:pos="0"/>
        </w:tabs>
        <w:ind w:left="850" w:hanging="425"/>
      </w:pPr>
      <w:rPr>
        <w:rFonts w:ascii="Courier New" w:hAnsi="Courier New" w:cs="Courier New" w:hint="default"/>
      </w:rPr>
    </w:lvl>
    <w:lvl w:ilvl="2">
      <w:start w:val="1"/>
      <w:numFmt w:val="bullet"/>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rPr/>
    </w:lvl>
    <w:lvl w:ilvl="7">
      <w:start w:val="1"/>
      <w:numFmt w:val="lowerLetter"/>
      <w:lvlText w:val="%8."/>
      <w:lvlJc w:val="left"/>
      <w:pPr>
        <w:tabs>
          <w:tab w:val="num" w:pos="0"/>
        </w:tabs>
        <w:ind w:left="3400" w:hanging="425"/>
      </w:pPr>
      <w:rPr/>
    </w:lvl>
    <w:lvl w:ilvl="8">
      <w:start w:val="1"/>
      <w:numFmt w:val="lowerRoman"/>
      <w:lvlText w:val="%9."/>
      <w:lvlJc w:val="left"/>
      <w:pPr>
        <w:tabs>
          <w:tab w:val="num" w:pos="0"/>
        </w:tabs>
        <w:ind w:left="3825" w:hanging="425"/>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425" w:hanging="425"/>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425"/>
        </w:tabs>
        <w:ind w:left="425" w:hanging="425"/>
      </w:pPr>
      <w:rPr/>
    </w:lvl>
    <w:lvl w:ilvl="1">
      <w:start w:val="1"/>
      <w:numFmt w:val="lowerLetter"/>
      <w:lvlText w:val="(%2)"/>
      <w:lvlJc w:val="left"/>
      <w:pPr>
        <w:tabs>
          <w:tab w:val="num" w:pos="851"/>
        </w:tabs>
        <w:ind w:left="851" w:hanging="426"/>
      </w:pPr>
      <w:rPr/>
    </w:lvl>
    <w:lvl w:ilvl="2">
      <w:start w:val="1"/>
      <w:numFmt w:val="lowerRoman"/>
      <w:lvlText w:val="(%3)"/>
      <w:lvlJc w:val="left"/>
      <w:pPr>
        <w:tabs>
          <w:tab w:val="num" w:pos="1276"/>
        </w:tabs>
        <w:ind w:left="1276" w:hanging="425"/>
      </w:pPr>
      <w:rPr/>
    </w:lvl>
    <w:lvl w:ilvl="3">
      <w:start w:val="1"/>
      <w:numFmt w:val="lowerRoman"/>
      <w:lvlText w:val="(%4)"/>
      <w:lvlJc w:val="left"/>
      <w:pPr>
        <w:tabs>
          <w:tab w:val="num" w:pos="2552"/>
        </w:tabs>
        <w:ind w:left="2552" w:hanging="851"/>
      </w:pPr>
      <w:rPr/>
    </w:lvl>
    <w:lvl w:ilvl="4">
      <w:start w:val="1"/>
      <w:numFmt w:val="upperLetter"/>
      <w:lvlText w:val="(%5)"/>
      <w:lvlJc w:val="left"/>
      <w:pPr>
        <w:tabs>
          <w:tab w:val="num" w:pos="3402"/>
        </w:tabs>
        <w:ind w:left="3402" w:hanging="850"/>
      </w:pPr>
      <w:rPr/>
    </w:lvl>
    <w:lvl w:ilvl="5">
      <w:start w:val="1"/>
      <w:numFmt w:val="decimal"/>
      <w:lvlText w:val="%1.%2.%3.%4.%5.%6."/>
      <w:lvlJc w:val="left"/>
      <w:pPr>
        <w:tabs>
          <w:tab w:val="num" w:pos="3600"/>
        </w:tabs>
        <w:ind w:left="2738" w:hanging="941"/>
      </w:pPr>
      <w:rPr/>
    </w:lvl>
    <w:lvl w:ilvl="6">
      <w:start w:val="1"/>
      <w:numFmt w:val="decimal"/>
      <w:lvlText w:val="%1.%2.%3.%4.%5.%6.%7."/>
      <w:lvlJc w:val="left"/>
      <w:pPr>
        <w:tabs>
          <w:tab w:val="num" w:pos="4320"/>
        </w:tabs>
        <w:ind w:left="3237" w:hanging="1077"/>
      </w:pPr>
      <w:rPr/>
    </w:lvl>
    <w:lvl w:ilvl="7">
      <w:start w:val="1"/>
      <w:numFmt w:val="decimal"/>
      <w:lvlText w:val="%1.%2.%3.%4.%5.%6.%7.%8."/>
      <w:lvlJc w:val="left"/>
      <w:pPr>
        <w:tabs>
          <w:tab w:val="num" w:pos="5040"/>
        </w:tabs>
        <w:ind w:left="3742" w:hanging="1225"/>
      </w:pPr>
      <w:rPr/>
    </w:lvl>
    <w:lvl w:ilvl="8">
      <w:start w:val="1"/>
      <w:numFmt w:val="decimal"/>
      <w:lvlText w:val="%1.%2.%3.%4.%5.%6.%7.%8.%9."/>
      <w:lvlJc w:val="left"/>
      <w:pPr>
        <w:tabs>
          <w:tab w:val="num" w:pos="5760"/>
        </w:tabs>
        <w:ind w:left="4320" w:hanging="1440"/>
      </w:pPr>
      <w:rPr/>
    </w:lvl>
  </w:abstractNum>
  <w:abstractNum w:abstractNumId="6">
    <w:lvl w:ilvl="0">
      <w:start w:val="1"/>
      <w:numFmt w:val="bullet"/>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425"/>
        </w:tabs>
        <w:ind w:left="425" w:hanging="425"/>
      </w:pPr>
      <w:rPr>
        <w:rFonts w:ascii="Symbol" w:hAnsi="Symbol" w:cs="Symbol" w:hint="default"/>
        <w:color w:val="FF0000"/>
      </w:rPr>
    </w:lvl>
    <w:lvl w:ilvl="1">
      <w:start w:val="1"/>
      <w:numFmt w:val="bullet"/>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rPr/>
    </w:lvl>
    <w:lvl w:ilvl="4">
      <w:start w:val="1"/>
      <w:numFmt w:val="lowerLetter"/>
      <w:lvlText w:val="(%5)"/>
      <w:lvlJc w:val="left"/>
      <w:pPr>
        <w:tabs>
          <w:tab w:val="num" w:pos="0"/>
        </w:tabs>
        <w:ind w:left="2125" w:hanging="425"/>
      </w:pPr>
      <w:rPr/>
    </w:lvl>
    <w:lvl w:ilvl="5">
      <w:start w:val="1"/>
      <w:numFmt w:val="lowerRoman"/>
      <w:lvlText w:val="(%6)"/>
      <w:lvlJc w:val="left"/>
      <w:pPr>
        <w:tabs>
          <w:tab w:val="num" w:pos="0"/>
        </w:tabs>
        <w:ind w:left="2550" w:hanging="425"/>
      </w:pPr>
      <w:rPr/>
    </w:lvl>
    <w:lvl w:ilvl="6">
      <w:start w:val="1"/>
      <w:numFmt w:val="decimal"/>
      <w:lvlText w:val="%7."/>
      <w:lvlJc w:val="left"/>
      <w:pPr>
        <w:tabs>
          <w:tab w:val="num" w:pos="0"/>
        </w:tabs>
        <w:ind w:left="2975" w:hanging="425"/>
      </w:pPr>
      <w:rPr/>
    </w:lvl>
    <w:lvl w:ilvl="7">
      <w:start w:val="1"/>
      <w:numFmt w:val="lowerLetter"/>
      <w:lvlText w:val="%8."/>
      <w:lvlJc w:val="left"/>
      <w:pPr>
        <w:tabs>
          <w:tab w:val="num" w:pos="0"/>
        </w:tabs>
        <w:ind w:left="3400" w:hanging="425"/>
      </w:pPr>
      <w:rPr/>
    </w:lvl>
    <w:lvl w:ilvl="8">
      <w:start w:val="1"/>
      <w:numFmt w:val="lowerRoman"/>
      <w:lvlText w:val="%9."/>
      <w:lvlJc w:val="left"/>
      <w:pPr>
        <w:tabs>
          <w:tab w:val="num" w:pos="0"/>
        </w:tabs>
        <w:ind w:left="3825" w:hanging="425"/>
      </w:pPr>
      <w:rPr/>
    </w:lvl>
  </w:abstractNum>
  <w:abstractNum w:abstractNumId="8">
    <w:lvl w:ilvl="0">
      <w:start w:val="1"/>
      <w:numFmt w:val="bullet"/>
      <w:lvlText w:val=""/>
      <w:lvlJc w:val="left"/>
      <w:pPr>
        <w:tabs>
          <w:tab w:val="num" w:pos="425"/>
        </w:tabs>
        <w:ind w:left="851" w:hanging="426"/>
      </w:pPr>
      <w:rPr>
        <w:rFonts w:ascii="Symbol" w:hAnsi="Symbol" w:cs="Symbol" w:hint="default"/>
        <w:color w:val="FF0000"/>
      </w:rPr>
    </w:lvl>
    <w:lvl w:ilvl="1">
      <w:start w:val="1"/>
      <w:numFmt w:val="bullet"/>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9">
    <w:lvl w:ilvl="0">
      <w:start w:val="1"/>
      <w:numFmt w:val="decimal"/>
      <w:lvlText w:val="%1."/>
      <w:lvlJc w:val="left"/>
      <w:pPr>
        <w:tabs>
          <w:tab w:val="num" w:pos="0"/>
        </w:tabs>
        <w:ind w:left="425" w:hanging="425"/>
      </w:pPr>
      <w:rPr>
        <w:smallCaps w:val="false"/>
        <w:caps w:val="false"/>
        <w:dstrike w:val="false"/>
        <w:strike w:val="false"/>
        <w:vertAlign w:val="baseline"/>
        <w:position w:val="0"/>
        <w:sz w:val="20"/>
        <w:sz w:val="20"/>
        <w:vanish w:val="false"/>
        <w:rFonts w:ascii="Arial" w:hAnsi="Arial"/>
      </w:rPr>
    </w:lvl>
    <w:lvl w:ilvl="1">
      <w:start w:val="4"/>
      <w:numFmt w:val="bullet"/>
      <w:lvlText w:val="•"/>
      <w:lvlJc w:val="left"/>
      <w:pPr>
        <w:tabs>
          <w:tab w:val="num" w:pos="0"/>
        </w:tabs>
        <w:ind w:left="1440" w:hanging="360"/>
      </w:pPr>
      <w:rPr>
        <w:rFonts w:ascii="Arial" w:hAnsi="Arial" w:cs="Arial" w:hint="default"/>
        <w:rFonts w:eastAsiaTheme="minorHAnsi"/>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425" w:hanging="425"/>
      </w:pPr>
      <w:rPr>
        <w:sz w:val="20"/>
      </w:rPr>
    </w:lvl>
    <w:lvl w:ilvl="1">
      <w:start w:val="1"/>
      <w:numFmt w:val="decimal"/>
      <w:lvlText w:val="%1.%2"/>
      <w:lvlJc w:val="left"/>
      <w:pPr>
        <w:tabs>
          <w:tab w:val="num" w:pos="0"/>
        </w:tabs>
        <w:ind w:left="850" w:hanging="425"/>
      </w:pPr>
      <w:rPr/>
    </w:lvl>
    <w:lvl w:ilvl="2">
      <w:start w:val="1"/>
      <w:numFmt w:val="decimal"/>
      <w:lvlText w:val="%1.%2.%3."/>
      <w:lvlJc w:val="left"/>
      <w:pPr>
        <w:tabs>
          <w:tab w:val="num" w:pos="0"/>
        </w:tabs>
        <w:ind w:left="1275" w:hanging="425"/>
      </w:pPr>
      <w:rPr/>
    </w:lvl>
    <w:lvl w:ilvl="3">
      <w:start w:val="1"/>
      <w:numFmt w:val="decimal"/>
      <w:lvlText w:val="%1.%2.%3.%4."/>
      <w:lvlJc w:val="left"/>
      <w:pPr>
        <w:tabs>
          <w:tab w:val="num" w:pos="0"/>
        </w:tabs>
        <w:ind w:left="1700" w:hanging="425"/>
      </w:pPr>
      <w:rPr/>
    </w:lvl>
    <w:lvl w:ilvl="4">
      <w:start w:val="1"/>
      <w:numFmt w:val="decimal"/>
      <w:lvlText w:val="%1.%2.%3.%4.%5."/>
      <w:lvlJc w:val="left"/>
      <w:pPr>
        <w:tabs>
          <w:tab w:val="num" w:pos="0"/>
        </w:tabs>
        <w:ind w:left="2125" w:hanging="425"/>
      </w:pPr>
      <w:rPr/>
    </w:lvl>
    <w:lvl w:ilvl="5">
      <w:start w:val="1"/>
      <w:numFmt w:val="decimal"/>
      <w:lvlText w:val="%1.%2.%3.%4.%5.%6."/>
      <w:lvlJc w:val="left"/>
      <w:pPr>
        <w:tabs>
          <w:tab w:val="num" w:pos="0"/>
        </w:tabs>
        <w:ind w:left="2550" w:hanging="425"/>
      </w:pPr>
      <w:rPr/>
    </w:lvl>
    <w:lvl w:ilvl="6">
      <w:start w:val="1"/>
      <w:numFmt w:val="decimal"/>
      <w:lvlText w:val="%1.%2.%3.%4.%5.%6.%7."/>
      <w:lvlJc w:val="left"/>
      <w:pPr>
        <w:tabs>
          <w:tab w:val="num" w:pos="0"/>
        </w:tabs>
        <w:ind w:left="2975" w:hanging="425"/>
      </w:pPr>
      <w:rPr/>
    </w:lvl>
    <w:lvl w:ilvl="7">
      <w:start w:val="1"/>
      <w:numFmt w:val="decimal"/>
      <w:lvlText w:val="%1.%2.%3.%4.%5.%6.%7.%8."/>
      <w:lvlJc w:val="left"/>
      <w:pPr>
        <w:tabs>
          <w:tab w:val="num" w:pos="0"/>
        </w:tabs>
        <w:ind w:left="3400" w:hanging="425"/>
      </w:pPr>
      <w:rPr/>
    </w:lvl>
    <w:lvl w:ilvl="8">
      <w:start w:val="1"/>
      <w:numFmt w:val="decimal"/>
      <w:lvlText w:val="%1.%2.%3.%4.%5.%6.%7.%8.%9."/>
      <w:lvlJc w:val="left"/>
      <w:pPr>
        <w:tabs>
          <w:tab w:val="num" w:pos="0"/>
        </w:tabs>
        <w:ind w:left="3825" w:hanging="425"/>
      </w:pPr>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2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semiHidden="1" w:unhideWhenUsed="1"/>
    <w:lsdException w:name="List Number 3" w:uiPriority="0"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d30aa"/>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5d68b7"/>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6d30aa"/>
    <w:pPr>
      <w:spacing w:lineRule="auto" w:line="276" w:before="0" w:after="60"/>
      <w:outlineLvl w:val="1"/>
    </w:pPr>
    <w:rPr>
      <w:rFonts w:ascii="Arial" w:hAnsi="Arial" w:eastAsia="" w:cs="Arial" w:eastAsiaTheme="minorEastAsia"/>
      <w:b/>
      <w:sz w:val="28"/>
      <w:szCs w:val="28"/>
    </w:rPr>
  </w:style>
  <w:style w:type="paragraph" w:styleId="Heading3">
    <w:name w:val="heading 3"/>
    <w:basedOn w:val="Normal"/>
    <w:next w:val="Normal"/>
    <w:link w:val="Heading3Char"/>
    <w:uiPriority w:val="9"/>
    <w:unhideWhenUsed/>
    <w:qFormat/>
    <w:rsid w:val="006d30aa"/>
    <w:pPr>
      <w:spacing w:lineRule="auto" w:line="276" w:before="0" w:after="60"/>
      <w:outlineLvl w:val="2"/>
    </w:pPr>
    <w:rPr>
      <w:rFonts w:ascii="Arial" w:hAnsi="Arial" w:eastAsia="" w:cs="Arial" w:eastAsiaTheme="minorEastAsia"/>
      <w:b/>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d30aa"/>
    <w:rPr>
      <w:rFonts w:ascii="Arial" w:hAnsi="Arial" w:eastAsia="" w:cs="Arial" w:eastAsiaTheme="minorEastAsia"/>
      <w:b/>
      <w:sz w:val="28"/>
      <w:szCs w:val="28"/>
    </w:rPr>
  </w:style>
  <w:style w:type="character" w:styleId="Heading3Char" w:customStyle="1">
    <w:name w:val="Heading 3 Char"/>
    <w:basedOn w:val="DefaultParagraphFont"/>
    <w:link w:val="Heading3"/>
    <w:uiPriority w:val="9"/>
    <w:qFormat/>
    <w:rsid w:val="006d30aa"/>
    <w:rPr>
      <w:rFonts w:ascii="Arial" w:hAnsi="Arial" w:eastAsia="" w:cs="Arial" w:eastAsiaTheme="minorEastAsia"/>
      <w:b/>
      <w:sz w:val="22"/>
      <w:szCs w:val="22"/>
    </w:rPr>
  </w:style>
  <w:style w:type="character" w:styleId="Hyperlink">
    <w:name w:val="Hyperlink"/>
    <w:basedOn w:val="DefaultParagraphFont"/>
    <w:unhideWhenUsed/>
    <w:rsid w:val="006d30aa"/>
    <w:rPr>
      <w:color w:themeColor="hyperlink" w:val="0563C1"/>
      <w:u w:val="single"/>
    </w:rPr>
  </w:style>
  <w:style w:type="character" w:styleId="Heading1Char" w:customStyle="1">
    <w:name w:val="Heading 1 Char"/>
    <w:basedOn w:val="DefaultParagraphFont"/>
    <w:link w:val="Heading1"/>
    <w:uiPriority w:val="9"/>
    <w:qFormat/>
    <w:rsid w:val="005d68b7"/>
    <w:rPr>
      <w:rFonts w:ascii="Calibri Light" w:hAnsi="Calibri Light" w:eastAsia="" w:cs="" w:asciiTheme="majorHAnsi" w:cstheme="majorBidi" w:eastAsiaTheme="majorEastAsia" w:hAnsiTheme="majorHAnsi"/>
      <w:color w:themeColor="accent1" w:themeShade="bf" w:val="2F5496"/>
      <w:sz w:val="32"/>
      <w:szCs w:val="32"/>
    </w:rPr>
  </w:style>
  <w:style w:type="character" w:styleId="BalloonTextChar" w:customStyle="1">
    <w:name w:val="Balloon Text Char"/>
    <w:basedOn w:val="DefaultParagraphFont"/>
    <w:link w:val="BalloonText"/>
    <w:uiPriority w:val="99"/>
    <w:semiHidden/>
    <w:qFormat/>
    <w:rsid w:val="00ea25c8"/>
    <w:rPr>
      <w:rFonts w:ascii="Times New Roman" w:hAnsi="Times New Roman" w:cs="Times New Roman"/>
      <w:sz w:val="18"/>
      <w:szCs w:val="18"/>
    </w:rPr>
  </w:style>
  <w:style w:type="character" w:styleId="ListParagraphChar" w:customStyle="1">
    <w:name w:val="List Paragraph Char"/>
    <w:link w:val="ListParagraph"/>
    <w:uiPriority w:val="34"/>
    <w:qFormat/>
    <w:rsid w:val="0066560b"/>
    <w:rPr>
      <w:rFonts w:ascii="Arial" w:hAnsi="Arial" w:eastAsia="" w:cs="Arial" w:eastAsiaTheme="minorEastAsia"/>
      <w:sz w:val="20"/>
      <w:szCs w:val="20"/>
    </w:rPr>
  </w:style>
  <w:style w:type="character" w:styleId="HeaderChar" w:customStyle="1">
    <w:name w:val="Header Char"/>
    <w:basedOn w:val="DefaultParagraphFont"/>
    <w:link w:val="Header"/>
    <w:qFormat/>
    <w:rsid w:val="009d2c70"/>
    <w:rPr>
      <w:sz w:val="22"/>
      <w:szCs w:val="22"/>
    </w:rPr>
  </w:style>
  <w:style w:type="character" w:styleId="FooterChar" w:customStyle="1">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rPr/>
  </w:style>
  <w:style w:type="character" w:styleId="BodyText3Char" w:customStyle="1">
    <w:name w:val="Body Text 3 Char"/>
    <w:basedOn w:val="DefaultParagraphFont"/>
    <w:link w:val="BodyText3"/>
    <w:qFormat/>
    <w:rsid w:val="007e4674"/>
    <w:rPr>
      <w:rFonts w:ascii="Times New Roman" w:hAnsi="Times New Roman" w:eastAsia="Times New Roman" w:cs="Times New Roman"/>
      <w:sz w:val="16"/>
      <w:szCs w:val="16"/>
      <w:lang w:eastAsia="en-AU"/>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RTOWorksAssessmentNumbers" w:customStyle="1">
    <w:name w:val="RTO Works Assessment Numbers"/>
    <w:autoRedefine/>
    <w:qFormat/>
    <w:rsid w:val="00ed0ab3"/>
    <w:pPr>
      <w:widowControl/>
      <w:numPr>
        <w:ilvl w:val="0"/>
        <w:numId w:val="9"/>
      </w:numPr>
      <w:suppressAutoHyphens w:val="true"/>
      <w:bidi w:val="0"/>
      <w:spacing w:lineRule="auto" w:line="288" w:before="360" w:after="120"/>
      <w:jc w:val="left"/>
    </w:pPr>
    <w:rPr>
      <w:rFonts w:ascii="Arial" w:hAnsi="Arial" w:eastAsia="Calibri" w:cs="Arial" w:eastAsiaTheme="minorHAnsi"/>
      <w:b/>
      <w:bCs/>
      <w:color w:val="auto"/>
      <w:kern w:val="0"/>
      <w:sz w:val="20"/>
      <w:szCs w:val="20"/>
      <w:lang w:val="en-AU" w:eastAsia="en-US" w:bidi="ar-SA"/>
    </w:rPr>
  </w:style>
  <w:style w:type="paragraph" w:styleId="RTOWorksBodyText" w:customStyle="1">
    <w:name w:val="RTO Works Body Text"/>
    <w:qFormat/>
    <w:rsid w:val="006d30aa"/>
    <w:pPr>
      <w:widowControl/>
      <w:suppressAutoHyphens w:val="true"/>
      <w:bidi w:val="0"/>
      <w:spacing w:lineRule="auto" w:line="288" w:before="120" w:after="120"/>
      <w:jc w:val="left"/>
    </w:pPr>
    <w:rPr>
      <w:rFonts w:ascii="Arial" w:hAnsi="Arial" w:eastAsia="Calibri" w:cs="Arial" w:eastAsiaTheme="minorHAnsi"/>
      <w:color w:val="auto"/>
      <w:kern w:val="0"/>
      <w:sz w:val="20"/>
      <w:szCs w:val="20"/>
      <w:lang w:val="en-AU" w:eastAsia="en-US" w:bidi="ar-SA"/>
    </w:rPr>
  </w:style>
  <w:style w:type="paragraph" w:styleId="RTOWorksBullet1" w:customStyle="1">
    <w:name w:val="RTO Works Bullet 1"/>
    <w:basedOn w:val="Normal"/>
    <w:qFormat/>
    <w:rsid w:val="00cb6bc5"/>
    <w:pPr>
      <w:numPr>
        <w:ilvl w:val="0"/>
        <w:numId w:val="1"/>
      </w:numPr>
      <w:spacing w:lineRule="auto" w:line="288" w:before="120" w:after="120"/>
    </w:pPr>
    <w:rPr>
      <w:rFonts w:ascii="Arial" w:hAnsi="Arial" w:cs="Arial"/>
      <w:sz w:val="20"/>
      <w:szCs w:val="20"/>
    </w:rPr>
  </w:style>
  <w:style w:type="paragraph" w:styleId="RTOWorksBullet2" w:customStyle="1">
    <w:name w:val="RTO Works Bullet 2"/>
    <w:qFormat/>
    <w:rsid w:val="00bd7409"/>
    <w:pPr>
      <w:widowControl/>
      <w:numPr>
        <w:ilvl w:val="1"/>
        <w:numId w:val="1"/>
      </w:numPr>
      <w:suppressAutoHyphens w:val="true"/>
      <w:bidi w:val="0"/>
      <w:spacing w:lineRule="auto" w:line="288" w:before="120" w:after="120"/>
      <w:jc w:val="left"/>
    </w:pPr>
    <w:rPr>
      <w:rFonts w:ascii="Arial" w:hAnsi="Arial" w:eastAsia="Calibri" w:cs="Arial" w:eastAsiaTheme="minorHAnsi"/>
      <w:color w:val="auto"/>
      <w:kern w:val="0"/>
      <w:sz w:val="20"/>
      <w:szCs w:val="20"/>
      <w:lang w:val="en-AU" w:eastAsia="en-US" w:bidi="ar-SA"/>
    </w:rPr>
  </w:style>
  <w:style w:type="paragraph" w:styleId="RTOWorksBullet3" w:customStyle="1">
    <w:name w:val="RTO Works Bullet 3"/>
    <w:basedOn w:val="Normal"/>
    <w:qFormat/>
    <w:rsid w:val="00bd7409"/>
    <w:pPr>
      <w:numPr>
        <w:ilvl w:val="2"/>
        <w:numId w:val="1"/>
      </w:numPr>
      <w:spacing w:lineRule="auto" w:line="288" w:before="120" w:after="120"/>
    </w:pPr>
    <w:rPr>
      <w:rFonts w:ascii="Arial" w:hAnsi="Arial" w:cs="Arial"/>
      <w:sz w:val="20"/>
      <w:szCs w:val="20"/>
    </w:rPr>
  </w:style>
  <w:style w:type="paragraph" w:styleId="ListParagraph">
    <w:name w:val="List Paragraph"/>
    <w:basedOn w:val="Normal"/>
    <w:link w:val="ListParagraphChar"/>
    <w:uiPriority w:val="34"/>
    <w:qFormat/>
    <w:rsid w:val="006d30aa"/>
    <w:pPr>
      <w:spacing w:lineRule="auto" w:line="276" w:before="0" w:after="60"/>
      <w:ind w:left="720"/>
      <w:contextualSpacing/>
    </w:pPr>
    <w:rPr>
      <w:rFonts w:ascii="Arial" w:hAnsi="Arial" w:eastAsia="" w:cs="Arial" w:eastAsiaTheme="minorEastAsia"/>
      <w:sz w:val="20"/>
      <w:szCs w:val="20"/>
    </w:rPr>
  </w:style>
  <w:style w:type="paragraph" w:styleId="StyleTableHeader10pt" w:customStyle="1">
    <w:name w:val="Style Table Header + 10 pt"/>
    <w:basedOn w:val="Normal"/>
    <w:qFormat/>
    <w:rsid w:val="006d30aa"/>
    <w:pPr>
      <w:spacing w:lineRule="auto" w:line="276" w:before="60" w:after="60"/>
      <w:jc w:val="center"/>
    </w:pPr>
    <w:rPr>
      <w:rFonts w:ascii="Arial" w:hAnsi="Arial" w:eastAsia="Times New Roman" w:cs="Times New Roman"/>
      <w:b/>
      <w:bCs/>
      <w:spacing w:val="-5"/>
      <w:sz w:val="20"/>
      <w:szCs w:val="20"/>
    </w:rPr>
  </w:style>
  <w:style w:type="paragraph" w:styleId="FieldText" w:customStyle="1">
    <w:name w:val="FieldText"/>
    <w:basedOn w:val="Normal"/>
    <w:qFormat/>
    <w:rsid w:val="006d30aa"/>
    <w:pPr>
      <w:widowControl w:val="false"/>
      <w:spacing w:lineRule="auto" w:line="276" w:before="0" w:after="60"/>
    </w:pPr>
    <w:rPr>
      <w:rFonts w:ascii="Arial" w:hAnsi="Arial" w:eastAsia="Times New Roman" w:cs="Times New Roman"/>
      <w:sz w:val="20"/>
      <w:szCs w:val="20"/>
    </w:rPr>
  </w:style>
  <w:style w:type="paragraph" w:styleId="Bullets" w:customStyle="1">
    <w:name w:val="Bullets"/>
    <w:basedOn w:val="ListParagraph"/>
    <w:qFormat/>
    <w:rsid w:val="006d30aa"/>
    <w:pPr>
      <w:numPr>
        <w:ilvl w:val="0"/>
        <w:numId w:val="2"/>
      </w:numPr>
    </w:pPr>
    <w:rPr/>
  </w:style>
  <w:style w:type="paragraph" w:styleId="Tiny" w:customStyle="1">
    <w:name w:val="Tiny"/>
    <w:basedOn w:val="Normal"/>
    <w:qFormat/>
    <w:rsid w:val="006d30aa"/>
    <w:pPr>
      <w:spacing w:lineRule="auto" w:line="276" w:before="0" w:after="60"/>
    </w:pPr>
    <w:rPr>
      <w:rFonts w:ascii="Arial" w:hAnsi="Arial" w:eastAsia="" w:cs="Arial" w:eastAsiaTheme="minorEastAsia"/>
      <w:sz w:val="10"/>
      <w:szCs w:val="10"/>
    </w:rPr>
  </w:style>
  <w:style w:type="paragraph" w:styleId="Small" w:customStyle="1">
    <w:name w:val="Small"/>
    <w:basedOn w:val="Normal"/>
    <w:qFormat/>
    <w:rsid w:val="005d68b7"/>
    <w:pPr>
      <w:spacing w:lineRule="auto" w:line="276" w:before="0" w:after="0"/>
    </w:pPr>
    <w:rPr>
      <w:rFonts w:ascii="Arial" w:hAnsi="Arial" w:eastAsia="" w:cs="Arial" w:eastAsiaTheme="minorEastAsia"/>
      <w:sz w:val="11"/>
      <w:szCs w:val="11"/>
    </w:rPr>
  </w:style>
  <w:style w:type="paragraph" w:styleId="Textbullets" w:customStyle="1">
    <w:name w:val="Text bullets"/>
    <w:basedOn w:val="ListParagraph"/>
    <w:qFormat/>
    <w:rsid w:val="005d68b7"/>
    <w:pPr>
      <w:numPr>
        <w:ilvl w:val="0"/>
        <w:numId w:val="3"/>
      </w:numPr>
      <w:spacing w:before="0" w:after="0"/>
      <w:contextualSpacing/>
    </w:pPr>
    <w:rPr/>
  </w:style>
  <w:style w:type="paragraph" w:styleId="RTOWorksHeading1" w:customStyle="1">
    <w:name w:val="RTO Works Heading 1"/>
    <w:next w:val="RTOWorksBodyText"/>
    <w:qFormat/>
    <w:rsid w:val="00797014"/>
    <w:pPr>
      <w:widowControl/>
      <w:suppressAutoHyphens w:val="true"/>
      <w:bidi w:val="0"/>
      <w:spacing w:lineRule="auto" w:line="276" w:before="360" w:after="120"/>
      <w:jc w:val="left"/>
    </w:pPr>
    <w:rPr>
      <w:rFonts w:ascii="Gulim" w:hAnsi="Gulim" w:eastAsia="Gulim" w:cs="Arial"/>
      <w:b/>
      <w:bCs/>
      <w:color w:val="00667A"/>
      <w:spacing w:val="24"/>
      <w:kern w:val="0"/>
      <w:sz w:val="32"/>
      <w:szCs w:val="32"/>
      <w:lang w:val="en-AU" w:eastAsia="en-AU" w:bidi="ar-SA"/>
    </w:rPr>
  </w:style>
  <w:style w:type="paragraph" w:styleId="RTOWorksHeading3" w:customStyle="1">
    <w:name w:val="RTO Works Heading 3"/>
    <w:qFormat/>
    <w:rsid w:val="00797014"/>
    <w:pPr>
      <w:widowControl/>
      <w:suppressAutoHyphens w:val="true"/>
      <w:bidi w:val="0"/>
      <w:spacing w:lineRule="auto" w:line="276" w:before="360" w:after="120"/>
      <w:jc w:val="left"/>
    </w:pPr>
    <w:rPr>
      <w:rFonts w:ascii="Gulim" w:hAnsi="Gulim" w:eastAsia="Gulim" w:cs="Arial"/>
      <w:b/>
      <w:bCs/>
      <w:color w:val="00667A"/>
      <w:spacing w:val="20"/>
      <w:kern w:val="0"/>
      <w:sz w:val="24"/>
      <w:szCs w:val="24"/>
      <w:lang w:val="en-AU" w:eastAsia="en-US" w:bidi="ar-SA"/>
    </w:rPr>
  </w:style>
  <w:style w:type="paragraph" w:styleId="RTOWorksNumbers" w:customStyle="1">
    <w:name w:val="RTO Works Numbers"/>
    <w:qFormat/>
    <w:rsid w:val="00f73706"/>
    <w:pPr>
      <w:widowControl/>
      <w:numPr>
        <w:ilvl w:val="0"/>
        <w:numId w:val="4"/>
      </w:numPr>
      <w:suppressAutoHyphens w:val="true"/>
      <w:bidi w:val="0"/>
      <w:spacing w:lineRule="auto" w:line="276" w:before="120" w:after="120"/>
      <w:jc w:val="left"/>
    </w:pPr>
    <w:rPr>
      <w:rFonts w:ascii="Arial" w:hAnsi="Arial" w:eastAsia="Calibri" w:cs="Arial" w:eastAsiaTheme="minorHAnsi"/>
      <w:color w:val="auto"/>
      <w:kern w:val="0"/>
      <w:sz w:val="20"/>
      <w:szCs w:val="20"/>
      <w:lang w:val="en-AU" w:eastAsia="en-US" w:bidi="ar-SA"/>
    </w:rPr>
  </w:style>
  <w:style w:type="paragraph" w:styleId="BalloonText">
    <w:name w:val="Balloon Text"/>
    <w:basedOn w:val="Normal"/>
    <w:link w:val="BalloonTextChar"/>
    <w:uiPriority w:val="99"/>
    <w:semiHidden/>
    <w:unhideWhenUsed/>
    <w:qFormat/>
    <w:rsid w:val="00ea25c8"/>
    <w:pPr>
      <w:spacing w:lineRule="auto" w:line="240" w:before="0" w:after="0"/>
    </w:pPr>
    <w:rPr>
      <w:rFonts w:ascii="Times New Roman" w:hAnsi="Times New Roman" w:cs="Times New Roman"/>
      <w:sz w:val="18"/>
      <w:szCs w:val="18"/>
    </w:rPr>
  </w:style>
  <w:style w:type="paragraph" w:styleId="TableText" w:customStyle="1">
    <w:name w:val="Table Text"/>
    <w:basedOn w:val="Normal"/>
    <w:qFormat/>
    <w:rsid w:val="00b20872"/>
    <w:pPr>
      <w:tabs>
        <w:tab w:val="clear" w:pos="720"/>
        <w:tab w:val="left" w:pos="993" w:leader="none"/>
      </w:tabs>
      <w:spacing w:lineRule="auto" w:line="240" w:before="60" w:after="60"/>
    </w:pPr>
    <w:rPr>
      <w:rFonts w:ascii="Arial" w:hAnsi="Arial" w:cs="Arial"/>
      <w:sz w:val="20"/>
    </w:rPr>
  </w:style>
  <w:style w:type="paragraph" w:styleId="TableContents">
    <w:name w:val="Table Contents"/>
    <w:basedOn w:val="Normal"/>
    <w:qFormat/>
    <w:pPr/>
    <w:rPr/>
  </w:style>
  <w:style w:type="paragraph" w:styleId="TableHeading" w:customStyle="1">
    <w:name w:val="Table Heading"/>
    <w:basedOn w:val="Normal"/>
    <w:qFormat/>
    <w:rsid w:val="00b20872"/>
    <w:pPr>
      <w:keepNext w:val="true"/>
      <w:tabs>
        <w:tab w:val="clear" w:pos="720"/>
        <w:tab w:val="left" w:pos="993" w:leader="none"/>
      </w:tabs>
      <w:spacing w:lineRule="auto" w:line="240" w:before="60" w:after="60"/>
    </w:pPr>
    <w:rPr>
      <w:rFonts w:ascii="Arial" w:hAnsi="Arial" w:cs="Arial"/>
      <w:b/>
      <w:sz w:val="20"/>
    </w:rPr>
  </w:style>
  <w:style w:type="paragraph" w:styleId="ListNumber">
    <w:name w:val="List Number"/>
    <w:basedOn w:val="Normal"/>
    <w:rsid w:val="00b20872"/>
    <w:pPr>
      <w:numPr>
        <w:ilvl w:val="0"/>
        <w:numId w:val="5"/>
      </w:numPr>
      <w:tabs>
        <w:tab w:val="clear" w:pos="720"/>
        <w:tab w:val="left" w:pos="993" w:leader="none"/>
      </w:tabs>
      <w:spacing w:lineRule="auto" w:line="240" w:before="240" w:after="0"/>
      <w:outlineLvl w:val="0"/>
    </w:pPr>
    <w:rPr>
      <w:rFonts w:ascii="Arial" w:hAnsi="Arial" w:cs="Arial"/>
      <w:b/>
    </w:rPr>
  </w:style>
  <w:style w:type="paragraph" w:styleId="ListNumber2">
    <w:name w:val="List Number 2"/>
    <w:basedOn w:val="Normal"/>
    <w:rsid w:val="00b20872"/>
    <w:pPr>
      <w:numPr>
        <w:ilvl w:val="1"/>
        <w:numId w:val="5"/>
      </w:numPr>
      <w:tabs>
        <w:tab w:val="clear" w:pos="720"/>
        <w:tab w:val="left" w:pos="993" w:leader="none"/>
      </w:tabs>
      <w:spacing w:lineRule="auto" w:line="240" w:before="240" w:after="0"/>
      <w:outlineLvl w:val="1"/>
    </w:pPr>
    <w:rPr>
      <w:rFonts w:ascii="Arial" w:hAnsi="Arial" w:cs="Arial"/>
    </w:rPr>
  </w:style>
  <w:style w:type="paragraph" w:styleId="ListNumber3">
    <w:name w:val="List Number 3"/>
    <w:basedOn w:val="Normal"/>
    <w:rsid w:val="00b20872"/>
    <w:pPr>
      <w:numPr>
        <w:ilvl w:val="2"/>
        <w:numId w:val="5"/>
      </w:numPr>
      <w:tabs>
        <w:tab w:val="clear" w:pos="720"/>
        <w:tab w:val="left" w:pos="993" w:leader="none"/>
      </w:tabs>
      <w:spacing w:lineRule="auto" w:line="240" w:before="240" w:after="0"/>
      <w:outlineLvl w:val="2"/>
    </w:pPr>
    <w:rPr>
      <w:rFonts w:ascii="Arial" w:hAnsi="Arial" w:cs="Arial"/>
    </w:rPr>
  </w:style>
  <w:style w:type="paragraph" w:styleId="HeaderandFooter">
    <w:name w:val="Header and Footer"/>
    <w:basedOn w:val="Normal"/>
    <w:qFormat/>
    <w:pPr/>
    <w:rPr/>
  </w:style>
  <w:style w:type="paragraph" w:styleId="Header">
    <w:name w:val="header"/>
    <w:basedOn w:val="Normal"/>
    <w:link w:val="HeaderChar"/>
    <w:unhideWhenUsed/>
    <w:rsid w:val="009d2c7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d2c70"/>
    <w:pPr>
      <w:tabs>
        <w:tab w:val="clear" w:pos="720"/>
        <w:tab w:val="center" w:pos="4513" w:leader="none"/>
        <w:tab w:val="right" w:pos="9026" w:leader="none"/>
      </w:tabs>
      <w:spacing w:lineRule="auto" w:line="240" w:before="0" w:after="0"/>
    </w:pPr>
    <w:rPr/>
  </w:style>
  <w:style w:type="paragraph" w:styleId="RTOWorksHeading2" w:customStyle="1">
    <w:name w:val="RTO Works Heading 2"/>
    <w:basedOn w:val="Normal"/>
    <w:next w:val="Normal"/>
    <w:qFormat/>
    <w:rsid w:val="0027158a"/>
    <w:pPr>
      <w:spacing w:lineRule="auto" w:line="276" w:before="360" w:after="120"/>
    </w:pPr>
    <w:rPr>
      <w:rFonts w:ascii="Gulim" w:hAnsi="Gulim" w:eastAsia="Gulim" w:cs="Arial"/>
      <w:b/>
      <w:bCs/>
      <w:color w:val="00667A"/>
      <w:spacing w:val="20"/>
      <w:sz w:val="28"/>
      <w:szCs w:val="28"/>
    </w:rPr>
  </w:style>
  <w:style w:type="paragraph" w:styleId="Default" w:customStyle="1">
    <w:name w:val="Default"/>
    <w:qFormat/>
    <w:rsid w:val="008c1589"/>
    <w:pPr>
      <w:widowControl w:val="false"/>
      <w:suppressAutoHyphens w:val="true"/>
      <w:bidi w:val="0"/>
      <w:spacing w:before="0" w:after="0"/>
      <w:jc w:val="left"/>
    </w:pPr>
    <w:rPr>
      <w:rFonts w:ascii="Arial" w:hAnsi="Arial" w:eastAsia="" w:cs="Arial" w:eastAsiaTheme="minorEastAsia"/>
      <w:color w:val="000000"/>
      <w:kern w:val="0"/>
      <w:sz w:val="24"/>
      <w:szCs w:val="24"/>
      <w:lang w:val="en-US" w:eastAsia="en-US" w:bidi="ar-SA"/>
    </w:rPr>
  </w:style>
  <w:style w:type="paragraph" w:styleId="StyledotpointsLeft0cmFirstline0cm" w:customStyle="1">
    <w:name w:val="Style dot points + Left:  0 cm First line:  0 cm"/>
    <w:basedOn w:val="Normal"/>
    <w:qFormat/>
    <w:rsid w:val="00c90771"/>
    <w:pPr>
      <w:numPr>
        <w:ilvl w:val="0"/>
        <w:numId w:val="6"/>
      </w:numPr>
      <w:spacing w:lineRule="auto" w:line="240" w:before="0" w:after="0"/>
    </w:pPr>
    <w:rPr>
      <w:rFonts w:ascii="Verdana" w:hAnsi="Verdana" w:eastAsia="Times New Roman" w:cs="Times New Roman"/>
      <w:sz w:val="20"/>
      <w:szCs w:val="24"/>
      <w:lang w:eastAsia="en-AU"/>
    </w:rPr>
  </w:style>
  <w:style w:type="paragraph" w:styleId="RTOWorksAssessorGuidance" w:customStyle="1">
    <w:name w:val="RTO Works Assessor Guidance"/>
    <w:qFormat/>
    <w:rsid w:val="00fb4d70"/>
    <w:pPr>
      <w:widowControl/>
      <w:suppressAutoHyphens w:val="true"/>
      <w:bidi w:val="0"/>
      <w:spacing w:lineRule="auto" w:line="288" w:before="120" w:after="120"/>
      <w:jc w:val="left"/>
    </w:pPr>
    <w:rPr>
      <w:rFonts w:ascii="Arial" w:hAnsi="Arial" w:eastAsia="Calibri" w:cs="Arial"/>
      <w:color w:val="FF0000"/>
      <w:kern w:val="0"/>
      <w:sz w:val="20"/>
      <w:szCs w:val="20"/>
      <w:lang w:val="en-AU" w:eastAsia="en-US" w:bidi="ar-SA"/>
    </w:rPr>
  </w:style>
  <w:style w:type="paragraph" w:styleId="RTOWorksAssessorGuidanceBullet1" w:customStyle="1">
    <w:name w:val="RTO Works Assessor Guidance Bullet 1"/>
    <w:qFormat/>
    <w:rsid w:val="00fb4d70"/>
    <w:pPr>
      <w:widowControl/>
      <w:numPr>
        <w:ilvl w:val="0"/>
        <w:numId w:val="7"/>
      </w:numPr>
      <w:suppressAutoHyphens w:val="true"/>
      <w:bidi w:val="0"/>
      <w:spacing w:lineRule="auto" w:line="288" w:before="120" w:after="120"/>
      <w:jc w:val="left"/>
    </w:pPr>
    <w:rPr>
      <w:rFonts w:ascii="Arial" w:hAnsi="Arial" w:eastAsia="Calibri" w:cs="Arial"/>
      <w:color w:val="FF0000"/>
      <w:kern w:val="0"/>
      <w:sz w:val="20"/>
      <w:szCs w:val="20"/>
      <w:lang w:val="en-AU" w:eastAsia="en-US" w:bidi="ar-SA"/>
    </w:rPr>
  </w:style>
  <w:style w:type="paragraph" w:styleId="RTOWorksAssessorGuidanceBullet2" w:customStyle="1">
    <w:name w:val="RTO Works Assessor Guidance Bullet 2"/>
    <w:qFormat/>
    <w:rsid w:val="00fb4d70"/>
    <w:pPr>
      <w:widowControl/>
      <w:numPr>
        <w:ilvl w:val="1"/>
        <w:numId w:val="7"/>
      </w:numPr>
      <w:suppressAutoHyphens w:val="true"/>
      <w:bidi w:val="0"/>
      <w:spacing w:lineRule="auto" w:line="288" w:before="120" w:after="120"/>
      <w:jc w:val="left"/>
    </w:pPr>
    <w:rPr>
      <w:rFonts w:ascii="Arial" w:hAnsi="Arial" w:eastAsia="Calibri" w:cs="Arial"/>
      <w:color w:val="FF0000"/>
      <w:kern w:val="0"/>
      <w:sz w:val="20"/>
      <w:szCs w:val="20"/>
      <w:lang w:val="en-AU" w:eastAsia="en-US" w:bidi="ar-SA"/>
    </w:rPr>
  </w:style>
  <w:style w:type="paragraph" w:styleId="Red" w:customStyle="1">
    <w:name w:val="Red"/>
    <w:basedOn w:val="Normal"/>
    <w:qFormat/>
    <w:rsid w:val="0095493d"/>
    <w:pPr>
      <w:spacing w:lineRule="auto" w:line="276" w:before="0" w:after="0"/>
    </w:pPr>
    <w:rPr>
      <w:rFonts w:ascii="Arial" w:hAnsi="Arial" w:eastAsia="" w:cs="Arial" w:eastAsiaTheme="minorEastAsia"/>
      <w:color w:val="FF0000"/>
      <w:sz w:val="20"/>
      <w:szCs w:val="20"/>
      <w:lang w:val="en-US" w:eastAsia="en-AU"/>
    </w:rPr>
  </w:style>
  <w:style w:type="paragraph" w:styleId="NormalWeb">
    <w:name w:val="Normal (Web)"/>
    <w:basedOn w:val="Normal"/>
    <w:qFormat/>
    <w:rsid w:val="007e4674"/>
    <w:pPr>
      <w:spacing w:lineRule="auto" w:line="240" w:beforeAutospacing="1" w:afterAutospacing="1"/>
    </w:pPr>
    <w:rPr>
      <w:rFonts w:ascii="Times New Roman" w:hAnsi="Times New Roman" w:eastAsia="Times New Roman" w:cs="Times New Roman"/>
      <w:sz w:val="24"/>
      <w:szCs w:val="24"/>
      <w:lang w:eastAsia="en-AU"/>
    </w:rPr>
  </w:style>
  <w:style w:type="paragraph" w:styleId="RTOWorksElement" w:customStyle="1">
    <w:name w:val="RTO Works Element"/>
    <w:qFormat/>
    <w:rsid w:val="003a2309"/>
    <w:pPr>
      <w:widowControl/>
      <w:numPr>
        <w:ilvl w:val="0"/>
        <w:numId w:val="10"/>
      </w:numPr>
      <w:suppressAutoHyphens w:val="true"/>
      <w:bidi w:val="0"/>
      <w:spacing w:lineRule="auto" w:line="276" w:before="120" w:after="120"/>
      <w:jc w:val="left"/>
    </w:pPr>
    <w:rPr>
      <w:rFonts w:ascii="Arial" w:hAnsi="Arial" w:eastAsia="Calibri" w:cs="Arial" w:eastAsiaTheme="minorHAnsi"/>
      <w:color w:val="auto"/>
      <w:kern w:val="0"/>
      <w:sz w:val="20"/>
      <w:szCs w:val="20"/>
      <w:lang w:val="en-AU" w:eastAsia="en-US" w:bidi="ar-SA"/>
    </w:rPr>
  </w:style>
  <w:style w:type="paragraph" w:styleId="RTOWorksPerformanceCritieria" w:customStyle="1">
    <w:name w:val="RTO Works Performance Critieria"/>
    <w:qFormat/>
    <w:rsid w:val="003a2309"/>
    <w:pPr>
      <w:widowControl/>
      <w:numPr>
        <w:ilvl w:val="1"/>
        <w:numId w:val="10"/>
      </w:numPr>
      <w:suppressAutoHyphens w:val="true"/>
      <w:bidi w:val="0"/>
      <w:spacing w:lineRule="auto" w:line="276" w:before="120" w:after="120"/>
      <w:jc w:val="left"/>
    </w:pPr>
    <w:rPr>
      <w:rFonts w:ascii="Arial" w:hAnsi="Arial" w:eastAsia="Calibri" w:cs="Arial" w:eastAsiaTheme="minorHAnsi"/>
      <w:color w:val="auto"/>
      <w:kern w:val="0"/>
      <w:sz w:val="20"/>
      <w:szCs w:val="20"/>
      <w:lang w:val="en-AU" w:eastAsia="en-US" w:bidi="ar-SA"/>
    </w:rPr>
  </w:style>
  <w:style w:type="paragraph" w:styleId="BodyText3">
    <w:name w:val="Body Text 3"/>
    <w:basedOn w:val="Normal"/>
    <w:link w:val="BodyText3Char"/>
    <w:qFormat/>
    <w:rsid w:val="007e4674"/>
    <w:pPr>
      <w:spacing w:lineRule="auto" w:line="240" w:before="0" w:after="120"/>
    </w:pPr>
    <w:rPr>
      <w:rFonts w:ascii="Times New Roman" w:hAnsi="Times New Roman" w:eastAsia="Times New Roman" w:cs="Times New Roman"/>
      <w:sz w:val="16"/>
      <w:szCs w:val="16"/>
      <w:lang w:eastAsia="en-AU"/>
    </w:rPr>
  </w:style>
  <w:style w:type="paragraph" w:styleId="RTOWorksAssessorGuidanceBulletInd1" w:customStyle="1">
    <w:name w:val="RTO Works Assessor Guidance Bullet Ind 1"/>
    <w:qFormat/>
    <w:rsid w:val="00cb6bc5"/>
    <w:pPr>
      <w:widowControl/>
      <w:numPr>
        <w:ilvl w:val="0"/>
        <w:numId w:val="8"/>
      </w:numPr>
      <w:suppressAutoHyphens w:val="true"/>
      <w:bidi w:val="0"/>
      <w:spacing w:lineRule="auto" w:line="288" w:before="120" w:after="120"/>
      <w:jc w:val="left"/>
    </w:pPr>
    <w:rPr>
      <w:rFonts w:ascii="Arial" w:hAnsi="Arial" w:eastAsia="Calibri" w:cs="Arial"/>
      <w:color w:val="FF0000"/>
      <w:kern w:val="0"/>
      <w:sz w:val="20"/>
      <w:szCs w:val="20"/>
      <w:lang w:val="en-AU" w:eastAsia="en-US" w:bidi="ar-SA"/>
    </w:rPr>
  </w:style>
  <w:style w:type="paragraph" w:styleId="RTOWorksAssessorGuidanceBulletInd2" w:customStyle="1">
    <w:name w:val="RTO Works Assessor Guidance Bullet Ind 2"/>
    <w:qFormat/>
    <w:rsid w:val="00cb6bc5"/>
    <w:pPr>
      <w:widowControl/>
      <w:numPr>
        <w:ilvl w:val="1"/>
        <w:numId w:val="8"/>
      </w:numPr>
      <w:suppressAutoHyphens w:val="true"/>
      <w:bidi w:val="0"/>
      <w:spacing w:lineRule="auto" w:line="288" w:before="120" w:after="120"/>
      <w:jc w:val="left"/>
    </w:pPr>
    <w:rPr>
      <w:rFonts w:ascii="Arial" w:hAnsi="Arial" w:eastAsia="Calibri" w:cs="Arial"/>
      <w:color w:val="FF0000"/>
      <w:kern w:val="0"/>
      <w:sz w:val="20"/>
      <w:szCs w:val="20"/>
      <w:lang w:val="en-AU" w:eastAsia="en-US" w:bidi="ar-SA"/>
    </w:rPr>
  </w:style>
  <w:style w:type="paragraph" w:styleId="RTOWorksBodyTextIndent" w:customStyle="1">
    <w:name w:val="RTO Works Body Text Indent"/>
    <w:qFormat/>
    <w:rsid w:val="00165c00"/>
    <w:pPr>
      <w:widowControl/>
      <w:suppressAutoHyphens w:val="true"/>
      <w:bidi w:val="0"/>
      <w:spacing w:lineRule="auto" w:line="288" w:before="120" w:after="120"/>
      <w:ind w:left="425"/>
      <w:jc w:val="left"/>
    </w:pPr>
    <w:rPr>
      <w:rFonts w:ascii="Arial" w:hAnsi="Arial" w:eastAsia="Calibri" w:cs="Arial" w:eastAsiaTheme="minorHAnsi"/>
      <w:color w:val="auto"/>
      <w:kern w:val="0"/>
      <w:sz w:val="20"/>
      <w:szCs w:val="20"/>
      <w:lang w:val="en-AU" w:eastAsia="en-US" w:bidi="ar-SA"/>
    </w:rPr>
  </w:style>
  <w:style w:type="paragraph" w:styleId="Questionsbullets" w:customStyle="1">
    <w:name w:val="Questions bullets"/>
    <w:basedOn w:val="Normal"/>
    <w:qFormat/>
    <w:rsid w:val="00124e5b"/>
    <w:pPr>
      <w:numPr>
        <w:ilvl w:val="1"/>
        <w:numId w:val="11"/>
      </w:numPr>
      <w:spacing w:lineRule="auto" w:line="276" w:before="0" w:after="0"/>
      <w:contextualSpacing/>
    </w:pPr>
    <w:rPr>
      <w:rFonts w:ascii="Arial" w:hAnsi="Arial" w:eastAsia="Times New Roman" w:cs="Arial"/>
      <w:sz w:val="20"/>
      <w:szCs w:val="20"/>
      <w:lang w:eastAsia="en-AU"/>
    </w:rPr>
  </w:style>
  <w:style w:type="paragraph" w:styleId="FrameContents">
    <w:name w:val="Frame Contents"/>
    <w:basedOn w:val="Normal"/>
    <w:qFormat/>
    <w:pPr/>
    <w:rPr/>
  </w:style>
  <w:style w:type="paragraph" w:styleId="FrameContentsuser">
    <w:name w:val="Frame Contents (user)"/>
    <w:basedOn w:val="Normal"/>
    <w:qFormat/>
    <w:pPr/>
    <w:rPr/>
  </w:style>
  <w:style w:type="paragraph" w:styleId="Comment">
    <w:name w:val="Comment"/>
    <w:basedOn w:val="Normal"/>
    <w:qFormat/>
    <w:pPr>
      <w:spacing w:lineRule="auto" w:line="240" w:before="56" w:after="0"/>
      <w:ind w:hanging="0" w:left="57" w:right="57"/>
    </w:pPr>
    <w:rPr>
      <w:color w:val="auto"/>
      <w:sz w:val="20"/>
      <w:szCs w:val="20"/>
    </w:rPr>
  </w:style>
  <w:style w:type="paragraph" w:styleId="Subtitle">
    <w:name w:val="Subtitle"/>
    <w:basedOn w:val="Heading"/>
    <w:next w:val="BodyText"/>
    <w:qFormat/>
    <w:pPr>
      <w:spacing w:before="60" w:after="120"/>
      <w:jc w:val="center"/>
    </w:pPr>
    <w:rPr>
      <w:sz w:val="36"/>
      <w:szCs w:val="36"/>
    </w:rPr>
  </w:style>
  <w:style w:type="paragraph" w:styleId="Title">
    <w:name w:val="Title"/>
    <w:basedOn w:val="Heading"/>
    <w:next w:val="BodyText"/>
    <w:qFormat/>
    <w:pPr>
      <w:jc w:val="center"/>
    </w:pPr>
    <w:rPr>
      <w:b/>
      <w:bCs/>
      <w:sz w:val="56"/>
      <w:szCs w:val="56"/>
    </w:rPr>
  </w:style>
  <w:style w:type="numbering" w:styleId="NoList" w:default="1">
    <w:name w:val="No List"/>
    <w:uiPriority w:val="99"/>
    <w:semiHidden/>
    <w:unhideWhenUsed/>
    <w:qFormat/>
  </w:style>
  <w:style w:type="numbering" w:styleId="AssessorGuidanceBullets" w:customStyle="1">
    <w:name w:val="Assessor Guidance Bullets"/>
    <w:uiPriority w:val="99"/>
    <w:qFormat/>
    <w:rsid w:val="00fb4d70"/>
  </w:style>
  <w:style w:type="numbering" w:styleId="BodyTextBullets" w:customStyle="1">
    <w:name w:val="Body Text Bullets"/>
    <w:uiPriority w:val="99"/>
    <w:qFormat/>
    <w:rsid w:val="00303e3a"/>
  </w:style>
  <w:style w:type="numbering" w:styleId="BodtTextBullets" w:customStyle="1">
    <w:name w:val="Bodt Text Bullets"/>
    <w:uiPriority w:val="99"/>
    <w:qFormat/>
    <w:rsid w:val="00303e3a"/>
  </w:style>
  <w:style w:type="numbering" w:styleId="AssessorGuidanceBulletIndent" w:customStyle="1">
    <w:name w:val="Assessor Guidance Bullet Indent"/>
    <w:uiPriority w:val="99"/>
    <w:qFormat/>
    <w:rsid w:val="00cb6bc5"/>
  </w:style>
  <w:style w:type="numbering" w:styleId="Style11" w:customStyle="1">
    <w:name w:val="Style1"/>
    <w:uiPriority w:val="99"/>
    <w:qFormat/>
    <w:locked/>
    <w:rsid w:val="003a230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d30aa"/>
    <w:rPr>
      <w:rFonts w:eastAsiaTheme="minorEastAsia"/>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287</TotalTime>
  <Application>LibreOffice/25.2.4.3$Linux_X86_64 LibreOffice_project/520$Build-3</Application>
  <AppVersion>15.0000</AppVersion>
  <Pages>6</Pages>
  <Words>832</Words>
  <Characters>4712</Characters>
  <CharactersWithSpaces>5369</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2021-06-08T18:44:00Z</dcterms:created>
  <dc:creator>Sally Tansley</dc:creator>
  <dc:description/>
  <dc:language>en-AU</dc:language>
  <cp:lastModifiedBy/>
  <dcterms:modified xsi:type="dcterms:W3CDTF">2025-07-17T16:54:19Z</dcterms:modified>
  <cp:revision>278</cp:revision>
  <dc:subject/>
  <dc:title/>
</cp:coreProperties>
</file>

<file path=docProps/custom.xml><?xml version="1.0" encoding="utf-8"?>
<Properties xmlns="http://schemas.openxmlformats.org/officeDocument/2006/custom-properties" xmlns:vt="http://schemas.openxmlformats.org/officeDocument/2006/docPropsVTypes"/>
</file>