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C54A" w14:textId="464E7596"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Optus:</w:t>
      </w:r>
    </w:p>
    <w:p w14:paraId="02276C4C" w14:textId="7226C1F8"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1. </w:t>
      </w:r>
      <w:r w:rsidRPr="00CF6B91">
        <w:rPr>
          <w:rFonts w:ascii="Arial" w:hAnsi="Arial" w:cs="Arial"/>
          <w:color w:val="000000" w:themeColor="text1"/>
        </w:rPr>
        <w:t xml:space="preserve">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3D724CDE" w14:textId="282D54F7" w:rsidR="00E67F8F" w:rsidRPr="00CF6B91" w:rsidRDefault="00E67F8F" w:rsidP="00E67F8F">
      <w:pPr>
        <w:rPr>
          <w:rFonts w:ascii="Arial" w:hAnsi="Arial" w:cs="Arial"/>
          <w:color w:val="000000" w:themeColor="text1"/>
        </w:rPr>
      </w:pPr>
      <w:r w:rsidRPr="00CF6B91">
        <w:rPr>
          <w:rFonts w:ascii="Arial" w:hAnsi="Arial" w:cs="Arial"/>
          <w:color w:val="000000" w:themeColor="text1"/>
        </w:rPr>
        <w:t>2.</w:t>
      </w:r>
      <w:r w:rsidRPr="00CF6B91">
        <w:rPr>
          <w:rFonts w:ascii="Arial" w:hAnsi="Arial" w:cs="Arial"/>
          <w:color w:val="000000" w:themeColor="text1"/>
        </w:rPr>
        <w:t xml:space="preserve">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64FBC665" w14:textId="77777777" w:rsidR="00E67F8F" w:rsidRPr="00CF6B91" w:rsidRDefault="00E67F8F" w:rsidP="00E67F8F">
      <w:pPr>
        <w:rPr>
          <w:rFonts w:ascii="Arial" w:hAnsi="Arial" w:cs="Arial"/>
          <w:color w:val="000000" w:themeColor="text1"/>
        </w:rPr>
      </w:pPr>
    </w:p>
    <w:p w14:paraId="29F6FC84" w14:textId="77777777" w:rsidR="00E67F8F" w:rsidRPr="00CF6B91" w:rsidRDefault="00E67F8F" w:rsidP="00E67F8F">
      <w:pPr>
        <w:rPr>
          <w:rFonts w:ascii="Arial" w:hAnsi="Arial" w:cs="Arial"/>
          <w:color w:val="000000" w:themeColor="text1"/>
        </w:rPr>
      </w:pPr>
    </w:p>
    <w:p w14:paraId="0342160B" w14:textId="40323374"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Lebara:</w:t>
      </w:r>
    </w:p>
    <w:p w14:paraId="5A3242BD"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5537430C"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2447AB95" w14:textId="77777777" w:rsidR="00AA04DF" w:rsidRPr="00CF6B91" w:rsidRDefault="00AA04DF" w:rsidP="00A628CF">
      <w:pPr>
        <w:rPr>
          <w:rFonts w:ascii="Arial" w:hAnsi="Arial" w:cs="Arial"/>
          <w:color w:val="000000" w:themeColor="text1"/>
        </w:rPr>
      </w:pPr>
    </w:p>
    <w:p w14:paraId="6F88F95F" w14:textId="77777777" w:rsidR="00AA04DF" w:rsidRPr="00CF6B91" w:rsidRDefault="00AA04DF" w:rsidP="00AA04DF">
      <w:pPr>
        <w:pStyle w:val="Heading2"/>
        <w:rPr>
          <w:color w:val="000000" w:themeColor="text1"/>
          <w:sz w:val="24"/>
          <w:szCs w:val="24"/>
        </w:rPr>
      </w:pPr>
      <w:r w:rsidRPr="00CF6B91">
        <w:rPr>
          <w:color w:val="000000" w:themeColor="text1"/>
          <w:sz w:val="24"/>
          <w:szCs w:val="24"/>
        </w:rPr>
        <w:t>Australian economic conditions</w:t>
      </w:r>
    </w:p>
    <w:p w14:paraId="7A23BF65" w14:textId="77777777" w:rsidR="00AA04DF" w:rsidRPr="00CF6B91" w:rsidRDefault="00AA04DF" w:rsidP="00A628CF">
      <w:pPr>
        <w:rPr>
          <w:rFonts w:ascii="Arial" w:hAnsi="Arial" w:cs="Arial"/>
          <w:color w:val="000000" w:themeColor="text1"/>
        </w:rPr>
      </w:pPr>
    </w:p>
    <w:p w14:paraId="396E27A2" w14:textId="77777777" w:rsidR="00AA04DF" w:rsidRPr="00CF6B91" w:rsidRDefault="00AA04DF" w:rsidP="00AA04DF">
      <w:pPr>
        <w:jc w:val="both"/>
        <w:rPr>
          <w:rFonts w:ascii="Arial" w:hAnsi="Arial" w:cs="Arial"/>
          <w:color w:val="000000" w:themeColor="text1"/>
        </w:rPr>
      </w:pPr>
      <w:r w:rsidRPr="00CF6B91">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51F348D8" w14:textId="77777777" w:rsidR="00AA04DF" w:rsidRPr="00CF6B91" w:rsidRDefault="00AA04DF" w:rsidP="00AA04DF">
      <w:pPr>
        <w:rPr>
          <w:rFonts w:ascii="Arial" w:hAnsi="Arial" w:cs="Arial"/>
          <w:color w:val="000000" w:themeColor="text1"/>
        </w:rPr>
      </w:pPr>
    </w:p>
    <w:p w14:paraId="7D3E5BE2" w14:textId="77777777" w:rsidR="00AA04DF" w:rsidRPr="00CF6B91" w:rsidRDefault="00AA04DF" w:rsidP="00AA04DF">
      <w:pPr>
        <w:rPr>
          <w:rFonts w:ascii="Arial" w:hAnsi="Arial" w:cs="Arial"/>
          <w:color w:val="000000" w:themeColor="text1"/>
        </w:rPr>
      </w:pPr>
    </w:p>
    <w:p w14:paraId="5C57F000"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Supports growth:</w:t>
      </w:r>
    </w:p>
    <w:p w14:paraId="349F166E"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 particularly essential spending on electricity, gas and food, as well as recreation and culture.</w:t>
      </w:r>
    </w:p>
    <w:p w14:paraId="562C390D"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 driven by dwelling investment (+2.6%) and non-dwelling construction (+1.3%), especially in mining and electricity projects.</w:t>
      </w:r>
    </w:p>
    <w:p w14:paraId="79957F5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Changes in inventories</w:t>
      </w:r>
      <w:r w:rsidRPr="00CF6B91">
        <w:rPr>
          <w:rFonts w:ascii="Arial" w:eastAsia="Times New Roman" w:hAnsi="Arial" w:cs="Arial"/>
          <w:noProof w:val="0"/>
          <w:color w:val="000000" w:themeColor="text1"/>
          <w:lang w:eastAsia="en-AU" w:bidi="ar-SA"/>
        </w:rPr>
        <w:t xml:space="preserve"> (+0.1ppt), with build-ups in mining, manufacturing (gold, steel, alumina), and some public authorities.</w:t>
      </w:r>
    </w:p>
    <w:p w14:paraId="774206DC"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Non-mining industries</w:t>
      </w:r>
      <w:r w:rsidRPr="00CF6B91">
        <w:rPr>
          <w:rFonts w:ascii="Arial" w:eastAsia="Times New Roman" w:hAnsi="Arial" w:cs="Arial"/>
          <w:noProof w:val="0"/>
          <w:color w:val="000000" w:themeColor="text1"/>
          <w:lang w:eastAsia="en-AU" w:bidi="ar-SA"/>
        </w:rPr>
        <w:t>: Construction, Information Media &amp; Telecommunications (+2.1%), and Administrative &amp; Support Services (+1.9%).</w:t>
      </w:r>
    </w:p>
    <w:p w14:paraId="3B0E2E3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Agriculture, Forestry &amp; Fishing</w:t>
      </w:r>
      <w:r w:rsidRPr="00CF6B91">
        <w:rPr>
          <w:rFonts w:ascii="Arial" w:eastAsia="Times New Roman" w:hAnsi="Arial" w:cs="Arial"/>
          <w:noProof w:val="0"/>
          <w:color w:val="000000" w:themeColor="text1"/>
          <w:lang w:eastAsia="en-AU" w:bidi="ar-SA"/>
        </w:rPr>
        <w:t xml:space="preserve"> (+4.3%), supported by strong livestock demand from overseas markets.</w:t>
      </w:r>
    </w:p>
    <w:p w14:paraId="2A0FDD6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 with wage growth across private and public sectors, boosting household incomes.</w:t>
      </w:r>
    </w:p>
    <w:p w14:paraId="3DADA81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rose to 5.2%, reflecting stronger disposable income relative to consumption.</w:t>
      </w:r>
    </w:p>
    <w:p w14:paraId="4A153A04" w14:textId="77777777" w:rsidR="00AA04DF" w:rsidRPr="00CF6B91" w:rsidRDefault="00AA04DF" w:rsidP="00AA04DF">
      <w:pPr>
        <w:rPr>
          <w:rFonts w:ascii="Arial" w:hAnsi="Arial" w:cs="Arial"/>
          <w:color w:val="000000" w:themeColor="text1"/>
        </w:rPr>
      </w:pPr>
    </w:p>
    <w:p w14:paraId="2B5F7AE1" w14:textId="77777777" w:rsidR="00AA04DF" w:rsidRPr="00CF6B91" w:rsidRDefault="00AA04DF" w:rsidP="00AA04DF">
      <w:pPr>
        <w:rPr>
          <w:rFonts w:ascii="Arial" w:hAnsi="Arial" w:cs="Arial"/>
          <w:color w:val="000000" w:themeColor="text1"/>
        </w:rPr>
      </w:pPr>
    </w:p>
    <w:p w14:paraId="08F9D1E6"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Detracted growth:</w:t>
      </w:r>
    </w:p>
    <w:p w14:paraId="72F614F5" w14:textId="77777777" w:rsidR="00AA04DF" w:rsidRPr="00CF6B91" w:rsidRDefault="00AA04DF" w:rsidP="00AA04DF">
      <w:pPr>
        <w:rPr>
          <w:rFonts w:ascii="Arial" w:hAnsi="Arial" w:cs="Arial"/>
          <w:color w:val="000000" w:themeColor="text1"/>
        </w:rPr>
      </w:pPr>
    </w:p>
    <w:p w14:paraId="658EE1E1"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Public sector activity</w:t>
      </w:r>
      <w:r w:rsidRPr="00CF6B91">
        <w:rPr>
          <w:rFonts w:ascii="Arial" w:hAnsi="Arial" w:cs="Arial"/>
          <w:color w:val="000000" w:themeColor="text1"/>
        </w:rPr>
        <w:t>: public investment (–2.0%) detracted 0.1ppt, with major projects delayed or completed, and government consumption flat.</w:t>
      </w:r>
    </w:p>
    <w:p w14:paraId="357C5DB7"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Net trade</w:t>
      </w:r>
      <w:r w:rsidRPr="00CF6B91">
        <w:rPr>
          <w:rFonts w:ascii="Arial" w:hAnsi="Arial" w:cs="Arial"/>
          <w:color w:val="000000" w:themeColor="text1"/>
        </w:rPr>
        <w:t xml:space="preserve"> (–0.1ppt), with exports down (–0.8%) more than imports (–0.4%); services exports fell 3.0% (lower student arrivals, weaker spending), and coal/LNG exports declined.</w:t>
      </w:r>
    </w:p>
    <w:p w14:paraId="7F23FB4F"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Mining output</w:t>
      </w:r>
      <w:r w:rsidRPr="00CF6B91">
        <w:rPr>
          <w:rFonts w:ascii="Arial" w:hAnsi="Arial" w:cs="Arial"/>
          <w:color w:val="000000" w:themeColor="text1"/>
        </w:rPr>
        <w:t xml:space="preserve"> (–2.0%), with severe weather events disrupting production and exports of coal, iron ore, and oil &amp; gas.</w:t>
      </w:r>
    </w:p>
    <w:p w14:paraId="226D10FE"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Weather impacts</w:t>
      </w:r>
      <w:r w:rsidRPr="00CF6B91">
        <w:rPr>
          <w:rFonts w:ascii="Arial" w:hAnsi="Arial" w:cs="Arial"/>
          <w:color w:val="000000" w:themeColor="text1"/>
        </w:rPr>
        <w:t xml:space="preserve"> more broadly, which reduced tourism, shipping, and crop planting.</w:t>
      </w:r>
    </w:p>
    <w:p w14:paraId="4D31AD86"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Weak discretionary household spending</w:t>
      </w:r>
      <w:r w:rsidRPr="00CF6B91">
        <w:rPr>
          <w:rFonts w:ascii="Arial" w:hAnsi="Arial" w:cs="Arial"/>
          <w:color w:val="000000" w:themeColor="text1"/>
        </w:rPr>
        <w:t xml:space="preserve"> (+0.3%), softer after a strong December 2024 quarter.</w:t>
      </w:r>
    </w:p>
    <w:p w14:paraId="05DAD1F0"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Falling public sector contributions</w:t>
      </w:r>
      <w:r w:rsidRPr="00CF6B91">
        <w:rPr>
          <w:rFonts w:ascii="Arial" w:hAnsi="Arial" w:cs="Arial"/>
          <w:color w:val="000000" w:themeColor="text1"/>
        </w:rPr>
        <w:t xml:space="preserve"> after nine consecutive quarters of government consumption growth.</w:t>
      </w:r>
    </w:p>
    <w:p w14:paraId="36B49903" w14:textId="77777777" w:rsidR="00AA04DF" w:rsidRPr="00CF6B91" w:rsidRDefault="00AA04DF" w:rsidP="00AA04DF">
      <w:pPr>
        <w:rPr>
          <w:rFonts w:ascii="Arial" w:hAnsi="Arial" w:cs="Arial"/>
          <w:color w:val="000000" w:themeColor="text1"/>
        </w:rPr>
      </w:pPr>
    </w:p>
    <w:p w14:paraId="495EE41A" w14:textId="77777777" w:rsidR="00AA04DF" w:rsidRPr="00CF6B91" w:rsidRDefault="00AA04DF" w:rsidP="00AA04DF">
      <w:pPr>
        <w:spacing w:before="100" w:beforeAutospacing="1" w:after="100" w:afterAutospacing="1"/>
        <w:outlineLvl w:val="2"/>
        <w:rPr>
          <w:rFonts w:ascii="Arial" w:eastAsia="Times New Roman" w:hAnsi="Arial" w:cs="Arial"/>
          <w:b/>
          <w:bCs/>
          <w:noProof w:val="0"/>
          <w:color w:val="000000" w:themeColor="text1"/>
          <w:lang w:eastAsia="en-AU" w:bidi="ar-SA"/>
        </w:rPr>
      </w:pPr>
      <w:r w:rsidRPr="00CF6B91">
        <w:rPr>
          <w:rFonts w:ascii="Arial" w:eastAsia="Times New Roman" w:hAnsi="Arial" w:cs="Arial"/>
          <w:b/>
          <w:bCs/>
          <w:noProof w:val="0"/>
          <w:color w:val="000000" w:themeColor="text1"/>
          <w:lang w:eastAsia="en-AU" w:bidi="ar-SA"/>
        </w:rPr>
        <w:t>Key economic indicators (March quarter 2025)</w:t>
      </w:r>
    </w:p>
    <w:p w14:paraId="5861956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(q/q):</w:t>
      </w:r>
      <w:r w:rsidRPr="00CF6B91">
        <w:rPr>
          <w:rFonts w:ascii="Arial" w:eastAsia="Times New Roman" w:hAnsi="Arial" w:cs="Arial"/>
          <w:noProof w:val="0"/>
          <w:color w:val="000000" w:themeColor="text1"/>
          <w:lang w:eastAsia="en-AU" w:bidi="ar-SA"/>
        </w:rPr>
        <w:t xml:space="preserve"> +0.2%</w:t>
      </w:r>
    </w:p>
    <w:p w14:paraId="32ACA5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(y/y):</w:t>
      </w:r>
      <w:r w:rsidRPr="00CF6B91">
        <w:rPr>
          <w:rFonts w:ascii="Arial" w:eastAsia="Times New Roman" w:hAnsi="Arial" w:cs="Arial"/>
          <w:noProof w:val="0"/>
          <w:color w:val="000000" w:themeColor="text1"/>
          <w:lang w:eastAsia="en-AU" w:bidi="ar-SA"/>
        </w:rPr>
        <w:t xml:space="preserve"> +1.3%</w:t>
      </w:r>
    </w:p>
    <w:p w14:paraId="2458AB2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Nominal GDP growth (q/q):</w:t>
      </w:r>
      <w:r w:rsidRPr="00CF6B91">
        <w:rPr>
          <w:rFonts w:ascii="Arial" w:eastAsia="Times New Roman" w:hAnsi="Arial" w:cs="Arial"/>
          <w:noProof w:val="0"/>
          <w:color w:val="000000" w:themeColor="text1"/>
          <w:lang w:eastAsia="en-AU" w:bidi="ar-SA"/>
        </w:rPr>
        <w:t xml:space="preserve"> +1.4%</w:t>
      </w:r>
    </w:p>
    <w:p w14:paraId="78A9E9B3"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Terms of trade:</w:t>
      </w:r>
      <w:r w:rsidRPr="00CF6B91">
        <w:rPr>
          <w:rFonts w:ascii="Arial" w:eastAsia="Times New Roman" w:hAnsi="Arial" w:cs="Arial"/>
          <w:noProof w:val="0"/>
          <w:color w:val="000000" w:themeColor="text1"/>
          <w:lang w:eastAsia="en-AU" w:bidi="ar-SA"/>
        </w:rPr>
        <w:t xml:space="preserve"> +0.1%</w:t>
      </w:r>
    </w:p>
    <w:p w14:paraId="29777AA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5.2% (up from 3.9%)</w:t>
      </w:r>
    </w:p>
    <w:p w14:paraId="67A83D0A"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w:t>
      </w:r>
    </w:p>
    <w:p w14:paraId="3C3A9E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w:t>
      </w:r>
    </w:p>
    <w:p w14:paraId="2FE21D2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investment:</w:t>
      </w:r>
      <w:r w:rsidRPr="00CF6B91">
        <w:rPr>
          <w:rFonts w:ascii="Arial" w:eastAsia="Times New Roman" w:hAnsi="Arial" w:cs="Arial"/>
          <w:noProof w:val="0"/>
          <w:color w:val="000000" w:themeColor="text1"/>
          <w:lang w:eastAsia="en-AU" w:bidi="ar-SA"/>
        </w:rPr>
        <w:t xml:space="preserve"> –2.0%</w:t>
      </w:r>
    </w:p>
    <w:p w14:paraId="10846FE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Exports:</w:t>
      </w:r>
      <w:r w:rsidRPr="00CF6B91">
        <w:rPr>
          <w:rFonts w:ascii="Arial" w:eastAsia="Times New Roman" w:hAnsi="Arial" w:cs="Arial"/>
          <w:noProof w:val="0"/>
          <w:color w:val="000000" w:themeColor="text1"/>
          <w:lang w:eastAsia="en-AU" w:bidi="ar-SA"/>
        </w:rPr>
        <w:t xml:space="preserve"> –0.8%</w:t>
      </w:r>
    </w:p>
    <w:p w14:paraId="43C4CC00"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Imports:</w:t>
      </w:r>
      <w:r w:rsidRPr="00CF6B91">
        <w:rPr>
          <w:rFonts w:ascii="Arial" w:eastAsia="Times New Roman" w:hAnsi="Arial" w:cs="Arial"/>
          <w:noProof w:val="0"/>
          <w:color w:val="000000" w:themeColor="text1"/>
          <w:lang w:eastAsia="en-AU" w:bidi="ar-SA"/>
        </w:rPr>
        <w:t xml:space="preserve"> –0.4%</w:t>
      </w:r>
    </w:p>
    <w:p w14:paraId="6FD2FDDB"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w:t>
      </w:r>
    </w:p>
    <w:p w14:paraId="0C619CF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Unemployment rate:</w:t>
      </w:r>
      <w:r w:rsidRPr="00CF6B91">
        <w:rPr>
          <w:rFonts w:ascii="Arial" w:eastAsia="Times New Roman" w:hAnsi="Arial" w:cs="Arial"/>
          <w:noProof w:val="0"/>
          <w:color w:val="000000" w:themeColor="text1"/>
          <w:lang w:eastAsia="en-AU" w:bidi="ar-SA"/>
        </w:rPr>
        <w:t xml:space="preserve"> ~4.1%</w:t>
      </w:r>
    </w:p>
    <w:p w14:paraId="17CE9010" w14:textId="77777777" w:rsidR="00AA04DF" w:rsidRPr="00CF6B91" w:rsidRDefault="00AA04DF" w:rsidP="00AA04DF">
      <w:pPr>
        <w:rPr>
          <w:rFonts w:ascii="Arial" w:hAnsi="Arial" w:cs="Arial"/>
          <w:color w:val="000000" w:themeColor="text1"/>
        </w:rPr>
      </w:pPr>
    </w:p>
    <w:p w14:paraId="1D004EA1" w14:textId="170102D1" w:rsidR="00AA04DF" w:rsidRPr="00CF6B91" w:rsidRDefault="00AA04DF" w:rsidP="00F05358">
      <w:pPr>
        <w:pStyle w:val="Heading2"/>
        <w:rPr>
          <w:color w:val="000000" w:themeColor="text1"/>
          <w:sz w:val="24"/>
          <w:szCs w:val="24"/>
        </w:rPr>
      </w:pPr>
      <w:r w:rsidRPr="00CF6B91">
        <w:rPr>
          <w:color w:val="000000" w:themeColor="text1"/>
          <w:sz w:val="24"/>
          <w:szCs w:val="24"/>
        </w:rPr>
        <w:t>Economic factors that can affect growth</w:t>
      </w:r>
    </w:p>
    <w:p w14:paraId="2FD52997"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Essential vs. discretionary spending; electricity and fuel costs significantly influence demand.</w:t>
      </w:r>
    </w:p>
    <w:p w14:paraId="1FA95B0D"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Housing construction, non-dwelling construction, and machinery/equipment spending drive or restrain growth.</w:t>
      </w:r>
    </w:p>
    <w:p w14:paraId="3F16C95B"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sector and investment</w:t>
      </w:r>
      <w:r w:rsidRPr="00CF6B91">
        <w:rPr>
          <w:rFonts w:ascii="Arial" w:eastAsia="Times New Roman" w:hAnsi="Arial" w:cs="Arial"/>
          <w:noProof w:val="0"/>
          <w:color w:val="000000" w:themeColor="text1"/>
          <w:lang w:eastAsia="en-AU" w:bidi="ar-SA"/>
        </w:rPr>
        <w:t>: Government consumption and infrastructure projects can either support or detract from GDP depending on funding cycles.</w:t>
      </w:r>
    </w:p>
    <w:p w14:paraId="68377469"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Trade:</w:t>
      </w:r>
      <w:r w:rsidRPr="00CF6B91">
        <w:rPr>
          <w:rFonts w:ascii="Arial" w:eastAsia="Times New Roman" w:hAnsi="Arial" w:cs="Arial"/>
          <w:noProof w:val="0"/>
          <w:color w:val="000000" w:themeColor="text1"/>
          <w:lang w:eastAsia="en-AU" w:bidi="ar-SA"/>
        </w:rPr>
        <w:t xml:space="preserve"> Shifts in export and import prices, influenced by global demand and exchange rate movements.</w:t>
      </w:r>
    </w:p>
    <w:p w14:paraId="3279BD82"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Weather and natural events</w:t>
      </w:r>
      <w:r w:rsidRPr="00CF6B91">
        <w:rPr>
          <w:rFonts w:ascii="Arial" w:eastAsia="Times New Roman" w:hAnsi="Arial" w:cs="Arial"/>
          <w:noProof w:val="0"/>
          <w:color w:val="000000" w:themeColor="text1"/>
          <w:lang w:eastAsia="en-AU" w:bidi="ar-SA"/>
        </w:rPr>
        <w:t>: Cyclones, floods and other extreme events disrupt mining, agriculture, shipping, and tourism.</w:t>
      </w:r>
    </w:p>
    <w:p w14:paraId="0367E425"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Labour market:</w:t>
      </w:r>
      <w:r w:rsidRPr="00CF6B91">
        <w:rPr>
          <w:rFonts w:ascii="Arial" w:eastAsia="Times New Roman" w:hAnsi="Arial" w:cs="Arial"/>
          <w:noProof w:val="0"/>
          <w:color w:val="000000" w:themeColor="text1"/>
          <w:lang w:eastAsia="en-AU" w:bidi="ar-SA"/>
        </w:rPr>
        <w:t xml:space="preserve"> Employment levels, wages, and compensation of employees affect disposable income and household spending.</w:t>
      </w:r>
    </w:p>
    <w:p w14:paraId="43A81098"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lastRenderedPageBreak/>
        <w:t>Household saving:</w:t>
      </w:r>
      <w:r w:rsidRPr="00CF6B91">
        <w:rPr>
          <w:rFonts w:ascii="Arial" w:eastAsia="Times New Roman" w:hAnsi="Arial" w:cs="Arial"/>
          <w:noProof w:val="0"/>
          <w:color w:val="000000" w:themeColor="text1"/>
          <w:lang w:eastAsia="en-AU" w:bidi="ar-SA"/>
        </w:rPr>
        <w:t xml:space="preserve"> Changes in the saving to income ratio influence consumption capacity and financial resilience.</w:t>
      </w:r>
    </w:p>
    <w:p w14:paraId="2191770E"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Commodity:</w:t>
      </w:r>
      <w:r w:rsidRPr="00CF6B91">
        <w:rPr>
          <w:rFonts w:ascii="Arial" w:eastAsia="Times New Roman" w:hAnsi="Arial" w:cs="Arial"/>
          <w:noProof w:val="0"/>
          <w:color w:val="000000" w:themeColor="text1"/>
          <w:lang w:eastAsia="en-AU" w:bidi="ar-SA"/>
        </w:rPr>
        <w:t xml:space="preserve"> Particularly Chinese demand for iron ore, and international trends for coal, LNG, and rural products.</w:t>
      </w:r>
    </w:p>
    <w:p w14:paraId="649113C6"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Exchange rate:</w:t>
      </w:r>
      <w:r w:rsidRPr="00CF6B91">
        <w:rPr>
          <w:rFonts w:ascii="Arial" w:eastAsia="Times New Roman" w:hAnsi="Arial" w:cs="Arial"/>
          <w:noProof w:val="0"/>
          <w:color w:val="000000" w:themeColor="text1"/>
          <w:lang w:eastAsia="en-AU" w:bidi="ar-SA"/>
        </w:rPr>
        <w:t xml:space="preserve"> A weaker Australian dollar raises import prices but can support export competitiveness.</w:t>
      </w:r>
    </w:p>
    <w:p w14:paraId="2CB07BE8" w14:textId="2CEE47CB" w:rsidR="00D01741"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Inflation:</w:t>
      </w:r>
      <w:r w:rsidRPr="00CF6B91">
        <w:rPr>
          <w:rFonts w:ascii="Arial" w:eastAsia="Times New Roman" w:hAnsi="Arial" w:cs="Arial"/>
          <w:noProof w:val="0"/>
          <w:color w:val="000000" w:themeColor="text1"/>
          <w:lang w:eastAsia="en-AU" w:bidi="ar-SA"/>
        </w:rPr>
        <w:t xml:space="preserve"> Rising labour costs, rents, fuel and services prices shape both household budgets and business margins.</w:t>
      </w:r>
    </w:p>
    <w:p w14:paraId="79BEEF46" w14:textId="3851C874" w:rsidR="00AA04DF" w:rsidRPr="00CF6B91" w:rsidRDefault="00AA04DF" w:rsidP="00D01741">
      <w:pPr>
        <w:suppressAutoHyphens/>
        <w:rPr>
          <w:rFonts w:ascii="Arial" w:eastAsia="Times New Roman" w:hAnsi="Arial" w:cs="Arial"/>
          <w:noProof w:val="0"/>
          <w:color w:val="000000" w:themeColor="text1"/>
          <w:lang w:eastAsia="en-AU" w:bidi="ar-SA"/>
        </w:rPr>
      </w:pPr>
    </w:p>
    <w:p w14:paraId="067625A0" w14:textId="2258E8C6" w:rsidR="00D01741" w:rsidRPr="00CF6B91" w:rsidRDefault="00D01741" w:rsidP="00482B6A">
      <w:pPr>
        <w:pStyle w:val="Heading2"/>
        <w:rPr>
          <w:color w:val="000000" w:themeColor="text1"/>
          <w:sz w:val="24"/>
          <w:szCs w:val="24"/>
        </w:rPr>
      </w:pPr>
      <w:r w:rsidRPr="00CF6B91">
        <w:rPr>
          <w:color w:val="000000" w:themeColor="text1"/>
          <w:sz w:val="24"/>
          <w:szCs w:val="24"/>
        </w:rPr>
        <w:t xml:space="preserve">A </w:t>
      </w:r>
      <w:r w:rsidRPr="00CF6B91">
        <w:rPr>
          <w:color w:val="000000" w:themeColor="text1"/>
          <w:sz w:val="24"/>
          <w:szCs w:val="24"/>
        </w:rPr>
        <w:t>political influence on public and commercial network services</w:t>
      </w:r>
    </w:p>
    <w:p w14:paraId="7D8E1981" w14:textId="77777777" w:rsidR="00D01741" w:rsidRPr="00CF6B91" w:rsidRDefault="00D01741" w:rsidP="00D01741">
      <w:pPr>
        <w:rPr>
          <w:rFonts w:ascii="Arial" w:hAnsi="Arial" w:cs="Arial"/>
          <w:color w:val="000000" w:themeColor="text1"/>
        </w:rPr>
      </w:pPr>
    </w:p>
    <w:p w14:paraId="628A968F" w14:textId="77777777" w:rsidR="00D01741" w:rsidRPr="00CF6B91" w:rsidRDefault="00D01741" w:rsidP="00D01741">
      <w:pPr>
        <w:rPr>
          <w:rFonts w:ascii="Arial" w:hAnsi="Arial" w:cs="Arial"/>
          <w:color w:val="000000" w:themeColor="text1"/>
        </w:rPr>
      </w:pPr>
    </w:p>
    <w:p w14:paraId="07519F33" w14:textId="77777777" w:rsidR="00DD0229" w:rsidRPr="00CF6B91" w:rsidRDefault="00DD0229" w:rsidP="00D01741">
      <w:pPr>
        <w:rPr>
          <w:rFonts w:ascii="Arial" w:hAnsi="Arial" w:cs="Arial"/>
          <w:b/>
          <w:bCs/>
          <w:color w:val="000000" w:themeColor="text1"/>
        </w:rPr>
      </w:pPr>
      <w:bookmarkStart w:id="0" w:name="_Hlk207538930"/>
      <w:r w:rsidRPr="00CF6B91">
        <w:rPr>
          <w:rFonts w:ascii="Arial" w:hAnsi="Arial" w:cs="Arial"/>
          <w:b/>
          <w:bCs/>
          <w:color w:val="000000" w:themeColor="text1"/>
        </w:rPr>
        <w:t>Security:</w:t>
      </w:r>
    </w:p>
    <w:p w14:paraId="18B4CA24" w14:textId="77777777" w:rsidR="00DD0229" w:rsidRPr="00CF6B91" w:rsidRDefault="00DD0229" w:rsidP="00D01741">
      <w:pPr>
        <w:rPr>
          <w:rFonts w:ascii="Arial" w:hAnsi="Arial" w:cs="Arial"/>
          <w:color w:val="000000" w:themeColor="text1"/>
        </w:rPr>
      </w:pPr>
    </w:p>
    <w:p w14:paraId="79BEDF1C" w14:textId="61551934" w:rsidR="00D01741" w:rsidRPr="00CF6B91" w:rsidRDefault="00D01741" w:rsidP="00D01741">
      <w:pPr>
        <w:rPr>
          <w:rFonts w:ascii="Arial" w:hAnsi="Arial" w:cs="Arial"/>
          <w:color w:val="000000" w:themeColor="text1"/>
        </w:rPr>
      </w:pPr>
      <w:r w:rsidRPr="00CF6B91">
        <w:rPr>
          <w:rFonts w:ascii="Arial" w:hAnsi="Arial" w:cs="Arial"/>
          <w:color w:val="000000" w:themeColor="text1"/>
        </w:rPr>
        <w:t>The government created the "Cyber ​​Security Act 2024" in response to the lack of a legal framework for cybersecurity.</w:t>
      </w:r>
    </w:p>
    <w:p w14:paraId="2A823C58" w14:textId="77777777" w:rsidR="00D01741" w:rsidRPr="00CF6B91" w:rsidRDefault="00D01741" w:rsidP="00D01741">
      <w:pPr>
        <w:rPr>
          <w:rFonts w:ascii="Arial" w:hAnsi="Arial" w:cs="Arial"/>
          <w:color w:val="000000" w:themeColor="text1"/>
        </w:rPr>
      </w:pPr>
    </w:p>
    <w:p w14:paraId="6151C985" w14:textId="77777777" w:rsidR="00D01741" w:rsidRPr="00CF6B91" w:rsidRDefault="00D01741" w:rsidP="00D01741">
      <w:pPr>
        <w:rPr>
          <w:rFonts w:ascii="Arial" w:hAnsi="Arial" w:cs="Arial"/>
          <w:color w:val="000000" w:themeColor="text1"/>
        </w:rPr>
      </w:pPr>
      <w:r w:rsidRPr="00CF6B91">
        <w:rPr>
          <w:rFonts w:ascii="Arial" w:hAnsi="Arial" w:cs="Arial"/>
          <w:color w:val="000000" w:themeColor="text1"/>
        </w:rP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19ACCD15" w14:textId="77777777" w:rsidR="00D01741" w:rsidRPr="00CF6B91" w:rsidRDefault="00D01741" w:rsidP="00D01741">
      <w:pPr>
        <w:rPr>
          <w:rFonts w:ascii="Arial" w:hAnsi="Arial" w:cs="Arial"/>
          <w:color w:val="000000" w:themeColor="text1"/>
        </w:rPr>
      </w:pPr>
    </w:p>
    <w:p w14:paraId="15446956" w14:textId="77777777" w:rsidR="00D01741" w:rsidRPr="00CF6B91" w:rsidRDefault="00D01741" w:rsidP="00D01741">
      <w:pPr>
        <w:rPr>
          <w:rFonts w:ascii="Arial" w:hAnsi="Arial" w:cs="Arial"/>
          <w:color w:val="000000" w:themeColor="text1"/>
        </w:rPr>
      </w:pPr>
      <w:r w:rsidRPr="00CF6B91">
        <w:rPr>
          <w:rFonts w:ascii="Arial" w:hAnsi="Arial" w:cs="Arial"/>
          <w:color w:val="000000" w:themeColor="text1"/>
        </w:rP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C89BF63" w14:textId="77777777" w:rsidR="00D01741" w:rsidRPr="00CF6B91" w:rsidRDefault="00D01741" w:rsidP="00D01741">
      <w:pPr>
        <w:rPr>
          <w:rFonts w:ascii="Arial" w:hAnsi="Arial" w:cs="Arial"/>
          <w:color w:val="000000" w:themeColor="text1"/>
        </w:rPr>
      </w:pPr>
    </w:p>
    <w:p w14:paraId="4B802D2E" w14:textId="77777777" w:rsidR="00D01741" w:rsidRPr="00CF6B91" w:rsidRDefault="00D01741" w:rsidP="00D01741">
      <w:pPr>
        <w:rPr>
          <w:rFonts w:ascii="Arial" w:hAnsi="Arial" w:cs="Arial"/>
          <w:color w:val="000000" w:themeColor="text1"/>
        </w:rPr>
      </w:pPr>
      <w:r w:rsidRPr="00CF6B91">
        <w:rPr>
          <w:rFonts w:ascii="Arial" w:hAnsi="Arial" w:cs="Arial"/>
          <w:color w:val="000000" w:themeColor="text1"/>
        </w:rP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0F520D10" w14:textId="77777777" w:rsidR="00D01741" w:rsidRPr="00CF6B91" w:rsidRDefault="00D01741" w:rsidP="00D01741">
      <w:pPr>
        <w:rPr>
          <w:rFonts w:ascii="Arial" w:hAnsi="Arial" w:cs="Arial"/>
          <w:color w:val="000000" w:themeColor="text1"/>
        </w:rPr>
      </w:pPr>
    </w:p>
    <w:p w14:paraId="59CBE000" w14:textId="77777777" w:rsidR="00D01741" w:rsidRPr="00CF6B91" w:rsidRDefault="00D01741" w:rsidP="00D01741">
      <w:pPr>
        <w:rPr>
          <w:rFonts w:ascii="Arial" w:hAnsi="Arial" w:cs="Arial"/>
          <w:color w:val="000000" w:themeColor="text1"/>
        </w:rPr>
      </w:pPr>
      <w:r w:rsidRPr="00CF6B91">
        <w:rPr>
          <w:rFonts w:ascii="Arial" w:hAnsi="Arial" w:cs="Arial"/>
          <w:color w:val="000000" w:themeColor="text1"/>
        </w:rPr>
        <w:t>In short, the law was created to protect Australians' data, increase transparency in the face of cyberattack incidents, and strengthen national resilience to cyber threats.</w:t>
      </w:r>
    </w:p>
    <w:p w14:paraId="56338AC5" w14:textId="77777777" w:rsidR="00DD0229" w:rsidRPr="00CF6B91" w:rsidRDefault="00DD0229" w:rsidP="00D01741">
      <w:pPr>
        <w:spacing w:before="100" w:beforeAutospacing="1" w:after="100" w:afterAutospacing="1"/>
        <w:rPr>
          <w:rFonts w:ascii="Arial" w:eastAsia="Times New Roman" w:hAnsi="Arial" w:cs="Arial"/>
          <w:noProof w:val="0"/>
          <w:color w:val="000000" w:themeColor="text1"/>
          <w:lang w:eastAsia="en-AU" w:bidi="ar-SA"/>
        </w:rPr>
      </w:pPr>
    </w:p>
    <w:p w14:paraId="635284E3" w14:textId="6FC0E58F" w:rsidR="00DD0229" w:rsidRPr="00CF6B91" w:rsidRDefault="00DD0229" w:rsidP="00D01741">
      <w:pPr>
        <w:spacing w:before="100" w:beforeAutospacing="1" w:after="100" w:afterAutospacing="1"/>
        <w:rPr>
          <w:rFonts w:ascii="Arial" w:eastAsia="Times New Roman" w:hAnsi="Arial" w:cs="Arial"/>
          <w:b/>
          <w:bCs/>
          <w:noProof w:val="0"/>
          <w:color w:val="000000" w:themeColor="text1"/>
          <w:lang w:eastAsia="en-AU" w:bidi="ar-SA"/>
        </w:rPr>
      </w:pPr>
      <w:r w:rsidRPr="00CF6B91">
        <w:rPr>
          <w:rFonts w:ascii="Arial" w:eastAsia="Times New Roman" w:hAnsi="Arial" w:cs="Arial"/>
          <w:b/>
          <w:bCs/>
          <w:noProof w:val="0"/>
          <w:color w:val="000000" w:themeColor="text1"/>
          <w:lang w:eastAsia="en-AU" w:bidi="ar-SA"/>
        </w:rPr>
        <w:t xml:space="preserve">Consumer Protection: </w:t>
      </w:r>
    </w:p>
    <w:p w14:paraId="17324647" w14:textId="4ED88426" w:rsidR="00D01741" w:rsidRPr="00CF6B91" w:rsidRDefault="00DD0229" w:rsidP="00D01741">
      <w:p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Both the ACCC and ACMA have increased their focus on protecting consumers from issues like scams, misleading advertising, and unfair sales practices. This includes issuing hefty penalties, like the $100 million penalty Optus agreed to pay for unconscionable conduct in selling products consumers did not need.</w:t>
      </w:r>
    </w:p>
    <w:bookmarkEnd w:id="0"/>
    <w:p w14:paraId="3348FD81" w14:textId="6C8E4A0B" w:rsidR="00AA04DF" w:rsidRPr="00CF6B91" w:rsidRDefault="00AA04DF" w:rsidP="00A628CF">
      <w:pPr>
        <w:rPr>
          <w:rFonts w:ascii="Arial" w:hAnsi="Arial" w:cs="Arial"/>
          <w:color w:val="000000" w:themeColor="text1"/>
        </w:rPr>
      </w:pPr>
    </w:p>
    <w:p w14:paraId="40E81BB6" w14:textId="4599F3D7" w:rsidR="002E4656" w:rsidRPr="00CF6B91" w:rsidRDefault="002E4656">
      <w:pPr>
        <w:suppressAutoHyphens/>
        <w:rPr>
          <w:rFonts w:ascii="Arial" w:hAnsi="Arial" w:cs="Arial"/>
          <w:color w:val="000000" w:themeColor="text1"/>
        </w:rPr>
      </w:pPr>
      <w:r w:rsidRPr="00CF6B91">
        <w:rPr>
          <w:rFonts w:ascii="Arial" w:hAnsi="Arial" w:cs="Arial"/>
          <w:color w:val="000000" w:themeColor="text1"/>
        </w:rPr>
        <w:br w:type="page"/>
      </w:r>
    </w:p>
    <w:p w14:paraId="006A8B95" w14:textId="2106F168" w:rsidR="002E4656" w:rsidRPr="00CF6B91" w:rsidRDefault="002E4656" w:rsidP="002E4656">
      <w:pPr>
        <w:pStyle w:val="Heading2"/>
        <w:rPr>
          <w:color w:val="000000" w:themeColor="text1"/>
          <w:sz w:val="24"/>
          <w:szCs w:val="24"/>
          <w:lang w:eastAsia="en-AU" w:bidi="ar-SA"/>
        </w:rPr>
      </w:pPr>
      <w:r w:rsidRPr="00CF6B91">
        <w:rPr>
          <w:color w:val="000000" w:themeColor="text1"/>
          <w:sz w:val="24"/>
          <w:szCs w:val="24"/>
          <w:lang w:eastAsia="en-AU" w:bidi="ar-SA"/>
        </w:rPr>
        <w:lastRenderedPageBreak/>
        <w:t>Evaluation</w:t>
      </w:r>
      <w:r w:rsidRPr="00CF6B91">
        <w:rPr>
          <w:color w:val="000000" w:themeColor="text1"/>
          <w:sz w:val="24"/>
          <w:szCs w:val="24"/>
          <w:lang w:eastAsia="en-AU" w:bidi="ar-SA"/>
        </w:rPr>
        <w:t xml:space="preserve"> report</w:t>
      </w:r>
    </w:p>
    <w:p w14:paraId="09255F04" w14:textId="77777777" w:rsidR="002E4656" w:rsidRPr="00CF6B91" w:rsidRDefault="002E4656" w:rsidP="002E4656">
      <w:pPr>
        <w:rPr>
          <w:rFonts w:ascii="Arial" w:eastAsia="Times New Roman" w:hAnsi="Arial" w:cs="Arial"/>
          <w:noProof w:val="0"/>
          <w:color w:val="000000" w:themeColor="text1"/>
          <w:lang w:eastAsia="en-AU" w:bidi="ar-SA"/>
        </w:rPr>
      </w:pPr>
    </w:p>
    <w:p w14:paraId="44ACE4B6"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https://www.evalcommunity.com/career-center/evaluation-reports/</w:t>
      </w:r>
    </w:p>
    <w:p w14:paraId="37CF069D" w14:textId="77777777" w:rsidR="002E4656" w:rsidRPr="00CF6B91" w:rsidRDefault="002E4656" w:rsidP="002E4656">
      <w:pPr>
        <w:rPr>
          <w:rFonts w:ascii="Arial" w:eastAsia="Times New Roman" w:hAnsi="Arial" w:cs="Arial"/>
          <w:noProof w:val="0"/>
          <w:color w:val="000000" w:themeColor="text1"/>
          <w:lang w:eastAsia="en-AU" w:bidi="ar-SA"/>
        </w:rPr>
      </w:pPr>
    </w:p>
    <w:p w14:paraId="1C3D8F7A"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An evaluation report is a document that summarises the findings, conclusions, and recommendations of a systematic and objective analysis of a project, program, or policy. </w:t>
      </w:r>
    </w:p>
    <w:p w14:paraId="00B5F804" w14:textId="77777777" w:rsidR="002E4656" w:rsidRPr="00CF6B91" w:rsidRDefault="002E4656" w:rsidP="002E4656">
      <w:pPr>
        <w:rPr>
          <w:rFonts w:ascii="Arial" w:eastAsia="Times New Roman" w:hAnsi="Arial" w:cs="Arial"/>
          <w:noProof w:val="0"/>
          <w:color w:val="000000" w:themeColor="text1"/>
          <w:lang w:eastAsia="en-AU" w:bidi="ar-SA"/>
        </w:rPr>
      </w:pPr>
    </w:p>
    <w:p w14:paraId="5FF869DF"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Its purpose is to describe:</w:t>
      </w:r>
    </w:p>
    <w:p w14:paraId="58028799"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objective</w:t>
      </w:r>
    </w:p>
    <w:p w14:paraId="7418D9FC"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scope</w:t>
      </w:r>
    </w:p>
    <w:p w14:paraId="786F9DD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 methodology </w:t>
      </w:r>
    </w:p>
    <w:p w14:paraId="6D0746B3" w14:textId="77777777" w:rsidR="002E4656" w:rsidRPr="00CF6B91" w:rsidRDefault="002E4656" w:rsidP="002E4656">
      <w:pPr>
        <w:rPr>
          <w:rFonts w:ascii="Arial" w:eastAsia="Times New Roman" w:hAnsi="Arial" w:cs="Arial"/>
          <w:noProof w:val="0"/>
          <w:color w:val="000000" w:themeColor="text1"/>
          <w:lang w:eastAsia="en-AU" w:bidi="ar-SA"/>
        </w:rPr>
      </w:pPr>
    </w:p>
    <w:p w14:paraId="10517D6B" w14:textId="4B303C22"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evaluation presents the analysis of the results to offer recommendations for improvement.</w:t>
      </w:r>
    </w:p>
    <w:p w14:paraId="06341282" w14:textId="77777777" w:rsidR="002E4656" w:rsidRPr="00CF6B91" w:rsidRDefault="002E4656" w:rsidP="002E4656">
      <w:pPr>
        <w:rPr>
          <w:rFonts w:ascii="Arial" w:eastAsia="Times New Roman" w:hAnsi="Arial" w:cs="Arial"/>
          <w:noProof w:val="0"/>
          <w:color w:val="000000" w:themeColor="text1"/>
          <w:lang w:eastAsia="en-AU" w:bidi="ar-SA"/>
        </w:rPr>
      </w:pPr>
    </w:p>
    <w:p w14:paraId="7A6B67F9" w14:textId="2805B601" w:rsidR="002E4656" w:rsidRPr="00CF6B91" w:rsidRDefault="002E4656" w:rsidP="002E4656">
      <w:pPr>
        <w:pStyle w:val="Heading2"/>
        <w:rPr>
          <w:color w:val="000000" w:themeColor="text1"/>
          <w:sz w:val="24"/>
          <w:szCs w:val="24"/>
          <w:lang w:eastAsia="en-AU" w:bidi="ar-SA"/>
        </w:rPr>
      </w:pPr>
      <w:r w:rsidRPr="00CF6B91">
        <w:rPr>
          <w:color w:val="000000" w:themeColor="text1"/>
          <w:sz w:val="24"/>
          <w:szCs w:val="24"/>
          <w:lang w:eastAsia="en-AU" w:bidi="ar-SA"/>
        </w:rPr>
        <w:t>F</w:t>
      </w:r>
      <w:r w:rsidRPr="00CF6B91">
        <w:rPr>
          <w:color w:val="000000" w:themeColor="text1"/>
          <w:sz w:val="24"/>
          <w:szCs w:val="24"/>
          <w:lang w:eastAsia="en-AU" w:bidi="ar-SA"/>
        </w:rPr>
        <w:t>unction of an evaluation report</w:t>
      </w:r>
    </w:p>
    <w:p w14:paraId="4AA4A2B1" w14:textId="77777777" w:rsidR="002E4656" w:rsidRPr="00CF6B91" w:rsidRDefault="002E4656" w:rsidP="002E4656">
      <w:pPr>
        <w:rPr>
          <w:rFonts w:ascii="Arial" w:eastAsia="Times New Roman" w:hAnsi="Arial" w:cs="Arial"/>
          <w:noProof w:val="0"/>
          <w:color w:val="000000" w:themeColor="text1"/>
          <w:lang w:eastAsia="en-AU" w:bidi="ar-SA"/>
        </w:rPr>
      </w:pPr>
    </w:p>
    <w:p w14:paraId="2FD0340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function of an evaluation report is to provide a comprehensive and objective assessment of a project's performance, highlighting both its achievements and challenges. This document is key to decision-making, as it provides data on strengths and weaknesses and includes recommendations for improvement.</w:t>
      </w:r>
    </w:p>
    <w:p w14:paraId="6168C24A" w14:textId="77777777" w:rsidR="002E4656" w:rsidRPr="00CF6B91" w:rsidRDefault="002E4656" w:rsidP="002E4656">
      <w:pPr>
        <w:rPr>
          <w:rFonts w:ascii="Arial" w:eastAsia="Times New Roman" w:hAnsi="Arial" w:cs="Arial"/>
          <w:noProof w:val="0"/>
          <w:color w:val="000000" w:themeColor="text1"/>
          <w:lang w:eastAsia="en-AU" w:bidi="ar-SA"/>
        </w:rPr>
      </w:pPr>
    </w:p>
    <w:p w14:paraId="0AF2713F" w14:textId="77777777" w:rsidR="002E4656" w:rsidRPr="00CF6B91" w:rsidRDefault="002E4656" w:rsidP="002E4656">
      <w:pPr>
        <w:rPr>
          <w:rFonts w:ascii="Arial" w:hAnsi="Arial" w:cs="Arial"/>
          <w:color w:val="000000" w:themeColor="text1"/>
          <w:lang w:eastAsia="en-AU" w:bidi="ar-SA"/>
        </w:rPr>
      </w:pPr>
      <w:r w:rsidRPr="00CF6B91">
        <w:rPr>
          <w:rFonts w:ascii="Arial" w:hAnsi="Arial" w:cs="Arial"/>
          <w:color w:val="000000" w:themeColor="text1"/>
          <w:lang w:eastAsia="en-AU" w:bidi="ar-SA"/>
        </w:rPr>
        <w:t>The main objectives of these reports are:</w:t>
      </w:r>
    </w:p>
    <w:p w14:paraId="11EF21A1" w14:textId="77777777" w:rsidR="002E4656" w:rsidRPr="00CF6B91" w:rsidRDefault="002E4656" w:rsidP="002E4656">
      <w:pPr>
        <w:rPr>
          <w:rFonts w:ascii="Arial" w:eastAsia="Times New Roman" w:hAnsi="Arial" w:cs="Arial"/>
          <w:noProof w:val="0"/>
          <w:color w:val="000000" w:themeColor="text1"/>
          <w:lang w:eastAsia="en-AU" w:bidi="ar-SA"/>
        </w:rPr>
      </w:pPr>
    </w:p>
    <w:p w14:paraId="1DE9E99E"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1. Accountability: Evaluate whether the objectives and expected results were met.</w:t>
      </w:r>
    </w:p>
    <w:p w14:paraId="31B41ADB"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2. Learning: Identify key lessons, successful practices, and challenges to apply to future projects.</w:t>
      </w:r>
    </w:p>
    <w:p w14:paraId="65770FD5"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3. Improvement: Offer concrete and actionable recommendations to optimise the program or project.</w:t>
      </w:r>
    </w:p>
    <w:p w14:paraId="560D0248" w14:textId="23A75B23"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4. Communication: Share findings transparently with all stakeholders, from staff and funders to the </w:t>
      </w:r>
      <w:proofErr w:type="gramStart"/>
      <w:r w:rsidRPr="00CF6B91">
        <w:rPr>
          <w:rFonts w:ascii="Arial" w:eastAsia="Times New Roman" w:hAnsi="Arial" w:cs="Arial"/>
          <w:noProof w:val="0"/>
          <w:color w:val="000000" w:themeColor="text1"/>
          <w:lang w:eastAsia="en-AU" w:bidi="ar-SA"/>
        </w:rPr>
        <w:t>general public</w:t>
      </w:r>
      <w:proofErr w:type="gramEnd"/>
      <w:r w:rsidRPr="00CF6B91">
        <w:rPr>
          <w:rFonts w:ascii="Arial" w:eastAsia="Times New Roman" w:hAnsi="Arial" w:cs="Arial"/>
          <w:noProof w:val="0"/>
          <w:color w:val="000000" w:themeColor="text1"/>
          <w:lang w:eastAsia="en-AU" w:bidi="ar-SA"/>
        </w:rPr>
        <w:t>.</w:t>
      </w:r>
    </w:p>
    <w:p w14:paraId="3E2C520D" w14:textId="77777777" w:rsidR="00BA1098" w:rsidRPr="00CF6B91" w:rsidRDefault="00BA1098" w:rsidP="00A628CF">
      <w:pPr>
        <w:rPr>
          <w:rFonts w:ascii="Arial" w:hAnsi="Arial" w:cs="Arial"/>
          <w:color w:val="000000" w:themeColor="text1"/>
        </w:rPr>
      </w:pPr>
    </w:p>
    <w:p w14:paraId="406D13F0" w14:textId="57B52BE7" w:rsidR="00AF0D01" w:rsidRPr="00CF6B91" w:rsidRDefault="00AF0D01" w:rsidP="00A628CF">
      <w:pPr>
        <w:rPr>
          <w:rFonts w:ascii="Arial" w:hAnsi="Arial" w:cs="Arial"/>
          <w:color w:val="000000" w:themeColor="text1"/>
        </w:rPr>
      </w:pPr>
      <w:r w:rsidRPr="00CF6B91">
        <w:rPr>
          <w:rFonts w:ascii="Arial" w:hAnsi="Arial" w:cs="Arial"/>
          <w:color w:val="000000" w:themeColor="text1"/>
        </w:rPr>
        <w:t>F</w:t>
      </w:r>
      <w:r w:rsidRPr="00CF6B91">
        <w:rPr>
          <w:rFonts w:ascii="Arial" w:hAnsi="Arial" w:cs="Arial"/>
          <w:color w:val="000000" w:themeColor="text1"/>
        </w:rPr>
        <w:t>eatures of an evaluation report</w:t>
      </w:r>
    </w:p>
    <w:p w14:paraId="3BE18D33" w14:textId="77777777" w:rsidR="00AF0D01" w:rsidRPr="00CF6B91" w:rsidRDefault="00AF0D01" w:rsidP="00A628CF">
      <w:pPr>
        <w:rPr>
          <w:rFonts w:ascii="Arial" w:hAnsi="Arial" w:cs="Arial"/>
          <w:color w:val="000000" w:themeColor="text1"/>
        </w:rPr>
      </w:pPr>
    </w:p>
    <w:p w14:paraId="6D45827F" w14:textId="77777777" w:rsidR="00AF0D01" w:rsidRPr="00CF6B91" w:rsidRDefault="00AF0D01" w:rsidP="00AF0D01">
      <w:pPr>
        <w:rPr>
          <w:rFonts w:ascii="Arial" w:hAnsi="Arial" w:cs="Arial"/>
          <w:color w:val="000000" w:themeColor="text1"/>
        </w:rPr>
      </w:pPr>
      <w:r w:rsidRPr="00CF6B91">
        <w:rPr>
          <w:rFonts w:ascii="Arial" w:hAnsi="Arial" w:cs="Arial"/>
          <w:color w:val="000000" w:themeColor="text1"/>
        </w:rPr>
        <w:t>An evaluation report could include these features:</w:t>
      </w:r>
    </w:p>
    <w:p w14:paraId="1EAC2F62" w14:textId="77777777" w:rsidR="00AF0D01" w:rsidRPr="00CF6B91" w:rsidRDefault="00AF0D01" w:rsidP="00AF0D01">
      <w:pPr>
        <w:rPr>
          <w:rFonts w:ascii="Arial" w:hAnsi="Arial" w:cs="Arial"/>
          <w:color w:val="000000" w:themeColor="text1"/>
        </w:rPr>
      </w:pPr>
    </w:p>
    <w:p w14:paraId="4EA29625" w14:textId="7180C1A4"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Executive Summary: A brief overview of the main findings, conclusions, and recommendations.</w:t>
      </w:r>
    </w:p>
    <w:p w14:paraId="4E66F796" w14:textId="4F05BBB7"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Introduction: Explains the context, scope, purpose, and methodology of the evaluation.</w:t>
      </w:r>
    </w:p>
    <w:p w14:paraId="5F350FC7" w14:textId="10C9A096"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Background: Provides a summary of the program being assessed, including its goals and activities.</w:t>
      </w:r>
    </w:p>
    <w:p w14:paraId="74F2E46D" w14:textId="0C27E0D1"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Legislation</w:t>
      </w:r>
    </w:p>
    <w:p w14:paraId="1F9525EF" w14:textId="32D73A15"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Australian economic conditions</w:t>
      </w:r>
    </w:p>
    <w:p w14:paraId="662F7EEB" w14:textId="14DCD676"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Political influences</w:t>
      </w:r>
    </w:p>
    <w:p w14:paraId="11AB40C7" w14:textId="7C25F369"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Evaluation Questions: Lists the questions that guided the data collection.</w:t>
      </w:r>
    </w:p>
    <w:p w14:paraId="71E0D2F4" w14:textId="55F7DBDD"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Methodology: Describes the data collection methods, sampling strategy, and analysis techniques used.</w:t>
      </w:r>
    </w:p>
    <w:p w14:paraId="5909D17A" w14:textId="71067F2C"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Findings: Presents the results of the evaluation, organised by the evaluation questions.</w:t>
      </w:r>
    </w:p>
    <w:p w14:paraId="68B61274" w14:textId="3748226F"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Conclusions: Summarises the main findings and assesses the program's effectiveness, efficiency, and sustainability.</w:t>
      </w:r>
    </w:p>
    <w:p w14:paraId="2BEEE3E1" w14:textId="7D907D9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Recommendations: Offers specific suggestions for improving the program or project.</w:t>
      </w:r>
    </w:p>
    <w:p w14:paraId="06A8EC42" w14:textId="79DF3C01"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Lessons Learned: Discuss key takeaways that can be applied to future projects.</w:t>
      </w:r>
    </w:p>
    <w:p w14:paraId="197C5853" w14:textId="4EB18ECA"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Limitations: Acknowledge any challenges or constraints faced during the evaluation.</w:t>
      </w:r>
    </w:p>
    <w:p w14:paraId="52553268" w14:textId="1867B7B5"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References: Lists all sources cited in the report.</w:t>
      </w:r>
    </w:p>
    <w:p w14:paraId="360FFE3D" w14:textId="3892868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Appendices: Includes supplementary information like detailed data tables or graphs.</w:t>
      </w:r>
    </w:p>
    <w:p w14:paraId="4235557B" w14:textId="77777777" w:rsidR="00F96E5D" w:rsidRPr="00CF6B91" w:rsidRDefault="00F96E5D" w:rsidP="00F96E5D">
      <w:pPr>
        <w:rPr>
          <w:rFonts w:ascii="Arial" w:hAnsi="Arial" w:cs="Arial"/>
          <w:color w:val="000000" w:themeColor="text1"/>
        </w:rPr>
      </w:pPr>
    </w:p>
    <w:p w14:paraId="169E1FF0" w14:textId="77777777" w:rsidR="00F96E5D" w:rsidRPr="00CF6B91" w:rsidRDefault="00F96E5D" w:rsidP="00F96E5D">
      <w:pPr>
        <w:rPr>
          <w:rFonts w:ascii="Arial" w:hAnsi="Arial" w:cs="Arial"/>
          <w:color w:val="000000" w:themeColor="text1"/>
        </w:rPr>
      </w:pPr>
    </w:p>
    <w:p w14:paraId="55362323" w14:textId="14A2CF0C" w:rsidR="00F96E5D" w:rsidRPr="00CF6B91" w:rsidRDefault="00F96E5D" w:rsidP="00F96E5D">
      <w:pPr>
        <w:rPr>
          <w:rFonts w:ascii="Arial" w:hAnsi="Arial" w:cs="Arial"/>
          <w:color w:val="000000" w:themeColor="text1"/>
        </w:rPr>
      </w:pPr>
      <w:r w:rsidRPr="00CF6B91">
        <w:rPr>
          <w:rFonts w:ascii="Arial" w:hAnsi="Arial" w:cs="Arial"/>
          <w:color w:val="000000" w:themeColor="text1"/>
        </w:rPr>
        <w:t>D</w:t>
      </w:r>
      <w:r w:rsidRPr="00CF6B91">
        <w:rPr>
          <w:rFonts w:ascii="Arial" w:hAnsi="Arial" w:cs="Arial"/>
          <w:color w:val="000000" w:themeColor="text1"/>
        </w:rPr>
        <w:t>ifference between a summary and comprehensive report</w:t>
      </w:r>
    </w:p>
    <w:p w14:paraId="3B22BA93" w14:textId="77777777" w:rsidR="00CF6B91" w:rsidRPr="00CF6B91" w:rsidRDefault="00CF6B91" w:rsidP="00F96E5D">
      <w:pPr>
        <w:rPr>
          <w:rFonts w:ascii="Arial" w:hAnsi="Arial" w:cs="Arial"/>
          <w:color w:val="000000" w:themeColor="text1"/>
        </w:rPr>
      </w:pPr>
    </w:p>
    <w:p w14:paraId="7CD1D6C7" w14:textId="60A1882F" w:rsidR="00CF6B91" w:rsidRPr="00CF6B91" w:rsidRDefault="00CF6B91" w:rsidP="00F96E5D">
      <w:pPr>
        <w:rPr>
          <w:rFonts w:ascii="Arial" w:hAnsi="Arial" w:cs="Arial"/>
          <w:color w:val="000000" w:themeColor="text1"/>
        </w:rPr>
      </w:pPr>
      <w:r w:rsidRPr="00CF6B91">
        <w:rPr>
          <w:rFonts w:ascii="Arial" w:hAnsi="Arial" w:cs="Arial"/>
          <w:color w:val="000000" w:themeColor="text1"/>
        </w:rPr>
        <w:t xml:space="preserve">The key difference lies in their </w:t>
      </w:r>
      <w:r w:rsidRPr="00CF6B91">
        <w:rPr>
          <w:rFonts w:ascii="Arial" w:hAnsi="Arial" w:cs="Arial"/>
          <w:b/>
          <w:bCs/>
          <w:color w:val="000000" w:themeColor="text1"/>
        </w:rPr>
        <w:t>level of detail, length, and scope</w:t>
      </w:r>
      <w:r w:rsidRPr="00CF6B91">
        <w:rPr>
          <w:rFonts w:ascii="Arial" w:hAnsi="Arial" w:cs="Arial"/>
          <w:color w:val="000000" w:themeColor="text1"/>
        </w:rPr>
        <w:t>.</w:t>
      </w:r>
    </w:p>
    <w:p w14:paraId="710EC997" w14:textId="77777777" w:rsidR="00F96E5D" w:rsidRPr="00CF6B91" w:rsidRDefault="00F96E5D" w:rsidP="00F96E5D">
      <w:pPr>
        <w:rPr>
          <w:rFonts w:ascii="Arial" w:hAnsi="Arial" w:cs="Arial"/>
          <w:color w:val="000000" w:themeColor="text1"/>
        </w:rPr>
      </w:pPr>
    </w:p>
    <w:tbl>
      <w:tblPr>
        <w:tblW w:w="10845" w:type="dxa"/>
        <w:tblCellMar>
          <w:left w:w="0" w:type="dxa"/>
          <w:right w:w="0" w:type="dxa"/>
        </w:tblCellMar>
        <w:tblLook w:val="04A0" w:firstRow="1" w:lastRow="0" w:firstColumn="1" w:lastColumn="0" w:noHBand="0" w:noVBand="1"/>
      </w:tblPr>
      <w:tblGrid>
        <w:gridCol w:w="1655"/>
        <w:gridCol w:w="4330"/>
        <w:gridCol w:w="4860"/>
      </w:tblGrid>
      <w:tr w:rsidR="005D7658" w:rsidRPr="00CF6B91" w14:paraId="6A4C5C72" w14:textId="77777777" w:rsidTr="005D7658">
        <w:trPr>
          <w:trHeight w:val="315"/>
        </w:trPr>
        <w:tc>
          <w:tcPr>
            <w:tcW w:w="1655" w:type="dxa"/>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C22B04"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Feature</w:t>
            </w:r>
          </w:p>
        </w:tc>
        <w:tc>
          <w:tcPr>
            <w:tcW w:w="433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5F92F4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Summary Report</w:t>
            </w:r>
          </w:p>
        </w:tc>
        <w:tc>
          <w:tcPr>
            <w:tcW w:w="486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39806DF" w14:textId="2EE66909"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Comprehensive Report</w:t>
            </w:r>
          </w:p>
        </w:tc>
      </w:tr>
      <w:tr w:rsidR="005D7658" w:rsidRPr="00CF6B91" w14:paraId="25583D59"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836D8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Purpose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DFEB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To provide a quick, high-level overview.</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21D3B" w14:textId="4F1988C7" w:rsidR="005D7658" w:rsidRPr="00CF6B91" w:rsidRDefault="005D7658" w:rsidP="00CF6B91">
            <w:pPr>
              <w:rPr>
                <w:rFonts w:ascii="Arial" w:hAnsi="Arial" w:cs="Arial"/>
                <w:color w:val="000000" w:themeColor="text1"/>
              </w:rPr>
            </w:pPr>
            <w:r w:rsidRPr="00CF6B91">
              <w:rPr>
                <w:rFonts w:ascii="Arial" w:hAnsi="Arial" w:cs="Arial"/>
                <w:color w:val="000000" w:themeColor="text1"/>
              </w:rPr>
              <w:t>To offer a detailed, in-depth analysis.</w:t>
            </w:r>
          </w:p>
        </w:tc>
      </w:tr>
      <w:tr w:rsidR="005D7658" w:rsidRPr="00CF6B91" w14:paraId="285089FA"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5363BCD"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Audience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0F15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Executives, managers, and time-poor decision-makers.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7E748" w14:textId="3A017FDF" w:rsidR="005D7658" w:rsidRPr="00CF6B91" w:rsidRDefault="005D7658" w:rsidP="00CF6B91">
            <w:pPr>
              <w:rPr>
                <w:rFonts w:ascii="Arial" w:hAnsi="Arial" w:cs="Arial"/>
                <w:color w:val="000000" w:themeColor="text1"/>
              </w:rPr>
            </w:pPr>
            <w:r w:rsidRPr="00CF6B91">
              <w:rPr>
                <w:rFonts w:ascii="Arial" w:hAnsi="Arial" w:cs="Arial"/>
                <w:color w:val="000000" w:themeColor="text1"/>
              </w:rPr>
              <w:t>Technical staff, researchers, and stakeholders who need all the nitty-gritty details.</w:t>
            </w:r>
          </w:p>
        </w:tc>
      </w:tr>
      <w:tr w:rsidR="005D7658" w:rsidRPr="00CF6B91" w14:paraId="7EE94828"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4CA06F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Length</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5F6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Typically 3 to 7 pages.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B4100" w14:textId="3EEFF448" w:rsidR="005D7658" w:rsidRPr="00CF6B91" w:rsidRDefault="005D7658" w:rsidP="00CF6B91">
            <w:pPr>
              <w:rPr>
                <w:rFonts w:ascii="Arial" w:hAnsi="Arial" w:cs="Arial"/>
                <w:color w:val="000000" w:themeColor="text1"/>
              </w:rPr>
            </w:pPr>
            <w:r w:rsidRPr="00CF6B91">
              <w:rPr>
                <w:rFonts w:ascii="Arial" w:hAnsi="Arial" w:cs="Arial"/>
                <w:color w:val="000000" w:themeColor="text1"/>
              </w:rPr>
              <w:t>Generally 15 to 50+ pages.</w:t>
            </w:r>
          </w:p>
        </w:tc>
      </w:tr>
      <w:tr w:rsidR="005D7658" w:rsidRPr="00CF6B91" w14:paraId="3723B2C6"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5682185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Level of Detail</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CFBCD"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Low. Focuses on the most critical points.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4CFC6" w14:textId="14407F65" w:rsidR="005D7658" w:rsidRPr="00CF6B91" w:rsidRDefault="005D7658" w:rsidP="00CF6B91">
            <w:pPr>
              <w:rPr>
                <w:rFonts w:ascii="Arial" w:hAnsi="Arial" w:cs="Arial"/>
                <w:color w:val="000000" w:themeColor="text1"/>
              </w:rPr>
            </w:pPr>
            <w:r w:rsidRPr="00CF6B91">
              <w:rPr>
                <w:rFonts w:ascii="Arial" w:hAnsi="Arial" w:cs="Arial"/>
                <w:color w:val="000000" w:themeColor="text1"/>
              </w:rPr>
              <w:t>High. Includes detailed data, methodology, and thorough analysis.</w:t>
            </w:r>
          </w:p>
        </w:tc>
      </w:tr>
      <w:tr w:rsidR="005D7658" w:rsidRPr="00CF6B91" w14:paraId="64B4FCE1"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F8E3995"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Key Content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3F94C"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 summary, key findings, core conclusions, and main recommendations.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AF4D" w14:textId="5DEA1ACE" w:rsidR="005D7658" w:rsidRPr="00CF6B91" w:rsidRDefault="005D7658" w:rsidP="00CF6B91">
            <w:pPr>
              <w:rPr>
                <w:rFonts w:ascii="Arial" w:hAnsi="Arial" w:cs="Arial"/>
                <w:color w:val="000000" w:themeColor="text1"/>
              </w:rPr>
            </w:pPr>
            <w:r w:rsidRPr="00CF6B91">
              <w:rPr>
                <w:rFonts w:ascii="Arial" w:hAnsi="Arial" w:cs="Arial"/>
                <w:color w:val="000000" w:themeColor="text1"/>
              </w:rPr>
              <w:t>All sections of a formal report: detailed introduction, methodology, full findings, conclusions, recommendations, lessons learned, limitations, and appendices.</w:t>
            </w:r>
          </w:p>
        </w:tc>
      </w:tr>
      <w:tr w:rsidR="005D7658" w:rsidRPr="00CF6B91" w14:paraId="0243A367"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5630C3"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Primary Use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96755"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For swift, efficient decision-making.</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DEE16" w14:textId="72331FAB" w:rsidR="005D7658" w:rsidRPr="00CF6B91" w:rsidRDefault="005D7658" w:rsidP="00CF6B91">
            <w:pPr>
              <w:rPr>
                <w:rFonts w:ascii="Arial" w:hAnsi="Arial" w:cs="Arial"/>
                <w:color w:val="000000" w:themeColor="text1"/>
              </w:rPr>
            </w:pPr>
            <w:r w:rsidRPr="00CF6B91">
              <w:rPr>
                <w:rFonts w:ascii="Arial" w:hAnsi="Arial" w:cs="Arial"/>
                <w:color w:val="000000" w:themeColor="text1"/>
              </w:rPr>
              <w:t>For transparency, accountability, and a deep understanding of the project.</w:t>
            </w:r>
          </w:p>
        </w:tc>
      </w:tr>
      <w:tr w:rsidR="005D7658" w:rsidRPr="00CF6B91" w14:paraId="2B438B1B"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7E05EFC"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Format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8EF12"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Concise, using bullet points or short paragraphs.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86A51" w14:textId="3B32CC8F" w:rsidR="005D7658" w:rsidRPr="00CF6B91" w:rsidRDefault="005D7658" w:rsidP="00CF6B91">
            <w:pPr>
              <w:rPr>
                <w:rFonts w:ascii="Arial" w:hAnsi="Arial" w:cs="Arial"/>
                <w:color w:val="000000" w:themeColor="text1"/>
              </w:rPr>
            </w:pPr>
            <w:r w:rsidRPr="00CF6B91">
              <w:rPr>
                <w:rFonts w:ascii="Arial" w:hAnsi="Arial" w:cs="Arial"/>
                <w:color w:val="000000" w:themeColor="text1"/>
              </w:rPr>
              <w:t>Structured with multiple sections and subheadings, often with charts and graphs.</w:t>
            </w:r>
          </w:p>
        </w:tc>
      </w:tr>
    </w:tbl>
    <w:p w14:paraId="627DB218" w14:textId="77777777" w:rsidR="00F96E5D" w:rsidRPr="00CF6B91" w:rsidRDefault="00F96E5D" w:rsidP="00F96E5D">
      <w:pPr>
        <w:rPr>
          <w:rFonts w:ascii="Arial" w:hAnsi="Arial" w:cs="Arial"/>
          <w:color w:val="000000" w:themeColor="text1"/>
        </w:rPr>
      </w:pPr>
    </w:p>
    <w:sectPr w:rsidR="00F96E5D" w:rsidRPr="00CF6B91"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90DA6"/>
    <w:multiLevelType w:val="multilevel"/>
    <w:tmpl w:val="8FB22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BCC5282"/>
    <w:multiLevelType w:val="hybridMultilevel"/>
    <w:tmpl w:val="2DC2D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52E53"/>
    <w:multiLevelType w:val="multilevel"/>
    <w:tmpl w:val="A3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535B7"/>
    <w:multiLevelType w:val="multilevel"/>
    <w:tmpl w:val="17CE88B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1"/>
  </w:num>
  <w:num w:numId="2" w16cid:durableId="1981956934">
    <w:abstractNumId w:val="3"/>
  </w:num>
  <w:num w:numId="3" w16cid:durableId="470169961">
    <w:abstractNumId w:val="4"/>
  </w:num>
  <w:num w:numId="4" w16cid:durableId="1345667571">
    <w:abstractNumId w:val="6"/>
  </w:num>
  <w:num w:numId="5" w16cid:durableId="1636983036">
    <w:abstractNumId w:val="2"/>
  </w:num>
  <w:num w:numId="6" w16cid:durableId="187261224">
    <w:abstractNumId w:val="8"/>
  </w:num>
  <w:num w:numId="7" w16cid:durableId="549414431">
    <w:abstractNumId w:val="5"/>
  </w:num>
  <w:num w:numId="8" w16cid:durableId="44642365">
    <w:abstractNumId w:val="10"/>
  </w:num>
  <w:num w:numId="9" w16cid:durableId="1671173187">
    <w:abstractNumId w:val="9"/>
  </w:num>
  <w:num w:numId="10" w16cid:durableId="2098166034">
    <w:abstractNumId w:val="7"/>
  </w:num>
  <w:num w:numId="11" w16cid:durableId="1628007948">
    <w:abstractNumId w:val="11"/>
  </w:num>
  <w:num w:numId="12" w16cid:durableId="140918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0E5126"/>
    <w:rsid w:val="00123C81"/>
    <w:rsid w:val="001A28FD"/>
    <w:rsid w:val="001F6552"/>
    <w:rsid w:val="0029318B"/>
    <w:rsid w:val="002A6EB1"/>
    <w:rsid w:val="002E4656"/>
    <w:rsid w:val="0032114B"/>
    <w:rsid w:val="00346A83"/>
    <w:rsid w:val="003775B1"/>
    <w:rsid w:val="003E5078"/>
    <w:rsid w:val="004106C8"/>
    <w:rsid w:val="00440F8C"/>
    <w:rsid w:val="00444C72"/>
    <w:rsid w:val="00452928"/>
    <w:rsid w:val="004643CC"/>
    <w:rsid w:val="00465598"/>
    <w:rsid w:val="00482B6A"/>
    <w:rsid w:val="004D04F7"/>
    <w:rsid w:val="00557452"/>
    <w:rsid w:val="005A095A"/>
    <w:rsid w:val="005D7658"/>
    <w:rsid w:val="005E6A97"/>
    <w:rsid w:val="00614652"/>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A13D64"/>
    <w:rsid w:val="00A51977"/>
    <w:rsid w:val="00A6164E"/>
    <w:rsid w:val="00A628CF"/>
    <w:rsid w:val="00AA04DF"/>
    <w:rsid w:val="00AF0D01"/>
    <w:rsid w:val="00AF7D15"/>
    <w:rsid w:val="00B3464F"/>
    <w:rsid w:val="00B441DA"/>
    <w:rsid w:val="00B62771"/>
    <w:rsid w:val="00BA1098"/>
    <w:rsid w:val="00C83A29"/>
    <w:rsid w:val="00C92EEB"/>
    <w:rsid w:val="00CF6B91"/>
    <w:rsid w:val="00D01741"/>
    <w:rsid w:val="00D15FB9"/>
    <w:rsid w:val="00D17E0E"/>
    <w:rsid w:val="00D362B3"/>
    <w:rsid w:val="00D622C9"/>
    <w:rsid w:val="00DD0229"/>
    <w:rsid w:val="00DD208C"/>
    <w:rsid w:val="00DD61D0"/>
    <w:rsid w:val="00DE0686"/>
    <w:rsid w:val="00E21953"/>
    <w:rsid w:val="00E3615A"/>
    <w:rsid w:val="00E51D9C"/>
    <w:rsid w:val="00E67F8F"/>
    <w:rsid w:val="00E7743A"/>
    <w:rsid w:val="00E83039"/>
    <w:rsid w:val="00F05358"/>
    <w:rsid w:val="00F24A35"/>
    <w:rsid w:val="00F2744F"/>
    <w:rsid w:val="00F3117E"/>
    <w:rsid w:val="00F42607"/>
    <w:rsid w:val="00F9623E"/>
    <w:rsid w:val="00F96E5D"/>
    <w:rsid w:val="00FA4042"/>
    <w:rsid w:val="00FE51D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1573</TotalTime>
  <Pages>3</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52</cp:revision>
  <dcterms:created xsi:type="dcterms:W3CDTF">2025-05-02T17:00:00Z</dcterms:created>
  <dcterms:modified xsi:type="dcterms:W3CDTF">2025-08-31T06:22:00Z</dcterms:modified>
  <dc:language>en-AU</dc:language>
</cp:coreProperties>
</file>