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2C54A" w14:textId="464E7596" w:rsidR="00E67F8F" w:rsidRPr="00CF6B91" w:rsidRDefault="00E67F8F" w:rsidP="00E67F8F">
      <w:pPr>
        <w:rPr>
          <w:rFonts w:ascii="Arial" w:hAnsi="Arial" w:cs="Arial"/>
          <w:b/>
          <w:bCs/>
          <w:color w:val="000000" w:themeColor="text1"/>
        </w:rPr>
      </w:pPr>
      <w:r w:rsidRPr="00CF6B91">
        <w:rPr>
          <w:rFonts w:ascii="Arial" w:hAnsi="Arial" w:cs="Arial"/>
          <w:b/>
          <w:bCs/>
          <w:color w:val="000000" w:themeColor="text1"/>
        </w:rPr>
        <w:t>Optus:</w:t>
      </w:r>
    </w:p>
    <w:p w14:paraId="02276C4C" w14:textId="7226C1F8" w:rsidR="00E67F8F" w:rsidRPr="00CF6B91" w:rsidRDefault="00E67F8F" w:rsidP="00E67F8F">
      <w:pPr>
        <w:rPr>
          <w:rFonts w:ascii="Arial" w:hAnsi="Arial" w:cs="Arial"/>
          <w:color w:val="000000" w:themeColor="text1"/>
        </w:rPr>
      </w:pPr>
      <w:r w:rsidRPr="00CF6B91">
        <w:rPr>
          <w:rFonts w:ascii="Arial" w:hAnsi="Arial" w:cs="Arial"/>
          <w:color w:val="000000" w:themeColor="text1"/>
        </w:rPr>
        <w:t xml:space="preserve">1. one comprehensive report that evaluates the </w:t>
      </w:r>
      <w:r w:rsidRPr="00CF6B91">
        <w:rPr>
          <w:rFonts w:ascii="Arial" w:hAnsi="Arial" w:cs="Arial"/>
          <w:color w:val="000000" w:themeColor="text1"/>
          <w:u w:val="single"/>
        </w:rPr>
        <w:t>economic and political influences</w:t>
      </w:r>
      <w:r w:rsidRPr="00CF6B91">
        <w:rPr>
          <w:rFonts w:ascii="Arial" w:hAnsi="Arial" w:cs="Arial"/>
          <w:color w:val="000000" w:themeColor="text1"/>
        </w:rPr>
        <w:t xml:space="preserve"> on the networking industry in Australia and describes the </w:t>
      </w:r>
      <w:r w:rsidRPr="00CF6B91">
        <w:rPr>
          <w:rFonts w:ascii="Arial" w:hAnsi="Arial" w:cs="Arial"/>
          <w:color w:val="000000" w:themeColor="text1"/>
          <w:u w:val="single"/>
        </w:rPr>
        <w:t>impact of regulations and legislation</w:t>
      </w:r>
      <w:r w:rsidRPr="00CF6B91">
        <w:rPr>
          <w:rFonts w:ascii="Arial" w:hAnsi="Arial" w:cs="Arial"/>
          <w:color w:val="000000" w:themeColor="text1"/>
        </w:rPr>
        <w:t xml:space="preserve"> on the networking industry.</w:t>
      </w:r>
    </w:p>
    <w:p w14:paraId="3D724CDE" w14:textId="282D54F7" w:rsidR="00E67F8F" w:rsidRPr="00CF6B91" w:rsidRDefault="00E67F8F" w:rsidP="00E67F8F">
      <w:pPr>
        <w:rPr>
          <w:rFonts w:ascii="Arial" w:hAnsi="Arial" w:cs="Arial"/>
          <w:color w:val="000000" w:themeColor="text1"/>
        </w:rPr>
      </w:pPr>
      <w:r w:rsidRPr="00CF6B91">
        <w:rPr>
          <w:rFonts w:ascii="Arial" w:hAnsi="Arial" w:cs="Arial"/>
          <w:color w:val="000000" w:themeColor="text1"/>
        </w:rPr>
        <w:t xml:space="preserve">2. one summary report that evaluates the </w:t>
      </w:r>
      <w:r w:rsidRPr="00CF6B91">
        <w:rPr>
          <w:rFonts w:ascii="Arial" w:hAnsi="Arial" w:cs="Arial"/>
          <w:color w:val="000000" w:themeColor="text1"/>
          <w:u w:val="single"/>
        </w:rPr>
        <w:t>impact of legislation on planning processes</w:t>
      </w:r>
      <w:r w:rsidRPr="00CF6B91">
        <w:rPr>
          <w:rFonts w:ascii="Arial" w:hAnsi="Arial" w:cs="Arial"/>
          <w:color w:val="000000" w:themeColor="text1"/>
        </w:rPr>
        <w:t xml:space="preserve"> and </w:t>
      </w:r>
      <w:r w:rsidRPr="00CF6B91">
        <w:rPr>
          <w:rFonts w:ascii="Arial" w:hAnsi="Arial" w:cs="Arial"/>
          <w:color w:val="000000" w:themeColor="text1"/>
          <w:u w:val="single"/>
        </w:rPr>
        <w:t>accessibility to networks</w:t>
      </w:r>
      <w:r w:rsidRPr="00CF6B91">
        <w:rPr>
          <w:rFonts w:ascii="Arial" w:hAnsi="Arial" w:cs="Arial"/>
          <w:color w:val="000000" w:themeColor="text1"/>
        </w:rPr>
        <w:t>.</w:t>
      </w:r>
    </w:p>
    <w:p w14:paraId="64FBC665" w14:textId="77777777" w:rsidR="00E67F8F" w:rsidRPr="00CF6B91" w:rsidRDefault="00E67F8F" w:rsidP="00E67F8F">
      <w:pPr>
        <w:rPr>
          <w:rFonts w:ascii="Arial" w:hAnsi="Arial" w:cs="Arial"/>
          <w:color w:val="000000" w:themeColor="text1"/>
        </w:rPr>
      </w:pPr>
    </w:p>
    <w:p w14:paraId="29F6FC84" w14:textId="77777777" w:rsidR="00E67F8F" w:rsidRPr="00CF6B91" w:rsidRDefault="00E67F8F" w:rsidP="00E67F8F">
      <w:pPr>
        <w:rPr>
          <w:rFonts w:ascii="Arial" w:hAnsi="Arial" w:cs="Arial"/>
          <w:color w:val="000000" w:themeColor="text1"/>
        </w:rPr>
      </w:pPr>
    </w:p>
    <w:p w14:paraId="0342160B" w14:textId="40323374" w:rsidR="00E67F8F" w:rsidRPr="00CF6B91" w:rsidRDefault="00E67F8F" w:rsidP="00E67F8F">
      <w:pPr>
        <w:rPr>
          <w:rFonts w:ascii="Arial" w:hAnsi="Arial" w:cs="Arial"/>
          <w:b/>
          <w:bCs/>
          <w:color w:val="000000" w:themeColor="text1"/>
        </w:rPr>
      </w:pPr>
      <w:r w:rsidRPr="00CF6B91">
        <w:rPr>
          <w:rFonts w:ascii="Arial" w:hAnsi="Arial" w:cs="Arial"/>
          <w:b/>
          <w:bCs/>
          <w:color w:val="000000" w:themeColor="text1"/>
        </w:rPr>
        <w:t>Lebara:</w:t>
      </w:r>
    </w:p>
    <w:p w14:paraId="5A3242BD" w14:textId="77777777" w:rsidR="00D622C9" w:rsidRPr="00CF6B91" w:rsidRDefault="00D622C9" w:rsidP="00D622C9">
      <w:pPr>
        <w:rPr>
          <w:rFonts w:ascii="Arial" w:hAnsi="Arial" w:cs="Arial"/>
          <w:color w:val="000000" w:themeColor="text1"/>
        </w:rPr>
      </w:pPr>
      <w:r w:rsidRPr="00CF6B91">
        <w:rPr>
          <w:rFonts w:ascii="Arial" w:hAnsi="Arial" w:cs="Arial"/>
          <w:color w:val="000000" w:themeColor="text1"/>
        </w:rPr>
        <w:t xml:space="preserve">1. one comprehensive report that evaluates the </w:t>
      </w:r>
      <w:r w:rsidRPr="00CF6B91">
        <w:rPr>
          <w:rFonts w:ascii="Arial" w:hAnsi="Arial" w:cs="Arial"/>
          <w:color w:val="000000" w:themeColor="text1"/>
          <w:u w:val="single"/>
        </w:rPr>
        <w:t>economic and political influences</w:t>
      </w:r>
      <w:r w:rsidRPr="00CF6B91">
        <w:rPr>
          <w:rFonts w:ascii="Arial" w:hAnsi="Arial" w:cs="Arial"/>
          <w:color w:val="000000" w:themeColor="text1"/>
        </w:rPr>
        <w:t xml:space="preserve"> on the networking industry in Australia and describes the </w:t>
      </w:r>
      <w:r w:rsidRPr="00CF6B91">
        <w:rPr>
          <w:rFonts w:ascii="Arial" w:hAnsi="Arial" w:cs="Arial"/>
          <w:color w:val="000000" w:themeColor="text1"/>
          <w:u w:val="single"/>
        </w:rPr>
        <w:t>impact of regulations and legislation</w:t>
      </w:r>
      <w:r w:rsidRPr="00CF6B91">
        <w:rPr>
          <w:rFonts w:ascii="Arial" w:hAnsi="Arial" w:cs="Arial"/>
          <w:color w:val="000000" w:themeColor="text1"/>
        </w:rPr>
        <w:t xml:space="preserve"> on the networking industry.</w:t>
      </w:r>
    </w:p>
    <w:p w14:paraId="5537430C" w14:textId="77777777" w:rsidR="00D622C9" w:rsidRPr="00CF6B91" w:rsidRDefault="00D622C9" w:rsidP="00D622C9">
      <w:pPr>
        <w:rPr>
          <w:rFonts w:ascii="Arial" w:hAnsi="Arial" w:cs="Arial"/>
          <w:color w:val="000000" w:themeColor="text1"/>
        </w:rPr>
      </w:pPr>
      <w:r w:rsidRPr="00CF6B91">
        <w:rPr>
          <w:rFonts w:ascii="Arial" w:hAnsi="Arial" w:cs="Arial"/>
          <w:color w:val="000000" w:themeColor="text1"/>
        </w:rPr>
        <w:t xml:space="preserve">2. one summary report that evaluates the </w:t>
      </w:r>
      <w:r w:rsidRPr="00CF6B91">
        <w:rPr>
          <w:rFonts w:ascii="Arial" w:hAnsi="Arial" w:cs="Arial"/>
          <w:color w:val="000000" w:themeColor="text1"/>
          <w:u w:val="single"/>
        </w:rPr>
        <w:t>impact of legislation on planning processes</w:t>
      </w:r>
      <w:r w:rsidRPr="00CF6B91">
        <w:rPr>
          <w:rFonts w:ascii="Arial" w:hAnsi="Arial" w:cs="Arial"/>
          <w:color w:val="000000" w:themeColor="text1"/>
        </w:rPr>
        <w:t xml:space="preserve"> and </w:t>
      </w:r>
      <w:r w:rsidRPr="00CF6B91">
        <w:rPr>
          <w:rFonts w:ascii="Arial" w:hAnsi="Arial" w:cs="Arial"/>
          <w:color w:val="000000" w:themeColor="text1"/>
          <w:u w:val="single"/>
        </w:rPr>
        <w:t>accessibility to networks</w:t>
      </w:r>
      <w:r w:rsidRPr="00CF6B91">
        <w:rPr>
          <w:rFonts w:ascii="Arial" w:hAnsi="Arial" w:cs="Arial"/>
          <w:color w:val="000000" w:themeColor="text1"/>
        </w:rPr>
        <w:t>.</w:t>
      </w:r>
    </w:p>
    <w:p w14:paraId="2447AB95" w14:textId="77777777" w:rsidR="00AA04DF" w:rsidRPr="00CF6B91" w:rsidRDefault="00AA04DF" w:rsidP="00A628CF">
      <w:pPr>
        <w:rPr>
          <w:rFonts w:ascii="Arial" w:hAnsi="Arial" w:cs="Arial"/>
          <w:color w:val="000000" w:themeColor="text1"/>
        </w:rPr>
      </w:pPr>
    </w:p>
    <w:p w14:paraId="6F88F95F" w14:textId="77777777" w:rsidR="00AA04DF" w:rsidRPr="00CF6B91" w:rsidRDefault="00AA04DF" w:rsidP="0020323D">
      <w:pPr>
        <w:pStyle w:val="Heading2"/>
      </w:pPr>
      <w:r w:rsidRPr="00CF6B91">
        <w:t>Australian economic conditions</w:t>
      </w:r>
    </w:p>
    <w:p w14:paraId="7A23BF65" w14:textId="77777777" w:rsidR="00AA04DF" w:rsidRPr="00CF6B91" w:rsidRDefault="00AA04DF" w:rsidP="00A628CF">
      <w:pPr>
        <w:rPr>
          <w:rFonts w:ascii="Arial" w:hAnsi="Arial" w:cs="Arial"/>
          <w:color w:val="000000" w:themeColor="text1"/>
        </w:rPr>
      </w:pPr>
    </w:p>
    <w:p w14:paraId="396E27A2" w14:textId="77777777" w:rsidR="00AA04DF" w:rsidRPr="00CF6B91" w:rsidRDefault="00AA04DF" w:rsidP="00AA04DF">
      <w:pPr>
        <w:jc w:val="both"/>
        <w:rPr>
          <w:rFonts w:ascii="Arial" w:hAnsi="Arial" w:cs="Arial"/>
          <w:color w:val="000000" w:themeColor="text1"/>
        </w:rPr>
      </w:pPr>
      <w:bookmarkStart w:id="0" w:name="_Hlk207572182"/>
      <w:r w:rsidRPr="00CF6B91">
        <w:rPr>
          <w:rFonts w:ascii="Arial" w:hAnsi="Arial" w:cs="Arial"/>
          <w:color w:val="000000" w:themeColor="text1"/>
        </w:rPr>
        <w:t>Australia’s economy in the March quarter 2025 recorded modest growth, with real GDP up just 0.2% for the quarter (1.3% annually), weighed down by severe weather events and the strongest detraction from public sector activity since 2017. Private demand supported the economy through rising household consumption (+0.4%) and private investment (+0.7%), while public investment (-2.0%) and weaker net trade (exports -0.8%) detracted from growth. Prices continued to rise, with nominal GDP up 1.4% and the implicit price deflator rising 1.2%, reflecting higher labour costs and strong increases in services such as health, education, rent, and energy. Export and import prices both rose (led by iron ore and rural goods on the export side), leaving the terms of trade only marginally higher (+0.1%). Mining output fell sharply due to cyclones, while non-mining industries such as construction, information media and telecommunications provided positive contributions. Compensation of employees grew 1.5% amid a still-tight labour market (unemployment around 4.1%), lifting household disposable income and pushing the household saving ratio up to 5.2% from 3.9%. Overall, growth momentum remains fragile, underpinned by household spending resilience but offset by weak trade and subdued public sector demand.</w:t>
      </w:r>
    </w:p>
    <w:bookmarkEnd w:id="0"/>
    <w:p w14:paraId="51F348D8" w14:textId="77777777" w:rsidR="00AA04DF" w:rsidRPr="00CF6B91" w:rsidRDefault="00AA04DF" w:rsidP="00AA04DF">
      <w:pPr>
        <w:rPr>
          <w:rFonts w:ascii="Arial" w:hAnsi="Arial" w:cs="Arial"/>
          <w:color w:val="000000" w:themeColor="text1"/>
        </w:rPr>
      </w:pPr>
    </w:p>
    <w:p w14:paraId="7D3E5BE2" w14:textId="77777777" w:rsidR="00AA04DF" w:rsidRPr="00CF6B91" w:rsidRDefault="00AA04DF" w:rsidP="00AA04DF">
      <w:pPr>
        <w:rPr>
          <w:rFonts w:ascii="Arial" w:hAnsi="Arial" w:cs="Arial"/>
          <w:color w:val="000000" w:themeColor="text1"/>
        </w:rPr>
      </w:pPr>
      <w:bookmarkStart w:id="1" w:name="_Hlk207572207"/>
    </w:p>
    <w:p w14:paraId="5C57F000" w14:textId="77777777" w:rsidR="00AA04DF" w:rsidRPr="00CF6B91" w:rsidRDefault="00AA04DF" w:rsidP="00AA04DF">
      <w:pPr>
        <w:rPr>
          <w:rFonts w:ascii="Arial" w:hAnsi="Arial" w:cs="Arial"/>
          <w:b/>
          <w:bCs/>
          <w:color w:val="000000" w:themeColor="text1"/>
          <w:u w:val="single"/>
        </w:rPr>
      </w:pPr>
      <w:r w:rsidRPr="00CF6B91">
        <w:rPr>
          <w:rFonts w:ascii="Arial" w:hAnsi="Arial" w:cs="Arial"/>
          <w:b/>
          <w:bCs/>
          <w:color w:val="000000" w:themeColor="text1"/>
          <w:u w:val="single"/>
        </w:rPr>
        <w:t>Supports growth:</w:t>
      </w:r>
    </w:p>
    <w:p w14:paraId="349F166E"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(+0.4%), particularly essential spending on electricity, gas and food, as well as recreation and culture.</w:t>
      </w:r>
    </w:p>
    <w:p w14:paraId="562C390D"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(+0.7%), driven by dwelling investment (+2.6%) and non-dwelling construction (+1.3%), especially in mining and electricity projects.</w:t>
      </w:r>
    </w:p>
    <w:p w14:paraId="79957F50"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Changes in inventories</w:t>
      </w:r>
      <w:r w:rsidRPr="00CF6B91">
        <w:rPr>
          <w:rFonts w:ascii="Arial" w:eastAsia="Times New Roman" w:hAnsi="Arial" w:cs="Arial"/>
          <w:noProof w:val="0"/>
          <w:color w:val="000000" w:themeColor="text1"/>
          <w:lang w:eastAsia="en-AU" w:bidi="ar-SA"/>
        </w:rPr>
        <w:t xml:space="preserve"> (+0.1ppt), with build-ups in mining, manufacturing (gold, steel, alumina), and some public authorities.</w:t>
      </w:r>
    </w:p>
    <w:p w14:paraId="774206DC"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Non-mining industries</w:t>
      </w:r>
      <w:r w:rsidRPr="00CF6B91">
        <w:rPr>
          <w:rFonts w:ascii="Arial" w:eastAsia="Times New Roman" w:hAnsi="Arial" w:cs="Arial"/>
          <w:noProof w:val="0"/>
          <w:color w:val="000000" w:themeColor="text1"/>
          <w:lang w:eastAsia="en-AU" w:bidi="ar-SA"/>
        </w:rPr>
        <w:t>: Construction, Information Media &amp; Telecommunications (+2.1%), and Administrative &amp; Support Services (+1.9%).</w:t>
      </w:r>
    </w:p>
    <w:p w14:paraId="3B0E2E38"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Agriculture, Forestry &amp; Fishing</w:t>
      </w:r>
      <w:r w:rsidRPr="00CF6B91">
        <w:rPr>
          <w:rFonts w:ascii="Arial" w:eastAsia="Times New Roman" w:hAnsi="Arial" w:cs="Arial"/>
          <w:noProof w:val="0"/>
          <w:color w:val="000000" w:themeColor="text1"/>
          <w:lang w:eastAsia="en-AU" w:bidi="ar-SA"/>
        </w:rPr>
        <w:t xml:space="preserve"> (+4.3%), supported by strong livestock demand from overseas markets.</w:t>
      </w:r>
    </w:p>
    <w:p w14:paraId="2A0FDD68"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Compensation of employees</w:t>
      </w:r>
      <w:r w:rsidRPr="00CF6B91">
        <w:rPr>
          <w:rFonts w:ascii="Arial" w:eastAsia="Times New Roman" w:hAnsi="Arial" w:cs="Arial"/>
          <w:noProof w:val="0"/>
          <w:color w:val="000000" w:themeColor="text1"/>
          <w:lang w:eastAsia="en-AU" w:bidi="ar-SA"/>
        </w:rPr>
        <w:t xml:space="preserve"> (+1.5%), with wage growth across private and public sectors, boosting household incomes.</w:t>
      </w:r>
    </w:p>
    <w:p w14:paraId="3DADA810" w14:textId="77777777" w:rsidR="00AA04DF" w:rsidRPr="00CF6B91" w:rsidRDefault="00AA04DF" w:rsidP="00AA04DF">
      <w:pPr>
        <w:pStyle w:val="ListParagraph"/>
        <w:numPr>
          <w:ilvl w:val="0"/>
          <w:numId w:val="2"/>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saving ratio</w:t>
      </w:r>
      <w:r w:rsidRPr="00CF6B91">
        <w:rPr>
          <w:rFonts w:ascii="Arial" w:eastAsia="Times New Roman" w:hAnsi="Arial" w:cs="Arial"/>
          <w:noProof w:val="0"/>
          <w:color w:val="000000" w:themeColor="text1"/>
          <w:lang w:eastAsia="en-AU" w:bidi="ar-SA"/>
        </w:rPr>
        <w:t xml:space="preserve"> rose to 5.2%, reflecting stronger disposable income relative to consumption.</w:t>
      </w:r>
    </w:p>
    <w:p w14:paraId="4A153A04" w14:textId="77777777" w:rsidR="00AA04DF" w:rsidRPr="00CF6B91" w:rsidRDefault="00AA04DF" w:rsidP="00AA04DF">
      <w:pPr>
        <w:rPr>
          <w:rFonts w:ascii="Arial" w:hAnsi="Arial" w:cs="Arial"/>
          <w:color w:val="000000" w:themeColor="text1"/>
        </w:rPr>
      </w:pPr>
    </w:p>
    <w:p w14:paraId="2B5F7AE1" w14:textId="77777777" w:rsidR="00AA04DF" w:rsidRPr="00CF6B91" w:rsidRDefault="00AA04DF" w:rsidP="00AA04DF">
      <w:pPr>
        <w:rPr>
          <w:rFonts w:ascii="Arial" w:hAnsi="Arial" w:cs="Arial"/>
          <w:color w:val="000000" w:themeColor="text1"/>
        </w:rPr>
      </w:pPr>
    </w:p>
    <w:p w14:paraId="08F9D1E6" w14:textId="77777777" w:rsidR="00AA04DF" w:rsidRPr="00CF6B91" w:rsidRDefault="00AA04DF" w:rsidP="00AA04DF">
      <w:pPr>
        <w:rPr>
          <w:rFonts w:ascii="Arial" w:hAnsi="Arial" w:cs="Arial"/>
          <w:b/>
          <w:bCs/>
          <w:color w:val="000000" w:themeColor="text1"/>
          <w:u w:val="single"/>
        </w:rPr>
      </w:pPr>
      <w:r w:rsidRPr="00CF6B91">
        <w:rPr>
          <w:rFonts w:ascii="Arial" w:hAnsi="Arial" w:cs="Arial"/>
          <w:b/>
          <w:bCs/>
          <w:color w:val="000000" w:themeColor="text1"/>
          <w:u w:val="single"/>
        </w:rPr>
        <w:t>Detracted growth:</w:t>
      </w:r>
    </w:p>
    <w:p w14:paraId="72F614F5" w14:textId="77777777" w:rsidR="00AA04DF" w:rsidRPr="00CF6B91" w:rsidRDefault="00AA04DF" w:rsidP="00AA04DF">
      <w:pPr>
        <w:rPr>
          <w:rFonts w:ascii="Arial" w:hAnsi="Arial" w:cs="Arial"/>
          <w:color w:val="000000" w:themeColor="text1"/>
        </w:rPr>
      </w:pPr>
    </w:p>
    <w:p w14:paraId="658EE1E1"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Public sector activity</w:t>
      </w:r>
      <w:r w:rsidRPr="00CF6B91">
        <w:rPr>
          <w:rFonts w:ascii="Arial" w:hAnsi="Arial" w:cs="Arial"/>
          <w:color w:val="000000" w:themeColor="text1"/>
        </w:rPr>
        <w:t>: public investment (–2.0%) detracted 0.1ppt, with major projects delayed or completed, and government consumption flat.</w:t>
      </w:r>
    </w:p>
    <w:p w14:paraId="357C5DB7"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Net trade</w:t>
      </w:r>
      <w:r w:rsidRPr="00CF6B91">
        <w:rPr>
          <w:rFonts w:ascii="Arial" w:hAnsi="Arial" w:cs="Arial"/>
          <w:color w:val="000000" w:themeColor="text1"/>
        </w:rPr>
        <w:t xml:space="preserve"> (–0.1ppt), with exports down (–0.8%) more than imports (–0.4%); services exports fell 3.0% (lower student arrivals, weaker spending), and coal/LNG exports declined.</w:t>
      </w:r>
    </w:p>
    <w:p w14:paraId="7F23FB4F"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Mining output</w:t>
      </w:r>
      <w:r w:rsidRPr="00CF6B91">
        <w:rPr>
          <w:rFonts w:ascii="Arial" w:hAnsi="Arial" w:cs="Arial"/>
          <w:color w:val="000000" w:themeColor="text1"/>
        </w:rPr>
        <w:t xml:space="preserve"> (–2.0%), with severe weather events disrupting production and exports of coal, iron ore, and oil &amp; gas.</w:t>
      </w:r>
    </w:p>
    <w:p w14:paraId="226D10FE"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Weather impacts</w:t>
      </w:r>
      <w:r w:rsidRPr="00CF6B91">
        <w:rPr>
          <w:rFonts w:ascii="Arial" w:hAnsi="Arial" w:cs="Arial"/>
          <w:color w:val="000000" w:themeColor="text1"/>
        </w:rPr>
        <w:t xml:space="preserve"> more broadly, which reduced tourism, shipping, and crop planting.</w:t>
      </w:r>
    </w:p>
    <w:p w14:paraId="4D31AD86"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Weak discretionary household spending</w:t>
      </w:r>
      <w:r w:rsidRPr="00CF6B91">
        <w:rPr>
          <w:rFonts w:ascii="Arial" w:hAnsi="Arial" w:cs="Arial"/>
          <w:color w:val="000000" w:themeColor="text1"/>
        </w:rPr>
        <w:t xml:space="preserve"> (+0.3%), softer after a strong December 2024 quarter.</w:t>
      </w:r>
    </w:p>
    <w:p w14:paraId="05DAD1F0" w14:textId="77777777" w:rsidR="00AA04DF" w:rsidRPr="00CF6B91" w:rsidRDefault="00AA04DF" w:rsidP="00AA04DF">
      <w:pPr>
        <w:numPr>
          <w:ilvl w:val="0"/>
          <w:numId w:val="6"/>
        </w:numPr>
        <w:rPr>
          <w:rFonts w:ascii="Arial" w:hAnsi="Arial" w:cs="Arial"/>
          <w:color w:val="000000" w:themeColor="text1"/>
        </w:rPr>
      </w:pPr>
      <w:r w:rsidRPr="00CF6B91">
        <w:rPr>
          <w:rFonts w:ascii="Arial" w:hAnsi="Arial" w:cs="Arial"/>
          <w:b/>
          <w:bCs/>
          <w:color w:val="000000" w:themeColor="text1"/>
        </w:rPr>
        <w:t>Falling public sector contributions</w:t>
      </w:r>
      <w:r w:rsidRPr="00CF6B91">
        <w:rPr>
          <w:rFonts w:ascii="Arial" w:hAnsi="Arial" w:cs="Arial"/>
          <w:color w:val="000000" w:themeColor="text1"/>
        </w:rPr>
        <w:t xml:space="preserve"> after nine consecutive quarters of government consumption growth.</w:t>
      </w:r>
    </w:p>
    <w:p w14:paraId="36B49903" w14:textId="77777777" w:rsidR="00AA04DF" w:rsidRPr="00CF6B91" w:rsidRDefault="00AA04DF" w:rsidP="00AA04DF">
      <w:pPr>
        <w:rPr>
          <w:rFonts w:ascii="Arial" w:hAnsi="Arial" w:cs="Arial"/>
          <w:color w:val="000000" w:themeColor="text1"/>
        </w:rPr>
      </w:pPr>
    </w:p>
    <w:p w14:paraId="495EE41A" w14:textId="77777777" w:rsidR="00AA04DF" w:rsidRPr="00CF6B91" w:rsidRDefault="00AA04DF" w:rsidP="00AA04DF">
      <w:pPr>
        <w:spacing w:before="100" w:beforeAutospacing="1" w:after="100" w:afterAutospacing="1"/>
        <w:outlineLvl w:val="2"/>
        <w:rPr>
          <w:rFonts w:ascii="Arial" w:eastAsia="Times New Roman" w:hAnsi="Arial" w:cs="Arial"/>
          <w:b/>
          <w:bCs/>
          <w:noProof w:val="0"/>
          <w:color w:val="000000" w:themeColor="text1"/>
          <w:lang w:eastAsia="en-AU" w:bidi="ar-SA"/>
        </w:rPr>
      </w:pPr>
      <w:bookmarkStart w:id="2" w:name="_Hlk207572429"/>
      <w:r w:rsidRPr="00CF6B91">
        <w:rPr>
          <w:rFonts w:ascii="Arial" w:eastAsia="Times New Roman" w:hAnsi="Arial" w:cs="Arial"/>
          <w:b/>
          <w:bCs/>
          <w:noProof w:val="0"/>
          <w:color w:val="000000" w:themeColor="text1"/>
          <w:lang w:eastAsia="en-AU" w:bidi="ar-SA"/>
        </w:rPr>
        <w:t>Key economic indicators (March quarter 2025)</w:t>
      </w:r>
    </w:p>
    <w:p w14:paraId="5861956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Real GDP growth (q/q):</w:t>
      </w:r>
      <w:r w:rsidRPr="00CF6B91">
        <w:rPr>
          <w:rFonts w:ascii="Arial" w:eastAsia="Times New Roman" w:hAnsi="Arial" w:cs="Arial"/>
          <w:noProof w:val="0"/>
          <w:color w:val="000000" w:themeColor="text1"/>
          <w:lang w:eastAsia="en-AU" w:bidi="ar-SA"/>
        </w:rPr>
        <w:t xml:space="preserve"> +0.2%</w:t>
      </w:r>
    </w:p>
    <w:p w14:paraId="32ACA59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Real GDP growth (y/y):</w:t>
      </w:r>
      <w:r w:rsidRPr="00CF6B91">
        <w:rPr>
          <w:rFonts w:ascii="Arial" w:eastAsia="Times New Roman" w:hAnsi="Arial" w:cs="Arial"/>
          <w:noProof w:val="0"/>
          <w:color w:val="000000" w:themeColor="text1"/>
          <w:lang w:eastAsia="en-AU" w:bidi="ar-SA"/>
        </w:rPr>
        <w:t xml:space="preserve"> +1.3%</w:t>
      </w:r>
    </w:p>
    <w:p w14:paraId="2458AB2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Nominal GDP growth (q/q):</w:t>
      </w:r>
      <w:r w:rsidRPr="00CF6B91">
        <w:rPr>
          <w:rFonts w:ascii="Arial" w:eastAsia="Times New Roman" w:hAnsi="Arial" w:cs="Arial"/>
          <w:noProof w:val="0"/>
          <w:color w:val="000000" w:themeColor="text1"/>
          <w:lang w:eastAsia="en-AU" w:bidi="ar-SA"/>
        </w:rPr>
        <w:t xml:space="preserve"> +1.4%</w:t>
      </w:r>
    </w:p>
    <w:p w14:paraId="78A9E9B3"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Terms of trade:</w:t>
      </w:r>
      <w:r w:rsidRPr="00CF6B91">
        <w:rPr>
          <w:rFonts w:ascii="Arial" w:eastAsia="Times New Roman" w:hAnsi="Arial" w:cs="Arial"/>
          <w:noProof w:val="0"/>
          <w:color w:val="000000" w:themeColor="text1"/>
          <w:lang w:eastAsia="en-AU" w:bidi="ar-SA"/>
        </w:rPr>
        <w:t xml:space="preserve"> +0.1%</w:t>
      </w:r>
    </w:p>
    <w:p w14:paraId="29777AA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saving ratio:</w:t>
      </w:r>
      <w:r w:rsidRPr="00CF6B91">
        <w:rPr>
          <w:rFonts w:ascii="Arial" w:eastAsia="Times New Roman" w:hAnsi="Arial" w:cs="Arial"/>
          <w:noProof w:val="0"/>
          <w:color w:val="000000" w:themeColor="text1"/>
          <w:lang w:eastAsia="en-AU" w:bidi="ar-SA"/>
        </w:rPr>
        <w:t xml:space="preserve"> 5.2% (up from 3.9%)</w:t>
      </w:r>
    </w:p>
    <w:p w14:paraId="67A83D0A"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+0.4%</w:t>
      </w:r>
    </w:p>
    <w:p w14:paraId="3C3A9E9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+0.7%</w:t>
      </w:r>
    </w:p>
    <w:p w14:paraId="2FE21D22"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Public investment:</w:t>
      </w:r>
      <w:r w:rsidRPr="00CF6B91">
        <w:rPr>
          <w:rFonts w:ascii="Arial" w:eastAsia="Times New Roman" w:hAnsi="Arial" w:cs="Arial"/>
          <w:noProof w:val="0"/>
          <w:color w:val="000000" w:themeColor="text1"/>
          <w:lang w:eastAsia="en-AU" w:bidi="ar-SA"/>
        </w:rPr>
        <w:t xml:space="preserve"> –2.0%</w:t>
      </w:r>
    </w:p>
    <w:p w14:paraId="10846FE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Exports:</w:t>
      </w:r>
      <w:r w:rsidRPr="00CF6B91">
        <w:rPr>
          <w:rFonts w:ascii="Arial" w:eastAsia="Times New Roman" w:hAnsi="Arial" w:cs="Arial"/>
          <w:noProof w:val="0"/>
          <w:color w:val="000000" w:themeColor="text1"/>
          <w:lang w:eastAsia="en-AU" w:bidi="ar-SA"/>
        </w:rPr>
        <w:t xml:space="preserve"> –0.8%</w:t>
      </w:r>
    </w:p>
    <w:p w14:paraId="43C4CC00"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Imports:</w:t>
      </w:r>
      <w:r w:rsidRPr="00CF6B91">
        <w:rPr>
          <w:rFonts w:ascii="Arial" w:eastAsia="Times New Roman" w:hAnsi="Arial" w:cs="Arial"/>
          <w:noProof w:val="0"/>
          <w:color w:val="000000" w:themeColor="text1"/>
          <w:lang w:eastAsia="en-AU" w:bidi="ar-SA"/>
        </w:rPr>
        <w:t xml:space="preserve"> –0.4%</w:t>
      </w:r>
    </w:p>
    <w:p w14:paraId="6FD2FDDB"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Compensation of employees:</w:t>
      </w:r>
      <w:r w:rsidRPr="00CF6B91">
        <w:rPr>
          <w:rFonts w:ascii="Arial" w:eastAsia="Times New Roman" w:hAnsi="Arial" w:cs="Arial"/>
          <w:noProof w:val="0"/>
          <w:color w:val="000000" w:themeColor="text1"/>
          <w:lang w:eastAsia="en-AU" w:bidi="ar-SA"/>
        </w:rPr>
        <w:t xml:space="preserve"> +1.5%</w:t>
      </w:r>
    </w:p>
    <w:p w14:paraId="0C619CF1" w14:textId="77777777" w:rsidR="00AA04DF" w:rsidRPr="00CF6B91" w:rsidRDefault="00AA04DF" w:rsidP="00AA04DF">
      <w:pPr>
        <w:numPr>
          <w:ilvl w:val="0"/>
          <w:numId w:val="7"/>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Unemployment rate:</w:t>
      </w:r>
      <w:r w:rsidRPr="00CF6B91">
        <w:rPr>
          <w:rFonts w:ascii="Arial" w:eastAsia="Times New Roman" w:hAnsi="Arial" w:cs="Arial"/>
          <w:noProof w:val="0"/>
          <w:color w:val="000000" w:themeColor="text1"/>
          <w:lang w:eastAsia="en-AU" w:bidi="ar-SA"/>
        </w:rPr>
        <w:t xml:space="preserve"> ~4.1%</w:t>
      </w:r>
    </w:p>
    <w:bookmarkEnd w:id="1"/>
    <w:bookmarkEnd w:id="2"/>
    <w:p w14:paraId="17CE9010" w14:textId="77777777" w:rsidR="00AA04DF" w:rsidRPr="00CF6B91" w:rsidRDefault="00AA04DF" w:rsidP="00AA04DF">
      <w:pPr>
        <w:rPr>
          <w:rFonts w:ascii="Arial" w:hAnsi="Arial" w:cs="Arial"/>
          <w:color w:val="000000" w:themeColor="text1"/>
        </w:rPr>
      </w:pPr>
    </w:p>
    <w:p w14:paraId="1D004EA1" w14:textId="170102D1" w:rsidR="00AA04DF" w:rsidRPr="00CF6B91" w:rsidRDefault="00AA04DF" w:rsidP="0020323D">
      <w:pPr>
        <w:pStyle w:val="Heading2"/>
      </w:pPr>
      <w:r w:rsidRPr="00CF6B91">
        <w:t xml:space="preserve">Economic factors </w:t>
      </w:r>
      <w:r w:rsidRPr="0020323D">
        <w:t>that</w:t>
      </w:r>
      <w:r w:rsidRPr="00CF6B91">
        <w:t xml:space="preserve"> can affect growth</w:t>
      </w:r>
    </w:p>
    <w:p w14:paraId="2FD52997"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consumption:</w:t>
      </w:r>
      <w:r w:rsidRPr="00CF6B91">
        <w:rPr>
          <w:rFonts w:ascii="Arial" w:eastAsia="Times New Roman" w:hAnsi="Arial" w:cs="Arial"/>
          <w:noProof w:val="0"/>
          <w:color w:val="000000" w:themeColor="text1"/>
          <w:lang w:eastAsia="en-AU" w:bidi="ar-SA"/>
        </w:rPr>
        <w:t xml:space="preserve"> Essential vs. discretionary spending; electricity and fuel costs significantly influence demand.</w:t>
      </w:r>
    </w:p>
    <w:p w14:paraId="1FA95B0D"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Private investment:</w:t>
      </w:r>
      <w:r w:rsidRPr="00CF6B91">
        <w:rPr>
          <w:rFonts w:ascii="Arial" w:eastAsia="Times New Roman" w:hAnsi="Arial" w:cs="Arial"/>
          <w:noProof w:val="0"/>
          <w:color w:val="000000" w:themeColor="text1"/>
          <w:lang w:eastAsia="en-AU" w:bidi="ar-SA"/>
        </w:rPr>
        <w:t xml:space="preserve"> Housing construction, non-dwelling construction, and machinery/equipment spending drive or restrain growth.</w:t>
      </w:r>
    </w:p>
    <w:p w14:paraId="3F16C95B"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Public sector and investment</w:t>
      </w:r>
      <w:r w:rsidRPr="00CF6B91">
        <w:rPr>
          <w:rFonts w:ascii="Arial" w:eastAsia="Times New Roman" w:hAnsi="Arial" w:cs="Arial"/>
          <w:noProof w:val="0"/>
          <w:color w:val="000000" w:themeColor="text1"/>
          <w:lang w:eastAsia="en-AU" w:bidi="ar-SA"/>
        </w:rPr>
        <w:t>: Government consumption and infrastructure projects can either support or detract from GDP depending on funding cycles.</w:t>
      </w:r>
    </w:p>
    <w:p w14:paraId="68377469"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Trade:</w:t>
      </w:r>
      <w:r w:rsidRPr="00CF6B91">
        <w:rPr>
          <w:rFonts w:ascii="Arial" w:eastAsia="Times New Roman" w:hAnsi="Arial" w:cs="Arial"/>
          <w:noProof w:val="0"/>
          <w:color w:val="000000" w:themeColor="text1"/>
          <w:lang w:eastAsia="en-AU" w:bidi="ar-SA"/>
        </w:rPr>
        <w:t xml:space="preserve"> Shifts in export and import prices, influenced by global demand and exchange rate movements.</w:t>
      </w:r>
    </w:p>
    <w:p w14:paraId="3279BD82"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Weather and natural events</w:t>
      </w:r>
      <w:r w:rsidRPr="00CF6B91">
        <w:rPr>
          <w:rFonts w:ascii="Arial" w:eastAsia="Times New Roman" w:hAnsi="Arial" w:cs="Arial"/>
          <w:noProof w:val="0"/>
          <w:color w:val="000000" w:themeColor="text1"/>
          <w:lang w:eastAsia="en-AU" w:bidi="ar-SA"/>
        </w:rPr>
        <w:t>: Cyclones, floods and other extreme events disrupt mining, agriculture, shipping, and tourism.</w:t>
      </w:r>
    </w:p>
    <w:p w14:paraId="0367E425"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lastRenderedPageBreak/>
        <w:t>Labour market:</w:t>
      </w:r>
      <w:r w:rsidRPr="00CF6B91">
        <w:rPr>
          <w:rFonts w:ascii="Arial" w:eastAsia="Times New Roman" w:hAnsi="Arial" w:cs="Arial"/>
          <w:noProof w:val="0"/>
          <w:color w:val="000000" w:themeColor="text1"/>
          <w:lang w:eastAsia="en-AU" w:bidi="ar-SA"/>
        </w:rPr>
        <w:t xml:space="preserve"> Employment levels, wages, and compensation of employees affect disposable income and household spending.</w:t>
      </w:r>
    </w:p>
    <w:p w14:paraId="43A81098"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Household saving:</w:t>
      </w:r>
      <w:r w:rsidRPr="00CF6B91">
        <w:rPr>
          <w:rFonts w:ascii="Arial" w:eastAsia="Times New Roman" w:hAnsi="Arial" w:cs="Arial"/>
          <w:noProof w:val="0"/>
          <w:color w:val="000000" w:themeColor="text1"/>
          <w:lang w:eastAsia="en-AU" w:bidi="ar-SA"/>
        </w:rPr>
        <w:t xml:space="preserve"> Changes in the saving to income ratio influence consumption capacity and financial resilience.</w:t>
      </w:r>
    </w:p>
    <w:p w14:paraId="2191770E"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Commodity:</w:t>
      </w:r>
      <w:r w:rsidRPr="00CF6B91">
        <w:rPr>
          <w:rFonts w:ascii="Arial" w:eastAsia="Times New Roman" w:hAnsi="Arial" w:cs="Arial"/>
          <w:noProof w:val="0"/>
          <w:color w:val="000000" w:themeColor="text1"/>
          <w:lang w:eastAsia="en-AU" w:bidi="ar-SA"/>
        </w:rPr>
        <w:t xml:space="preserve"> Particularly Chinese demand for iron ore, and international trends for coal, LNG, and rural products.</w:t>
      </w:r>
    </w:p>
    <w:p w14:paraId="649113C6" w14:textId="77777777" w:rsidR="00AA04DF" w:rsidRPr="00CF6B91" w:rsidRDefault="00AA04DF" w:rsidP="00AA04DF">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Exchange rate:</w:t>
      </w:r>
      <w:r w:rsidRPr="00CF6B91">
        <w:rPr>
          <w:rFonts w:ascii="Arial" w:eastAsia="Times New Roman" w:hAnsi="Arial" w:cs="Arial"/>
          <w:noProof w:val="0"/>
          <w:color w:val="000000" w:themeColor="text1"/>
          <w:lang w:eastAsia="en-AU" w:bidi="ar-SA"/>
        </w:rPr>
        <w:t xml:space="preserve"> A weaker Australian dollar raises import prices but can support export competitiveness.</w:t>
      </w:r>
    </w:p>
    <w:p w14:paraId="7142F4F5" w14:textId="615EA292" w:rsidR="00DC0139" w:rsidRPr="00346084" w:rsidRDefault="00AA04DF" w:rsidP="00346084">
      <w:pPr>
        <w:pStyle w:val="ListParagraph"/>
        <w:numPr>
          <w:ilvl w:val="0"/>
          <w:numId w:val="8"/>
        </w:numPr>
        <w:spacing w:before="100" w:beforeAutospacing="1" w:after="100" w:afterAutospacing="1"/>
        <w:rPr>
          <w:rFonts w:ascii="Arial" w:eastAsia="Times New Roman" w:hAnsi="Arial" w:cs="Arial"/>
          <w:noProof w:val="0"/>
          <w:color w:val="000000" w:themeColor="text1"/>
          <w:lang w:eastAsia="en-AU" w:bidi="ar-SA"/>
        </w:rPr>
      </w:pPr>
      <w:r w:rsidRPr="00CF6B91">
        <w:rPr>
          <w:rFonts w:ascii="Arial" w:eastAsia="Times New Roman" w:hAnsi="Arial" w:cs="Arial"/>
          <w:b/>
          <w:bCs/>
          <w:noProof w:val="0"/>
          <w:color w:val="000000" w:themeColor="text1"/>
          <w:lang w:eastAsia="en-AU" w:bidi="ar-SA"/>
        </w:rPr>
        <w:t>Inflation:</w:t>
      </w:r>
      <w:r w:rsidRPr="00CF6B91">
        <w:rPr>
          <w:rFonts w:ascii="Arial" w:eastAsia="Times New Roman" w:hAnsi="Arial" w:cs="Arial"/>
          <w:noProof w:val="0"/>
          <w:color w:val="000000" w:themeColor="text1"/>
          <w:lang w:eastAsia="en-AU" w:bidi="ar-SA"/>
        </w:rPr>
        <w:t xml:space="preserve"> Rising labour costs, rents, fuel and services prices shape both household budgets and business margins.</w:t>
      </w:r>
    </w:p>
    <w:p w14:paraId="437A03CB" w14:textId="77777777" w:rsidR="00DC0139" w:rsidRDefault="00DC0139">
      <w:pPr>
        <w:suppressAutoHyphens/>
        <w:rPr>
          <w:rFonts w:asciiTheme="minorHAnsi" w:hAnsiTheme="minorHAnsi" w:cstheme="minorHAnsi"/>
          <w:color w:val="000000" w:themeColor="text1"/>
        </w:rPr>
      </w:pPr>
    </w:p>
    <w:p w14:paraId="2E7E89A6" w14:textId="51613CEF" w:rsidR="00DC0139" w:rsidRDefault="00DC0139" w:rsidP="00DC0139">
      <w:pPr>
        <w:pStyle w:val="Heading2"/>
      </w:pPr>
      <w:r>
        <w:t>H</w:t>
      </w:r>
      <w:r w:rsidRPr="00DC0139">
        <w:t>ow the economic conditions of Australia will affect the growth and planning of</w:t>
      </w:r>
      <w:r>
        <w:t xml:space="preserve"> Optus</w:t>
      </w:r>
    </w:p>
    <w:p w14:paraId="2EEE23C7" w14:textId="77777777" w:rsidR="00DC0139" w:rsidRDefault="00DC0139">
      <w:pPr>
        <w:suppressAutoHyphens/>
        <w:rPr>
          <w:rFonts w:asciiTheme="minorHAnsi" w:hAnsiTheme="minorHAnsi" w:cstheme="minorHAnsi"/>
          <w:color w:val="000000" w:themeColor="text1"/>
        </w:rPr>
      </w:pPr>
    </w:p>
    <w:p w14:paraId="128399AD"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Household Consumption and Demand for Services</w:t>
      </w:r>
    </w:p>
    <w:p w14:paraId="5DAB334D"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Essential spending is holding up, especially on electricity, gas, and food, but discretionary spending is softer.</w:t>
      </w:r>
    </w:p>
    <w:p w14:paraId="0BDBE652"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For Optus, this means </w:t>
      </w:r>
      <w:r w:rsidRPr="00DC0139">
        <w:rPr>
          <w:rFonts w:asciiTheme="minorHAnsi" w:hAnsiTheme="minorHAnsi" w:cstheme="minorHAnsi"/>
          <w:b/>
          <w:bCs/>
          <w:color w:val="000000" w:themeColor="text1"/>
        </w:rPr>
        <w:t>steady demand for essential telecommunications services (mobile, internet, broadband)</w:t>
      </w:r>
      <w:r w:rsidRPr="00DC0139">
        <w:rPr>
          <w:rFonts w:asciiTheme="minorHAnsi" w:hAnsiTheme="minorHAnsi" w:cstheme="minorHAnsi"/>
          <w:color w:val="000000" w:themeColor="text1"/>
        </w:rPr>
        <w:t xml:space="preserve">, but </w:t>
      </w:r>
      <w:r w:rsidRPr="00DC0139">
        <w:rPr>
          <w:rFonts w:asciiTheme="minorHAnsi" w:hAnsiTheme="minorHAnsi" w:cstheme="minorHAnsi"/>
          <w:b/>
          <w:bCs/>
          <w:color w:val="000000" w:themeColor="text1"/>
        </w:rPr>
        <w:t>slower uptake of premium products</w:t>
      </w:r>
      <w:r w:rsidRPr="00DC0139">
        <w:rPr>
          <w:rFonts w:asciiTheme="minorHAnsi" w:hAnsiTheme="minorHAnsi" w:cstheme="minorHAnsi"/>
          <w:color w:val="000000" w:themeColor="text1"/>
        </w:rPr>
        <w:t xml:space="preserve"> (5G add-ons, entertainment bundles, higher-tier plans) as households prioritise budgets.</w:t>
      </w:r>
    </w:p>
    <w:p w14:paraId="75BE448F"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Labour Market and Costs</w:t>
      </w:r>
    </w:p>
    <w:p w14:paraId="1F592932"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With unemployment at 4.1% and wages rising (+1.5%), Optus faces </w:t>
      </w:r>
      <w:r w:rsidRPr="00DC0139">
        <w:rPr>
          <w:rFonts w:asciiTheme="minorHAnsi" w:hAnsiTheme="minorHAnsi" w:cstheme="minorHAnsi"/>
          <w:b/>
          <w:bCs/>
          <w:color w:val="000000" w:themeColor="text1"/>
        </w:rPr>
        <w:t>higher labour costs</w:t>
      </w:r>
      <w:r w:rsidRPr="00DC0139">
        <w:rPr>
          <w:rFonts w:asciiTheme="minorHAnsi" w:hAnsiTheme="minorHAnsi" w:cstheme="minorHAnsi"/>
          <w:color w:val="000000" w:themeColor="text1"/>
        </w:rPr>
        <w:t xml:space="preserve"> for both technical staff and customer service.</w:t>
      </w:r>
    </w:p>
    <w:p w14:paraId="3A8E37C2"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This may push Optus to accelerate </w:t>
      </w:r>
      <w:r w:rsidRPr="00DC0139">
        <w:rPr>
          <w:rFonts w:asciiTheme="minorHAnsi" w:hAnsiTheme="minorHAnsi" w:cstheme="minorHAnsi"/>
          <w:b/>
          <w:bCs/>
          <w:color w:val="000000" w:themeColor="text1"/>
        </w:rPr>
        <w:t>automation, AI-driven customer support, and outsourcing strategies</w:t>
      </w:r>
      <w:r w:rsidRPr="00DC0139">
        <w:rPr>
          <w:rFonts w:asciiTheme="minorHAnsi" w:hAnsiTheme="minorHAnsi" w:cstheme="minorHAnsi"/>
          <w:color w:val="000000" w:themeColor="text1"/>
        </w:rPr>
        <w:t xml:space="preserve"> to manage costs.</w:t>
      </w:r>
    </w:p>
    <w:p w14:paraId="7CFDEA16"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Household Saving and Disposable Income</w:t>
      </w:r>
    </w:p>
    <w:p w14:paraId="340A3B50"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The rise in the household saving ratio (to 5.2%) suggests some households are building buffers, but still cautious.</w:t>
      </w:r>
    </w:p>
    <w:p w14:paraId="07924681"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This could slow down </w:t>
      </w:r>
      <w:r w:rsidRPr="00DC0139">
        <w:rPr>
          <w:rFonts w:asciiTheme="minorHAnsi" w:hAnsiTheme="minorHAnsi" w:cstheme="minorHAnsi"/>
          <w:b/>
          <w:bCs/>
          <w:color w:val="000000" w:themeColor="text1"/>
        </w:rPr>
        <w:t>consumer willingness to upgrade plans or devices</w:t>
      </w:r>
      <w:r w:rsidRPr="00DC0139">
        <w:rPr>
          <w:rFonts w:asciiTheme="minorHAnsi" w:hAnsiTheme="minorHAnsi" w:cstheme="minorHAnsi"/>
          <w:color w:val="000000" w:themeColor="text1"/>
        </w:rPr>
        <w:t xml:space="preserve"> unless Optus offers competitive pricing or bundled deals.</w:t>
      </w:r>
    </w:p>
    <w:p w14:paraId="11A77F8F" w14:textId="77777777" w:rsidR="00DC0139" w:rsidRPr="00DC0139" w:rsidRDefault="00DC0139" w:rsidP="00DC0139">
      <w:pPr>
        <w:numPr>
          <w:ilvl w:val="0"/>
          <w:numId w:val="14"/>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Inflationary Pressures</w:t>
      </w:r>
    </w:p>
    <w:p w14:paraId="61D5495E"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Higher fuel, rent, and energy costs affect both consumers and Optus’ operating expenses (retail outlets, data centres, logistics).</w:t>
      </w:r>
    </w:p>
    <w:p w14:paraId="4E6C92BC" w14:textId="77777777" w:rsidR="00DC0139" w:rsidRPr="00DC0139" w:rsidRDefault="00DC0139" w:rsidP="00DC0139">
      <w:pPr>
        <w:numPr>
          <w:ilvl w:val="1"/>
          <w:numId w:val="14"/>
        </w:numPr>
        <w:tabs>
          <w:tab w:val="num" w:pos="1440"/>
        </w:tabs>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 xml:space="preserve">Optus will need to balance </w:t>
      </w:r>
      <w:r w:rsidRPr="00DC0139">
        <w:rPr>
          <w:rFonts w:asciiTheme="minorHAnsi" w:hAnsiTheme="minorHAnsi" w:cstheme="minorHAnsi"/>
          <w:b/>
          <w:bCs/>
          <w:color w:val="000000" w:themeColor="text1"/>
        </w:rPr>
        <w:t>raising prices to protect margins</w:t>
      </w:r>
      <w:r w:rsidRPr="00DC0139">
        <w:rPr>
          <w:rFonts w:asciiTheme="minorHAnsi" w:hAnsiTheme="minorHAnsi" w:cstheme="minorHAnsi"/>
          <w:color w:val="000000" w:themeColor="text1"/>
        </w:rPr>
        <w:t xml:space="preserve"> with </w:t>
      </w:r>
      <w:r w:rsidRPr="00DC0139">
        <w:rPr>
          <w:rFonts w:asciiTheme="minorHAnsi" w:hAnsiTheme="minorHAnsi" w:cstheme="minorHAnsi"/>
          <w:b/>
          <w:bCs/>
          <w:color w:val="000000" w:themeColor="text1"/>
        </w:rPr>
        <w:t>maintaining affordability</w:t>
      </w:r>
      <w:r w:rsidRPr="00DC0139">
        <w:rPr>
          <w:rFonts w:asciiTheme="minorHAnsi" w:hAnsiTheme="minorHAnsi" w:cstheme="minorHAnsi"/>
          <w:color w:val="000000" w:themeColor="text1"/>
        </w:rPr>
        <w:t xml:space="preserve"> in a competitive market against Telstra, TPG/Vodafone, and low-cost MVNOs like Lebara.</w:t>
      </w:r>
    </w:p>
    <w:p w14:paraId="36460C3E" w14:textId="68F3D22B" w:rsidR="00DC0139" w:rsidRPr="00DC0139" w:rsidRDefault="00DC0139" w:rsidP="00DC0139">
      <w:pPr>
        <w:suppressAutoHyphens/>
        <w:rPr>
          <w:rFonts w:asciiTheme="minorHAnsi" w:hAnsiTheme="minorHAnsi" w:cstheme="minorHAnsi"/>
          <w:color w:val="000000" w:themeColor="text1"/>
        </w:rPr>
      </w:pPr>
    </w:p>
    <w:p w14:paraId="3850671D" w14:textId="77777777" w:rsidR="00DC0139" w:rsidRDefault="00DC0139" w:rsidP="00DC0139">
      <w:pPr>
        <w:suppressAutoHyphens/>
        <w:rPr>
          <w:rFonts w:asciiTheme="minorHAnsi" w:hAnsiTheme="minorHAnsi" w:cstheme="minorHAnsi"/>
          <w:b/>
          <w:bCs/>
          <w:color w:val="000000" w:themeColor="text1"/>
        </w:rPr>
      </w:pPr>
      <w:r w:rsidRPr="00DC0139">
        <w:rPr>
          <w:rFonts w:asciiTheme="minorHAnsi" w:hAnsiTheme="minorHAnsi" w:cstheme="minorHAnsi"/>
          <w:b/>
          <w:bCs/>
          <w:color w:val="000000" w:themeColor="text1"/>
        </w:rPr>
        <w:t>Strategic Implications for Optus</w:t>
      </w:r>
    </w:p>
    <w:p w14:paraId="34911ED6" w14:textId="77777777" w:rsidR="00A348F2" w:rsidRPr="00DC0139" w:rsidRDefault="00A348F2" w:rsidP="00DC0139">
      <w:pPr>
        <w:suppressAutoHyphens/>
        <w:rPr>
          <w:rFonts w:asciiTheme="minorHAnsi" w:hAnsiTheme="minorHAnsi" w:cstheme="minorHAnsi"/>
          <w:b/>
          <w:bCs/>
          <w:color w:val="000000" w:themeColor="text1"/>
        </w:rPr>
      </w:pPr>
    </w:p>
    <w:p w14:paraId="22E1AF59" w14:textId="77777777" w:rsidR="00607E44" w:rsidRDefault="00DC0139" w:rsidP="00607E44">
      <w:pPr>
        <w:numPr>
          <w:ilvl w:val="0"/>
          <w:numId w:val="15"/>
        </w:numPr>
        <w:suppressAutoHyphens/>
        <w:rPr>
          <w:rFonts w:asciiTheme="minorHAnsi" w:hAnsiTheme="minorHAnsi" w:cstheme="minorHAnsi"/>
          <w:color w:val="000000" w:themeColor="text1"/>
          <w:highlight w:val="yellow"/>
        </w:rPr>
      </w:pPr>
      <w:r w:rsidRPr="00565D92">
        <w:rPr>
          <w:rFonts w:asciiTheme="minorHAnsi" w:hAnsiTheme="minorHAnsi" w:cstheme="minorHAnsi"/>
          <w:b/>
          <w:bCs/>
          <w:color w:val="000000" w:themeColor="text1"/>
          <w:highlight w:val="yellow"/>
        </w:rPr>
        <w:t>Network investment</w:t>
      </w:r>
    </w:p>
    <w:p w14:paraId="7F908D09" w14:textId="7914828F" w:rsidR="00DC0139" w:rsidRPr="00565D92" w:rsidRDefault="00DC0139" w:rsidP="00607E44">
      <w:pPr>
        <w:numPr>
          <w:ilvl w:val="1"/>
          <w:numId w:val="15"/>
        </w:numPr>
        <w:suppressAutoHyphens/>
        <w:rPr>
          <w:rFonts w:asciiTheme="minorHAnsi" w:hAnsiTheme="minorHAnsi" w:cstheme="minorHAnsi"/>
          <w:color w:val="000000" w:themeColor="text1"/>
          <w:highlight w:val="yellow"/>
        </w:rPr>
      </w:pPr>
      <w:r w:rsidRPr="00565D92">
        <w:rPr>
          <w:rFonts w:asciiTheme="minorHAnsi" w:hAnsiTheme="minorHAnsi" w:cstheme="minorHAnsi"/>
          <w:color w:val="000000" w:themeColor="text1"/>
          <w:highlight w:val="yellow"/>
        </w:rPr>
        <w:t>will continue, but planning must account for higher costs and potential equipment delays.</w:t>
      </w:r>
    </w:p>
    <w:p w14:paraId="0A1F8FDC" w14:textId="77777777" w:rsidR="00607E44" w:rsidRDefault="00DC0139" w:rsidP="00607E44">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Consumer products</w:t>
      </w:r>
    </w:p>
    <w:p w14:paraId="677F99BD" w14:textId="33ACE024" w:rsidR="00DC0139" w:rsidRPr="00DC0139" w:rsidRDefault="00DC0139" w:rsidP="00607E44">
      <w:pPr>
        <w:numPr>
          <w:ilvl w:val="1"/>
          <w:numId w:val="15"/>
        </w:numPr>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will need tiered and flexible pricing to capture both budget-conscious and premium users.</w:t>
      </w:r>
    </w:p>
    <w:p w14:paraId="25B8F570" w14:textId="77777777" w:rsidR="00607E44" w:rsidRDefault="00DC0139" w:rsidP="00607E44">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Operational efficiency</w:t>
      </w:r>
      <w:r w:rsidRPr="00DC0139">
        <w:rPr>
          <w:rFonts w:asciiTheme="minorHAnsi" w:hAnsiTheme="minorHAnsi" w:cstheme="minorHAnsi"/>
          <w:color w:val="000000" w:themeColor="text1"/>
        </w:rPr>
        <w:t xml:space="preserve"> (automation, digitalisation)</w:t>
      </w:r>
    </w:p>
    <w:p w14:paraId="2539D116" w14:textId="3407AE5D" w:rsidR="00DC0139" w:rsidRPr="00DC0139" w:rsidRDefault="00DC0139" w:rsidP="00607E44">
      <w:pPr>
        <w:numPr>
          <w:ilvl w:val="1"/>
          <w:numId w:val="15"/>
        </w:numPr>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becomes critical to offset wage and energy cost increases.</w:t>
      </w:r>
    </w:p>
    <w:p w14:paraId="0AD49E27" w14:textId="77777777" w:rsidR="00607E44" w:rsidRDefault="00DC0139" w:rsidP="00607E44">
      <w:pPr>
        <w:numPr>
          <w:ilvl w:val="0"/>
          <w:numId w:val="15"/>
        </w:numPr>
        <w:suppressAutoHyphens/>
        <w:rPr>
          <w:rFonts w:asciiTheme="minorHAnsi" w:hAnsiTheme="minorHAnsi" w:cstheme="minorHAnsi"/>
          <w:color w:val="000000" w:themeColor="text1"/>
        </w:rPr>
      </w:pPr>
      <w:r w:rsidRPr="00DC0139">
        <w:rPr>
          <w:rFonts w:asciiTheme="minorHAnsi" w:hAnsiTheme="minorHAnsi" w:cstheme="minorHAnsi"/>
          <w:b/>
          <w:bCs/>
          <w:color w:val="000000" w:themeColor="text1"/>
        </w:rPr>
        <w:t>Risk management</w:t>
      </w:r>
      <w:r w:rsidRPr="00DC0139">
        <w:rPr>
          <w:rFonts w:asciiTheme="minorHAnsi" w:hAnsiTheme="minorHAnsi" w:cstheme="minorHAnsi"/>
          <w:color w:val="000000" w:themeColor="text1"/>
        </w:rPr>
        <w:t xml:space="preserve"> (climate resilience, supply chain diversification)</w:t>
      </w:r>
    </w:p>
    <w:p w14:paraId="36170246" w14:textId="4BC6205E" w:rsidR="00DC0139" w:rsidRPr="00DC0139" w:rsidRDefault="00DC0139" w:rsidP="00607E44">
      <w:pPr>
        <w:numPr>
          <w:ilvl w:val="1"/>
          <w:numId w:val="15"/>
        </w:numPr>
        <w:suppressAutoHyphens/>
        <w:rPr>
          <w:rFonts w:asciiTheme="minorHAnsi" w:hAnsiTheme="minorHAnsi" w:cstheme="minorHAnsi"/>
          <w:color w:val="000000" w:themeColor="text1"/>
        </w:rPr>
      </w:pPr>
      <w:r w:rsidRPr="00DC0139">
        <w:rPr>
          <w:rFonts w:asciiTheme="minorHAnsi" w:hAnsiTheme="minorHAnsi" w:cstheme="minorHAnsi"/>
          <w:color w:val="000000" w:themeColor="text1"/>
        </w:rPr>
        <w:t>will be prioritised in long-term planning.</w:t>
      </w:r>
    </w:p>
    <w:p w14:paraId="18ABA7FE" w14:textId="77777777" w:rsidR="00607E44" w:rsidRDefault="00DC0139" w:rsidP="00607E44">
      <w:pPr>
        <w:numPr>
          <w:ilvl w:val="0"/>
          <w:numId w:val="15"/>
        </w:numPr>
        <w:suppressAutoHyphens/>
        <w:rPr>
          <w:rFonts w:asciiTheme="minorHAnsi" w:hAnsiTheme="minorHAnsi" w:cstheme="minorHAnsi"/>
          <w:color w:val="000000" w:themeColor="text1"/>
          <w:highlight w:val="yellow"/>
        </w:rPr>
      </w:pPr>
      <w:r w:rsidRPr="00565D92">
        <w:rPr>
          <w:rFonts w:asciiTheme="minorHAnsi" w:hAnsiTheme="minorHAnsi" w:cstheme="minorHAnsi"/>
          <w:b/>
          <w:bCs/>
          <w:color w:val="000000" w:themeColor="text1"/>
          <w:highlight w:val="yellow"/>
        </w:rPr>
        <w:t>Market competition</w:t>
      </w:r>
    </w:p>
    <w:p w14:paraId="2BBF03A2" w14:textId="15AFE9DE" w:rsidR="00DC0139" w:rsidRDefault="00DC0139" w:rsidP="00607E44">
      <w:pPr>
        <w:numPr>
          <w:ilvl w:val="1"/>
          <w:numId w:val="15"/>
        </w:numPr>
        <w:suppressAutoHyphens/>
        <w:rPr>
          <w:rFonts w:asciiTheme="minorHAnsi" w:hAnsiTheme="minorHAnsi" w:cstheme="minorHAnsi"/>
          <w:color w:val="000000" w:themeColor="text1"/>
          <w:highlight w:val="yellow"/>
        </w:rPr>
      </w:pPr>
      <w:r w:rsidRPr="00565D92">
        <w:rPr>
          <w:rFonts w:asciiTheme="minorHAnsi" w:hAnsiTheme="minorHAnsi" w:cstheme="minorHAnsi"/>
          <w:color w:val="000000" w:themeColor="text1"/>
          <w:highlight w:val="yellow"/>
        </w:rPr>
        <w:t>With household consumption modest but steady, Optus will compete aggressively with Telstra and MVNOs for essential service markets.</w:t>
      </w:r>
    </w:p>
    <w:p w14:paraId="34580456" w14:textId="41E09D25" w:rsidR="00565D92" w:rsidRPr="00565D92" w:rsidRDefault="00565D92" w:rsidP="00607E44">
      <w:pPr>
        <w:numPr>
          <w:ilvl w:val="0"/>
          <w:numId w:val="15"/>
        </w:numPr>
        <w:spacing w:before="100" w:beforeAutospacing="1" w:after="100" w:afterAutospacing="1"/>
        <w:rPr>
          <w:rFonts w:ascii="Arial" w:eastAsia="Times New Roman" w:hAnsi="Arial" w:cs="Arial"/>
          <w:noProof w:val="0"/>
          <w:highlight w:val="yellow"/>
          <w:lang w:eastAsia="en-AU" w:bidi="ar-SA"/>
        </w:rPr>
      </w:pPr>
      <w:r w:rsidRPr="00565D92">
        <w:rPr>
          <w:rFonts w:ascii="Arial" w:eastAsia="Times New Roman" w:hAnsi="Arial" w:cs="Arial"/>
          <w:b/>
          <w:bCs/>
          <w:noProof w:val="0"/>
          <w:highlight w:val="yellow"/>
          <w:lang w:eastAsia="en-AU" w:bidi="ar-SA"/>
        </w:rPr>
        <w:t>Data Security and Cyber Resilience</w:t>
      </w:r>
      <w:r w:rsidRPr="00565D92">
        <w:rPr>
          <w:rFonts w:ascii="Arial" w:eastAsia="Times New Roman" w:hAnsi="Arial" w:cs="Arial"/>
          <w:noProof w:val="0"/>
          <w:highlight w:val="yellow"/>
          <w:lang w:eastAsia="en-AU" w:bidi="ar-SA"/>
        </w:rPr>
        <w:t xml:space="preserve"> </w:t>
      </w:r>
    </w:p>
    <w:p w14:paraId="2FAB2C36" w14:textId="77777777" w:rsidR="00565D92" w:rsidRPr="00565D92" w:rsidRDefault="00565D92" w:rsidP="00607E44">
      <w:pPr>
        <w:numPr>
          <w:ilvl w:val="1"/>
          <w:numId w:val="15"/>
        </w:numPr>
        <w:spacing w:before="100" w:beforeAutospacing="1" w:after="100" w:afterAutospacing="1"/>
        <w:rPr>
          <w:rFonts w:ascii="Arial" w:eastAsia="Times New Roman" w:hAnsi="Arial" w:cs="Arial"/>
          <w:noProof w:val="0"/>
          <w:highlight w:val="yellow"/>
          <w:lang w:eastAsia="en-AU" w:bidi="ar-SA"/>
        </w:rPr>
      </w:pPr>
      <w:r w:rsidRPr="00565D92">
        <w:rPr>
          <w:rFonts w:ascii="Arial" w:eastAsia="Times New Roman" w:hAnsi="Arial" w:cs="Arial"/>
          <w:noProof w:val="0"/>
          <w:highlight w:val="yellow"/>
          <w:lang w:eastAsia="en-AU" w:bidi="ar-SA"/>
        </w:rPr>
        <w:t>Invest in advanced cybersecurity measures to protect customer data, following requirements under the Cybersecurity Act 2024.</w:t>
      </w:r>
    </w:p>
    <w:p w14:paraId="54CBECB5" w14:textId="77777777" w:rsidR="00565D92" w:rsidRPr="00565D92" w:rsidRDefault="00565D92" w:rsidP="00607E44">
      <w:pPr>
        <w:numPr>
          <w:ilvl w:val="1"/>
          <w:numId w:val="15"/>
        </w:numPr>
        <w:spacing w:before="100" w:beforeAutospacing="1" w:after="100" w:afterAutospacing="1"/>
        <w:rPr>
          <w:rFonts w:ascii="Arial" w:eastAsia="Times New Roman" w:hAnsi="Arial" w:cs="Arial"/>
          <w:noProof w:val="0"/>
          <w:highlight w:val="yellow"/>
          <w:lang w:eastAsia="en-AU" w:bidi="ar-SA"/>
        </w:rPr>
      </w:pPr>
      <w:r w:rsidRPr="00565D92">
        <w:rPr>
          <w:rFonts w:ascii="Arial" w:eastAsia="Times New Roman" w:hAnsi="Arial" w:cs="Arial"/>
          <w:noProof w:val="0"/>
          <w:highlight w:val="yellow"/>
          <w:lang w:eastAsia="en-AU" w:bidi="ar-SA"/>
        </w:rPr>
        <w:t>Implement strong internal controls, regular audits, and staff training to mitigate breach risks.</w:t>
      </w:r>
    </w:p>
    <w:p w14:paraId="0EAC6444" w14:textId="528203A9" w:rsidR="00565D92" w:rsidRPr="006D53D4" w:rsidRDefault="00565D92" w:rsidP="00607E44">
      <w:pPr>
        <w:numPr>
          <w:ilvl w:val="1"/>
          <w:numId w:val="15"/>
        </w:numPr>
        <w:spacing w:before="100" w:beforeAutospacing="1" w:after="100" w:afterAutospacing="1"/>
        <w:rPr>
          <w:rFonts w:ascii="Arial" w:eastAsia="Times New Roman" w:hAnsi="Arial" w:cs="Arial"/>
          <w:noProof w:val="0"/>
          <w:highlight w:val="yellow"/>
          <w:lang w:eastAsia="en-AU" w:bidi="ar-SA"/>
        </w:rPr>
      </w:pPr>
      <w:r w:rsidRPr="00565D92">
        <w:rPr>
          <w:rFonts w:ascii="Arial" w:eastAsia="Times New Roman" w:hAnsi="Arial" w:cs="Arial"/>
          <w:noProof w:val="0"/>
          <w:highlight w:val="yellow"/>
          <w:lang w:eastAsia="en-AU" w:bidi="ar-SA"/>
        </w:rPr>
        <w:t>Communicate security initiatives to build consumer trust and reduce reputational risk.</w:t>
      </w:r>
    </w:p>
    <w:p w14:paraId="136C923A" w14:textId="77777777" w:rsidR="00DC0139" w:rsidRDefault="00DC0139">
      <w:pPr>
        <w:suppressAutoHyphens/>
        <w:rPr>
          <w:rFonts w:asciiTheme="minorHAnsi" w:hAnsiTheme="minorHAnsi" w:cstheme="minorHAnsi"/>
          <w:color w:val="000000" w:themeColor="text1"/>
        </w:rPr>
      </w:pPr>
    </w:p>
    <w:p w14:paraId="09EEE032" w14:textId="77777777" w:rsidR="00DC0139" w:rsidRDefault="00DC0139">
      <w:pPr>
        <w:suppressAutoHyphens/>
        <w:rPr>
          <w:rFonts w:asciiTheme="minorHAnsi" w:hAnsiTheme="minorHAnsi" w:cstheme="minorHAnsi"/>
          <w:color w:val="000000" w:themeColor="text1"/>
        </w:rPr>
      </w:pPr>
    </w:p>
    <w:p w14:paraId="762335F8" w14:textId="2AE5D0DA" w:rsidR="00DC0139" w:rsidRDefault="00E36096" w:rsidP="00E36096">
      <w:pPr>
        <w:pStyle w:val="Heading2"/>
      </w:pPr>
      <w:r>
        <w:t>H</w:t>
      </w:r>
      <w:r w:rsidR="00DC0139" w:rsidRPr="00DC0139">
        <w:t>ow the economic conditions of Australia will affect the growth and planning of</w:t>
      </w:r>
      <w:r w:rsidR="00DC0139">
        <w:t xml:space="preserve"> Lebara</w:t>
      </w:r>
    </w:p>
    <w:p w14:paraId="6E67AA14" w14:textId="77777777" w:rsidR="00A348F2" w:rsidRDefault="00A348F2" w:rsidP="00F97A22">
      <w:pPr>
        <w:pStyle w:val="Heading2"/>
      </w:pPr>
    </w:p>
    <w:p w14:paraId="4BC7C35F" w14:textId="4F0001A0"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Household consumption</w:t>
      </w:r>
    </w:p>
    <w:p w14:paraId="499EF1C5"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Essential: mobile and internet services remain a priority.</w:t>
      </w:r>
    </w:p>
    <w:p w14:paraId="71ADFFBC"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Opportunity: families and migrants are seeking cheaper plans → Lebara benefits as a low-cost option.</w:t>
      </w:r>
    </w:p>
    <w:p w14:paraId="62BB9F39" w14:textId="72CA3F85"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Public investment</w:t>
      </w:r>
    </w:p>
    <w:p w14:paraId="52D8261F"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The decline in public investment reduces regional connectivity projects.</w:t>
      </w:r>
    </w:p>
    <w:p w14:paraId="493B59FD"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This limits the coverage of the networks that Lebara leases.</w:t>
      </w:r>
    </w:p>
    <w:p w14:paraId="5A146A64" w14:textId="5368697D"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Labour market</w:t>
      </w:r>
    </w:p>
    <w:p w14:paraId="5C4261FB"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A tight labour market and rising wages increase operating costs in customer service.</w:t>
      </w:r>
    </w:p>
    <w:p w14:paraId="79B5CA59"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To offset this, Lebara needs to push for digitalisation and online self-service platforms.</w:t>
      </w:r>
    </w:p>
    <w:p w14:paraId="4E20B550" w14:textId="7DC05DC1" w:rsidR="00E36096" w:rsidRPr="00FF5645" w:rsidRDefault="00E36096" w:rsidP="00FF5645">
      <w:pPr>
        <w:pStyle w:val="ListParagraph"/>
        <w:numPr>
          <w:ilvl w:val="0"/>
          <w:numId w:val="37"/>
        </w:numPr>
        <w:suppressAutoHyphens/>
        <w:rPr>
          <w:rFonts w:asciiTheme="minorHAnsi" w:hAnsiTheme="minorHAnsi" w:cstheme="minorHAnsi"/>
          <w:color w:val="000000" w:themeColor="text1"/>
        </w:rPr>
      </w:pPr>
      <w:r w:rsidRPr="00FF5645">
        <w:rPr>
          <w:rFonts w:asciiTheme="minorHAnsi" w:hAnsiTheme="minorHAnsi" w:cstheme="minorHAnsi"/>
          <w:b/>
          <w:bCs/>
          <w:color w:val="000000" w:themeColor="text1"/>
        </w:rPr>
        <w:t>Inflation and cost of living</w:t>
      </w:r>
    </w:p>
    <w:p w14:paraId="57D89700"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Higher energy, rent, and fuel costs pressure households.</w:t>
      </w:r>
    </w:p>
    <w:p w14:paraId="2B25CC25" w14:textId="77777777" w:rsidR="00E36096" w:rsidRPr="00E36096"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Many consumers shift to cheaper providers → a competitive advantage for Lebara.</w:t>
      </w:r>
    </w:p>
    <w:p w14:paraId="30B9EFF7" w14:textId="6CDAA92D" w:rsidR="00DC0139" w:rsidRDefault="00E36096" w:rsidP="00FF5645">
      <w:pPr>
        <w:numPr>
          <w:ilvl w:val="1"/>
          <w:numId w:val="37"/>
        </w:numPr>
        <w:suppressAutoHyphens/>
        <w:rPr>
          <w:rFonts w:asciiTheme="minorHAnsi" w:hAnsiTheme="minorHAnsi" w:cstheme="minorHAnsi"/>
          <w:color w:val="000000" w:themeColor="text1"/>
        </w:rPr>
      </w:pPr>
      <w:r w:rsidRPr="00E36096">
        <w:rPr>
          <w:rFonts w:asciiTheme="minorHAnsi" w:hAnsiTheme="minorHAnsi" w:cstheme="minorHAnsi"/>
          <w:color w:val="000000" w:themeColor="text1"/>
        </w:rPr>
        <w:t>Risk: narrow profit margins if wholesale costs rise.</w:t>
      </w:r>
    </w:p>
    <w:p w14:paraId="1B6C38BF" w14:textId="77777777" w:rsidR="00DD33E4" w:rsidRDefault="00DD33E4" w:rsidP="00DD33E4">
      <w:pPr>
        <w:suppressAutoHyphens/>
        <w:rPr>
          <w:rFonts w:asciiTheme="minorHAnsi" w:hAnsiTheme="minorHAnsi" w:cstheme="minorHAnsi"/>
          <w:color w:val="000000" w:themeColor="text1"/>
        </w:rPr>
      </w:pPr>
    </w:p>
    <w:p w14:paraId="39F6B44D" w14:textId="2341904D" w:rsidR="00DC0139" w:rsidRDefault="00DD33E4">
      <w:pPr>
        <w:suppressAutoHyphens/>
        <w:rPr>
          <w:rFonts w:asciiTheme="minorHAnsi" w:hAnsiTheme="minorHAnsi" w:cstheme="minorHAnsi"/>
          <w:color w:val="000000" w:themeColor="text1"/>
        </w:rPr>
      </w:pPr>
      <w:r w:rsidRPr="00DD33E4">
        <w:rPr>
          <w:rFonts w:asciiTheme="minorHAnsi" w:hAnsiTheme="minorHAnsi" w:cstheme="minorHAnsi"/>
          <w:b/>
          <w:bCs/>
          <w:color w:val="000000" w:themeColor="text1"/>
        </w:rPr>
        <w:t>Strategic Implications for Lebara</w:t>
      </w:r>
    </w:p>
    <w:p w14:paraId="40E81BB6" w14:textId="0E1216C2" w:rsidR="002E4656" w:rsidRDefault="002E4656">
      <w:pPr>
        <w:suppressAutoHyphens/>
        <w:rPr>
          <w:rFonts w:asciiTheme="minorHAnsi" w:hAnsiTheme="minorHAnsi" w:cstheme="minorHAnsi"/>
          <w:color w:val="000000" w:themeColor="text1"/>
        </w:rPr>
      </w:pPr>
    </w:p>
    <w:p w14:paraId="0D005A09" w14:textId="14032C96"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Strengthen Value Proposition</w:t>
      </w:r>
    </w:p>
    <w:p w14:paraId="618AC45D"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 xml:space="preserve">Position Lebara as the leading </w:t>
      </w:r>
      <w:r w:rsidRPr="00F97A22">
        <w:rPr>
          <w:rFonts w:asciiTheme="minorHAnsi" w:hAnsiTheme="minorHAnsi" w:cstheme="minorHAnsi"/>
          <w:b/>
          <w:bCs/>
          <w:color w:val="000000" w:themeColor="text1"/>
        </w:rPr>
        <w:t>low-cost alternative</w:t>
      </w:r>
      <w:r w:rsidRPr="00F97A22">
        <w:rPr>
          <w:rFonts w:asciiTheme="minorHAnsi" w:hAnsiTheme="minorHAnsi" w:cstheme="minorHAnsi"/>
          <w:color w:val="000000" w:themeColor="text1"/>
        </w:rPr>
        <w:t xml:space="preserve"> for price-sensitive consumers.</w:t>
      </w:r>
    </w:p>
    <w:p w14:paraId="239C0D5C"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Emphasise affordability and essential connectivity, especially for migrant communities and households affected by rising living costs.</w:t>
      </w:r>
    </w:p>
    <w:p w14:paraId="34B959A4" w14:textId="37822B75" w:rsidR="00F97A22" w:rsidRPr="00C43D7D" w:rsidRDefault="00F97A22" w:rsidP="00F97A22">
      <w:pPr>
        <w:pStyle w:val="ListParagraph"/>
        <w:numPr>
          <w:ilvl w:val="0"/>
          <w:numId w:val="30"/>
        </w:numPr>
        <w:suppressAutoHyphens/>
        <w:rPr>
          <w:rFonts w:asciiTheme="minorHAnsi" w:hAnsiTheme="minorHAnsi" w:cstheme="minorHAnsi"/>
          <w:color w:val="000000" w:themeColor="text1"/>
          <w:highlight w:val="yellow"/>
        </w:rPr>
      </w:pPr>
      <w:r w:rsidRPr="00C43D7D">
        <w:rPr>
          <w:rFonts w:asciiTheme="minorHAnsi" w:hAnsiTheme="minorHAnsi" w:cstheme="minorHAnsi"/>
          <w:b/>
          <w:bCs/>
          <w:color w:val="000000" w:themeColor="text1"/>
          <w:highlight w:val="yellow"/>
        </w:rPr>
        <w:t>Pricing Strategy</w:t>
      </w:r>
    </w:p>
    <w:p w14:paraId="45B0AC8A" w14:textId="77777777" w:rsidR="00F97A22" w:rsidRPr="00C43D7D" w:rsidRDefault="00F97A22" w:rsidP="005260AA">
      <w:pPr>
        <w:numPr>
          <w:ilvl w:val="1"/>
          <w:numId w:val="30"/>
        </w:numPr>
        <w:suppressAutoHyphens/>
        <w:rPr>
          <w:rFonts w:asciiTheme="minorHAnsi" w:hAnsiTheme="minorHAnsi" w:cstheme="minorHAnsi"/>
          <w:color w:val="000000" w:themeColor="text1"/>
          <w:highlight w:val="yellow"/>
        </w:rPr>
      </w:pPr>
      <w:r w:rsidRPr="00C43D7D">
        <w:rPr>
          <w:rFonts w:asciiTheme="minorHAnsi" w:hAnsiTheme="minorHAnsi" w:cstheme="minorHAnsi"/>
          <w:color w:val="000000" w:themeColor="text1"/>
          <w:highlight w:val="yellow"/>
        </w:rPr>
        <w:t>Maintain competitive prepaid and SIM-only plans to attract customers downgrading from premium carriers.</w:t>
      </w:r>
    </w:p>
    <w:p w14:paraId="25D7FA4F" w14:textId="77777777" w:rsidR="00F97A22" w:rsidRPr="00C43D7D" w:rsidRDefault="00F97A22" w:rsidP="005260AA">
      <w:pPr>
        <w:numPr>
          <w:ilvl w:val="1"/>
          <w:numId w:val="30"/>
        </w:numPr>
        <w:suppressAutoHyphens/>
        <w:rPr>
          <w:rFonts w:asciiTheme="minorHAnsi" w:hAnsiTheme="minorHAnsi" w:cstheme="minorHAnsi"/>
          <w:color w:val="000000" w:themeColor="text1"/>
          <w:highlight w:val="yellow"/>
        </w:rPr>
      </w:pPr>
      <w:r w:rsidRPr="00C43D7D">
        <w:rPr>
          <w:rFonts w:asciiTheme="minorHAnsi" w:hAnsiTheme="minorHAnsi" w:cstheme="minorHAnsi"/>
          <w:color w:val="000000" w:themeColor="text1"/>
          <w:highlight w:val="yellow"/>
        </w:rPr>
        <w:t>Explore flexible bundles (data + international calls) to maximise customer retention.</w:t>
      </w:r>
    </w:p>
    <w:p w14:paraId="69AA69CF" w14:textId="31740865"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Leverage Host Networks</w:t>
      </w:r>
    </w:p>
    <w:p w14:paraId="49AA247B"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Take advantage of infrastructure expansion by larger carriers without bearing the cost of investment.</w:t>
      </w:r>
    </w:p>
    <w:p w14:paraId="1F466D4F"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lastRenderedPageBreak/>
        <w:t>Negotiate better wholesale agreements to protect margins against inflation and rising operating costs.</w:t>
      </w:r>
    </w:p>
    <w:p w14:paraId="6BDC3561" w14:textId="75E34CD7"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Digital Transformation</w:t>
      </w:r>
    </w:p>
    <w:p w14:paraId="79F8C797"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 xml:space="preserve">Reduce reliance on labour-intensive customer service by enhancing </w:t>
      </w:r>
      <w:r w:rsidRPr="00F97A22">
        <w:rPr>
          <w:rFonts w:asciiTheme="minorHAnsi" w:hAnsiTheme="minorHAnsi" w:cstheme="minorHAnsi"/>
          <w:b/>
          <w:bCs/>
          <w:color w:val="000000" w:themeColor="text1"/>
        </w:rPr>
        <w:t>digital-first platforms</w:t>
      </w:r>
      <w:r w:rsidRPr="00F97A22">
        <w:rPr>
          <w:rFonts w:asciiTheme="minorHAnsi" w:hAnsiTheme="minorHAnsi" w:cstheme="minorHAnsi"/>
          <w:color w:val="000000" w:themeColor="text1"/>
        </w:rPr>
        <w:t xml:space="preserve"> (apps, self-service portals, AI chatbots).</w:t>
      </w:r>
    </w:p>
    <w:p w14:paraId="580DE7B6"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Streamline distribution through online channels to cut retail overheads.</w:t>
      </w:r>
    </w:p>
    <w:p w14:paraId="287F14B3" w14:textId="07AC93C6" w:rsidR="00F97A22" w:rsidRPr="00C43D7D" w:rsidRDefault="00F97A22" w:rsidP="00F97A22">
      <w:pPr>
        <w:pStyle w:val="ListParagraph"/>
        <w:numPr>
          <w:ilvl w:val="0"/>
          <w:numId w:val="30"/>
        </w:numPr>
        <w:suppressAutoHyphens/>
        <w:rPr>
          <w:rFonts w:asciiTheme="minorHAnsi" w:hAnsiTheme="minorHAnsi" w:cstheme="minorHAnsi"/>
          <w:color w:val="000000" w:themeColor="text1"/>
          <w:highlight w:val="yellow"/>
        </w:rPr>
      </w:pPr>
      <w:r w:rsidRPr="00C43D7D">
        <w:rPr>
          <w:rFonts w:asciiTheme="minorHAnsi" w:hAnsiTheme="minorHAnsi" w:cstheme="minorHAnsi"/>
          <w:b/>
          <w:bCs/>
          <w:color w:val="000000" w:themeColor="text1"/>
          <w:highlight w:val="yellow"/>
        </w:rPr>
        <w:t>Customer Engagement and Trust</w:t>
      </w:r>
    </w:p>
    <w:p w14:paraId="2E49D9DD" w14:textId="77777777" w:rsidR="00F97A22" w:rsidRPr="00C43D7D" w:rsidRDefault="00F97A22" w:rsidP="005260AA">
      <w:pPr>
        <w:numPr>
          <w:ilvl w:val="1"/>
          <w:numId w:val="30"/>
        </w:numPr>
        <w:suppressAutoHyphens/>
        <w:rPr>
          <w:rFonts w:asciiTheme="minorHAnsi" w:hAnsiTheme="minorHAnsi" w:cstheme="minorHAnsi"/>
          <w:color w:val="000000" w:themeColor="text1"/>
          <w:highlight w:val="yellow"/>
        </w:rPr>
      </w:pPr>
      <w:r w:rsidRPr="00C43D7D">
        <w:rPr>
          <w:rFonts w:asciiTheme="minorHAnsi" w:hAnsiTheme="minorHAnsi" w:cstheme="minorHAnsi"/>
          <w:color w:val="000000" w:themeColor="text1"/>
          <w:highlight w:val="yellow"/>
        </w:rPr>
        <w:t>Invest in clear communication and reliable support during service interruptions (e.g., extreme weather events or network outages).</w:t>
      </w:r>
    </w:p>
    <w:p w14:paraId="6237CE06" w14:textId="77777777" w:rsidR="00F97A22" w:rsidRPr="00840CBA" w:rsidRDefault="00F97A22" w:rsidP="005260AA">
      <w:pPr>
        <w:numPr>
          <w:ilvl w:val="1"/>
          <w:numId w:val="30"/>
        </w:numPr>
        <w:suppressAutoHyphens/>
        <w:rPr>
          <w:rFonts w:asciiTheme="minorHAnsi" w:hAnsiTheme="minorHAnsi" w:cstheme="minorHAnsi"/>
          <w:color w:val="000000" w:themeColor="text1"/>
          <w:highlight w:val="yellow"/>
        </w:rPr>
      </w:pPr>
      <w:r w:rsidRPr="00840CBA">
        <w:rPr>
          <w:rFonts w:asciiTheme="minorHAnsi" w:hAnsiTheme="minorHAnsi" w:cstheme="minorHAnsi"/>
          <w:color w:val="000000" w:themeColor="text1"/>
          <w:highlight w:val="yellow"/>
        </w:rPr>
        <w:t>Build customer loyalty through transparency, community-targeted marketing, and culturally inclusive services.</w:t>
      </w:r>
    </w:p>
    <w:p w14:paraId="11E794C0" w14:textId="11162DB3" w:rsidR="00F97A22" w:rsidRPr="00F97A22" w:rsidRDefault="00F97A22" w:rsidP="00F97A22">
      <w:pPr>
        <w:pStyle w:val="ListParagraph"/>
        <w:numPr>
          <w:ilvl w:val="0"/>
          <w:numId w:val="30"/>
        </w:numPr>
        <w:suppressAutoHyphens/>
        <w:rPr>
          <w:rFonts w:asciiTheme="minorHAnsi" w:hAnsiTheme="minorHAnsi" w:cstheme="minorHAnsi"/>
          <w:color w:val="000000" w:themeColor="text1"/>
        </w:rPr>
      </w:pPr>
      <w:r w:rsidRPr="00F97A22">
        <w:rPr>
          <w:rFonts w:asciiTheme="minorHAnsi" w:hAnsiTheme="minorHAnsi" w:cstheme="minorHAnsi"/>
          <w:b/>
          <w:bCs/>
          <w:color w:val="000000" w:themeColor="text1"/>
        </w:rPr>
        <w:t>Operational Efficiency</w:t>
      </w:r>
    </w:p>
    <w:p w14:paraId="7C4231AF"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Focus on lean operations to offset higher labour and wholesale costs.</w:t>
      </w:r>
    </w:p>
    <w:p w14:paraId="1278FFA9" w14:textId="77777777" w:rsidR="00F97A22" w:rsidRPr="00F97A22" w:rsidRDefault="00F97A22" w:rsidP="005260AA">
      <w:pPr>
        <w:numPr>
          <w:ilvl w:val="1"/>
          <w:numId w:val="30"/>
        </w:numPr>
        <w:suppressAutoHyphens/>
        <w:rPr>
          <w:rFonts w:asciiTheme="minorHAnsi" w:hAnsiTheme="minorHAnsi" w:cstheme="minorHAnsi"/>
          <w:color w:val="000000" w:themeColor="text1"/>
        </w:rPr>
      </w:pPr>
      <w:r w:rsidRPr="00F97A22">
        <w:rPr>
          <w:rFonts w:asciiTheme="minorHAnsi" w:hAnsiTheme="minorHAnsi" w:cstheme="minorHAnsi"/>
          <w:color w:val="000000" w:themeColor="text1"/>
        </w:rPr>
        <w:t>Outsource non-core services where feasible, while maintaining quality.</w:t>
      </w:r>
    </w:p>
    <w:p w14:paraId="46F4BE40" w14:textId="076F91F5" w:rsidR="00F97A22" w:rsidRPr="00C43D7D" w:rsidRDefault="00F97A22" w:rsidP="00F97A22">
      <w:pPr>
        <w:pStyle w:val="ListParagraph"/>
        <w:numPr>
          <w:ilvl w:val="0"/>
          <w:numId w:val="30"/>
        </w:numPr>
        <w:suppressAutoHyphens/>
        <w:rPr>
          <w:rFonts w:asciiTheme="minorHAnsi" w:hAnsiTheme="minorHAnsi" w:cstheme="minorHAnsi"/>
          <w:color w:val="000000" w:themeColor="text1"/>
          <w:highlight w:val="yellow"/>
        </w:rPr>
      </w:pPr>
      <w:r w:rsidRPr="00C43D7D">
        <w:rPr>
          <w:rFonts w:asciiTheme="minorHAnsi" w:hAnsiTheme="minorHAnsi" w:cstheme="minorHAnsi"/>
          <w:b/>
          <w:bCs/>
          <w:color w:val="000000" w:themeColor="text1"/>
          <w:highlight w:val="yellow"/>
        </w:rPr>
        <w:t>Market Positioning</w:t>
      </w:r>
    </w:p>
    <w:p w14:paraId="36337E82" w14:textId="77777777" w:rsidR="00F97A22" w:rsidRPr="00C43D7D" w:rsidRDefault="00F97A22" w:rsidP="005260AA">
      <w:pPr>
        <w:numPr>
          <w:ilvl w:val="1"/>
          <w:numId w:val="30"/>
        </w:numPr>
        <w:suppressAutoHyphens/>
        <w:rPr>
          <w:rFonts w:asciiTheme="minorHAnsi" w:hAnsiTheme="minorHAnsi" w:cstheme="minorHAnsi"/>
          <w:color w:val="000000" w:themeColor="text1"/>
          <w:highlight w:val="yellow"/>
        </w:rPr>
      </w:pPr>
      <w:r w:rsidRPr="00C43D7D">
        <w:rPr>
          <w:rFonts w:asciiTheme="minorHAnsi" w:hAnsiTheme="minorHAnsi" w:cstheme="minorHAnsi"/>
          <w:color w:val="000000" w:themeColor="text1"/>
          <w:highlight w:val="yellow"/>
        </w:rPr>
        <w:t xml:space="preserve">Differentiate strongly from premium carriers (Telstra, Optus) and other MVNOs by reinforcing its niche: </w:t>
      </w:r>
      <w:r w:rsidRPr="00C43D7D">
        <w:rPr>
          <w:rFonts w:asciiTheme="minorHAnsi" w:hAnsiTheme="minorHAnsi" w:cstheme="minorHAnsi"/>
          <w:b/>
          <w:bCs/>
          <w:color w:val="000000" w:themeColor="text1"/>
          <w:highlight w:val="yellow"/>
        </w:rPr>
        <w:t>affordable international connectivity</w:t>
      </w:r>
      <w:r w:rsidRPr="00C43D7D">
        <w:rPr>
          <w:rFonts w:asciiTheme="minorHAnsi" w:hAnsiTheme="minorHAnsi" w:cstheme="minorHAnsi"/>
          <w:color w:val="000000" w:themeColor="text1"/>
          <w:highlight w:val="yellow"/>
        </w:rPr>
        <w:t>.</w:t>
      </w:r>
    </w:p>
    <w:p w14:paraId="70891239" w14:textId="77777777" w:rsidR="00F97A22" w:rsidRDefault="00F97A22" w:rsidP="005260AA">
      <w:pPr>
        <w:numPr>
          <w:ilvl w:val="1"/>
          <w:numId w:val="30"/>
        </w:numPr>
        <w:suppressAutoHyphens/>
        <w:rPr>
          <w:rFonts w:asciiTheme="minorHAnsi" w:hAnsiTheme="minorHAnsi" w:cstheme="minorHAnsi"/>
          <w:color w:val="000000" w:themeColor="text1"/>
        </w:rPr>
      </w:pPr>
      <w:r w:rsidRPr="00C43D7D">
        <w:rPr>
          <w:rFonts w:asciiTheme="minorHAnsi" w:hAnsiTheme="minorHAnsi" w:cstheme="minorHAnsi"/>
          <w:color w:val="000000" w:themeColor="text1"/>
          <w:highlight w:val="yellow"/>
        </w:rPr>
        <w:t>Target growth in segments most affected by cost-of-living pressures</w:t>
      </w:r>
      <w:r w:rsidRPr="00F97A22">
        <w:rPr>
          <w:rFonts w:asciiTheme="minorHAnsi" w:hAnsiTheme="minorHAnsi" w:cstheme="minorHAnsi"/>
          <w:color w:val="000000" w:themeColor="text1"/>
        </w:rPr>
        <w:t>.</w:t>
      </w:r>
    </w:p>
    <w:p w14:paraId="4DD94734" w14:textId="77777777" w:rsidR="00346084" w:rsidRDefault="00346084" w:rsidP="00346084">
      <w:pPr>
        <w:suppressAutoHyphens/>
        <w:rPr>
          <w:rFonts w:asciiTheme="minorHAnsi" w:hAnsiTheme="minorHAnsi" w:cstheme="minorHAnsi"/>
          <w:color w:val="000000" w:themeColor="text1"/>
        </w:rPr>
      </w:pPr>
    </w:p>
    <w:p w14:paraId="233BC31A" w14:textId="13297C10" w:rsidR="00346084" w:rsidRDefault="00346084" w:rsidP="00346084">
      <w:pPr>
        <w:pStyle w:val="Heading2"/>
      </w:pPr>
      <w:r w:rsidRPr="00CF6B91">
        <w:t xml:space="preserve">A political influence on </w:t>
      </w:r>
      <w:r w:rsidRPr="0020323D">
        <w:t>public</w:t>
      </w:r>
      <w:r w:rsidRPr="00CF6B91">
        <w:t xml:space="preserve"> and commercial network services</w:t>
      </w:r>
      <w:r w:rsidR="00B31AAD">
        <w:t xml:space="preserve"> (project context)</w:t>
      </w:r>
    </w:p>
    <w:p w14:paraId="46B890D1" w14:textId="77777777" w:rsidR="00346084" w:rsidRDefault="00346084" w:rsidP="00346084"/>
    <w:p w14:paraId="319880A3" w14:textId="77777777" w:rsidR="00346084" w:rsidRPr="000D6D75" w:rsidRDefault="00346084" w:rsidP="00B31AAD">
      <w:pPr>
        <w:jc w:val="both"/>
        <w:rPr>
          <w:rFonts w:asciiTheme="minorHAnsi" w:hAnsiTheme="minorHAnsi" w:cstheme="minorHAnsi"/>
          <w:color w:val="000000" w:themeColor="text1"/>
        </w:rPr>
      </w:pPr>
      <w:r w:rsidRPr="000D6D75">
        <w:rPr>
          <w:rFonts w:asciiTheme="minorHAnsi" w:hAnsiTheme="minorHAnsi" w:cstheme="minorHAnsi"/>
          <w:color w:val="000000" w:themeColor="text1"/>
        </w:rPr>
        <w:t>These are some of the most significant policy changes in Australia that impact network companies, divided into three main areas: cybersecurity, consumer protection, and the market competition framework.</w:t>
      </w:r>
    </w:p>
    <w:p w14:paraId="428BB778" w14:textId="77777777" w:rsidR="00346084" w:rsidRPr="000D6D75" w:rsidRDefault="00346084" w:rsidP="00B31AAD">
      <w:pPr>
        <w:jc w:val="both"/>
        <w:rPr>
          <w:rFonts w:asciiTheme="minorHAnsi" w:hAnsiTheme="minorHAnsi" w:cstheme="minorHAnsi"/>
          <w:color w:val="000000" w:themeColor="text1"/>
        </w:rPr>
      </w:pPr>
    </w:p>
    <w:p w14:paraId="050A50A9" w14:textId="77777777" w:rsidR="00346084" w:rsidRPr="000D6D75" w:rsidRDefault="00346084" w:rsidP="00B31AAD">
      <w:pPr>
        <w:jc w:val="both"/>
        <w:rPr>
          <w:rFonts w:asciiTheme="minorHAnsi" w:hAnsiTheme="minorHAnsi" w:cstheme="minorHAnsi"/>
          <w:color w:val="000000" w:themeColor="text1"/>
        </w:rPr>
      </w:pPr>
      <w:r w:rsidRPr="000D6D75">
        <w:rPr>
          <w:rFonts w:asciiTheme="minorHAnsi" w:hAnsiTheme="minorHAnsi" w:cstheme="minorHAnsi"/>
          <w:color w:val="000000" w:themeColor="text1"/>
        </w:rPr>
        <w:t xml:space="preserve">First, </w:t>
      </w:r>
      <w:r w:rsidRPr="00741A36">
        <w:rPr>
          <w:rFonts w:asciiTheme="minorHAnsi" w:hAnsiTheme="minorHAnsi" w:cstheme="minorHAnsi"/>
          <w:b/>
          <w:bCs/>
          <w:color w:val="000000" w:themeColor="text1"/>
        </w:rPr>
        <w:t>cybersecurity</w:t>
      </w:r>
      <w:r w:rsidRPr="000D6D75">
        <w:rPr>
          <w:rFonts w:asciiTheme="minorHAnsi" w:hAnsiTheme="minorHAnsi" w:cstheme="minorHAnsi"/>
          <w:color w:val="000000" w:themeColor="text1"/>
        </w:rPr>
        <w:t xml:space="preserve"> has become a political priority. Following a series of large-scale data breaches at companies such as Optus and Medibank between 2022 and 2023, the Australian government responded with the Cybersecurity Act of 2024. This legislation has directly impacted companies by requiring them to report serious incidents and ransom demands, increasing their liability. Furthermore, it has dramatically increased fines for security breaches, creating a strong incentive for companies to invest in stronger protection of their customers' data.</w:t>
      </w:r>
    </w:p>
    <w:p w14:paraId="77C5239B" w14:textId="77777777" w:rsidR="00346084" w:rsidRPr="000D6D75" w:rsidRDefault="00346084" w:rsidP="00B31AAD">
      <w:pPr>
        <w:jc w:val="both"/>
        <w:rPr>
          <w:rFonts w:asciiTheme="minorHAnsi" w:hAnsiTheme="minorHAnsi" w:cstheme="minorHAnsi"/>
          <w:color w:val="000000" w:themeColor="text1"/>
        </w:rPr>
      </w:pPr>
    </w:p>
    <w:p w14:paraId="60F3E4B2" w14:textId="77777777" w:rsidR="00346084" w:rsidRPr="000D6D75" w:rsidRDefault="00346084" w:rsidP="00B31AAD">
      <w:pPr>
        <w:jc w:val="both"/>
        <w:rPr>
          <w:rFonts w:asciiTheme="minorHAnsi" w:hAnsiTheme="minorHAnsi" w:cstheme="minorHAnsi"/>
          <w:color w:val="000000" w:themeColor="text1"/>
        </w:rPr>
      </w:pPr>
      <w:r w:rsidRPr="000D6D75">
        <w:rPr>
          <w:rFonts w:asciiTheme="minorHAnsi" w:hAnsiTheme="minorHAnsi" w:cstheme="minorHAnsi"/>
          <w:color w:val="000000" w:themeColor="text1"/>
        </w:rPr>
        <w:t xml:space="preserve">Second, </w:t>
      </w:r>
      <w:r w:rsidRPr="00741A36">
        <w:rPr>
          <w:rFonts w:asciiTheme="minorHAnsi" w:hAnsiTheme="minorHAnsi" w:cstheme="minorHAnsi"/>
          <w:b/>
          <w:bCs/>
          <w:color w:val="000000" w:themeColor="text1"/>
        </w:rPr>
        <w:t>consumer protection</w:t>
      </w:r>
      <w:r w:rsidRPr="000D6D75">
        <w:rPr>
          <w:rFonts w:asciiTheme="minorHAnsi" w:hAnsiTheme="minorHAnsi" w:cstheme="minorHAnsi"/>
          <w:color w:val="000000" w:themeColor="text1"/>
        </w:rPr>
        <w:t xml:space="preserve"> is another important driver. Regulatory bodies such as the ACCC (Australian Competition and Consumer Commission) and the ACMA (Australian Communications and Media Authority) operate with a political mandate to protect citizens from practices such as scams, misleading advertising, and unfair selling. These bodies have the authority to impose significant financial penalties, such as the $100 million fine Optus was forced to pay for misconduct, demonstrating the government's seriousness in this area.</w:t>
      </w:r>
    </w:p>
    <w:p w14:paraId="07997661" w14:textId="77777777" w:rsidR="00346084" w:rsidRPr="000D6D75" w:rsidRDefault="00346084" w:rsidP="00B31AAD">
      <w:pPr>
        <w:jc w:val="both"/>
        <w:rPr>
          <w:rFonts w:asciiTheme="minorHAnsi" w:hAnsiTheme="minorHAnsi" w:cstheme="minorHAnsi"/>
          <w:color w:val="000000" w:themeColor="text1"/>
        </w:rPr>
      </w:pPr>
    </w:p>
    <w:p w14:paraId="255F286E" w14:textId="77777777" w:rsidR="00346084" w:rsidRDefault="00346084" w:rsidP="00B31AAD">
      <w:pPr>
        <w:jc w:val="both"/>
        <w:rPr>
          <w:rFonts w:asciiTheme="minorHAnsi" w:hAnsiTheme="minorHAnsi" w:cstheme="minorHAnsi"/>
          <w:color w:val="000000" w:themeColor="text1"/>
        </w:rPr>
      </w:pPr>
      <w:r w:rsidRPr="000D6D75">
        <w:rPr>
          <w:rFonts w:asciiTheme="minorHAnsi" w:hAnsiTheme="minorHAnsi" w:cstheme="minorHAnsi"/>
          <w:color w:val="000000" w:themeColor="text1"/>
        </w:rPr>
        <w:t xml:space="preserve">Finally, the </w:t>
      </w:r>
      <w:r w:rsidRPr="00741A36">
        <w:rPr>
          <w:rFonts w:asciiTheme="minorHAnsi" w:hAnsiTheme="minorHAnsi" w:cstheme="minorHAnsi"/>
          <w:b/>
          <w:bCs/>
          <w:color w:val="000000" w:themeColor="text1"/>
        </w:rPr>
        <w:t>universal access and competition policy</w:t>
      </w:r>
      <w:r w:rsidRPr="000D6D75">
        <w:rPr>
          <w:rFonts w:asciiTheme="minorHAnsi" w:hAnsiTheme="minorHAnsi" w:cstheme="minorHAnsi"/>
          <w:color w:val="000000" w:themeColor="text1"/>
        </w:rPr>
        <w:t xml:space="preserve"> has transformed the market. Driven by the principle that essential services should be accessible to all, the government created the National Broadband Network (NBN), a public company. The NBN operates as a wholesale provider, requiring retail companies to use its infrastructure, which has restructured the market and fostered competition at the service level. The ACCC complements this policy by regulating access to other operators' networks to prevent monopolies and ensure prices remain competitive for consumers.</w:t>
      </w:r>
    </w:p>
    <w:p w14:paraId="16B1BF31" w14:textId="77777777" w:rsidR="00F96473" w:rsidRDefault="00F96473" w:rsidP="00346084">
      <w:pPr>
        <w:rPr>
          <w:rFonts w:asciiTheme="minorHAnsi" w:hAnsiTheme="minorHAnsi" w:cstheme="minorHAnsi"/>
          <w:color w:val="000000" w:themeColor="text1"/>
        </w:rPr>
      </w:pPr>
    </w:p>
    <w:p w14:paraId="78654205" w14:textId="77777777" w:rsidR="00F96473" w:rsidRDefault="00F96473" w:rsidP="00346084">
      <w:pPr>
        <w:rPr>
          <w:rFonts w:asciiTheme="minorHAnsi" w:hAnsiTheme="minorHAnsi" w:cstheme="minorHAnsi"/>
          <w:color w:val="000000" w:themeColor="text1"/>
        </w:rPr>
      </w:pPr>
    </w:p>
    <w:p w14:paraId="019EB9F1" w14:textId="4E8E3C8D" w:rsidR="00F96473" w:rsidRDefault="00F96473" w:rsidP="002926A2">
      <w:pPr>
        <w:pStyle w:val="Heading2"/>
      </w:pPr>
      <w:r>
        <w:t>H</w:t>
      </w:r>
      <w:r w:rsidRPr="00F96473">
        <w:t xml:space="preserve">ow the political influences impact </w:t>
      </w:r>
      <w:r>
        <w:t>Optus</w:t>
      </w:r>
    </w:p>
    <w:p w14:paraId="39663C6A" w14:textId="77777777" w:rsidR="00F96473" w:rsidRDefault="00F96473" w:rsidP="00346084">
      <w:pPr>
        <w:rPr>
          <w:rFonts w:asciiTheme="minorHAnsi" w:hAnsiTheme="minorHAnsi" w:cstheme="minorHAnsi"/>
          <w:b/>
          <w:bCs/>
          <w:color w:val="000000" w:themeColor="text1"/>
        </w:rPr>
      </w:pPr>
    </w:p>
    <w:p w14:paraId="20E9D794" w14:textId="79B29EA9" w:rsidR="005F4901" w:rsidRPr="005F4901" w:rsidRDefault="005F4901" w:rsidP="00B31AAD">
      <w:pPr>
        <w:spacing w:before="100" w:beforeAutospacing="1" w:after="100" w:afterAutospacing="1"/>
        <w:jc w:val="both"/>
        <w:rPr>
          <w:rFonts w:ascii="Arial" w:eastAsia="Times New Roman" w:hAnsi="Arial" w:cs="Arial"/>
          <w:noProof w:val="0"/>
          <w:color w:val="000000" w:themeColor="text1"/>
          <w:lang w:eastAsia="en-AU" w:bidi="ar-SA"/>
        </w:rPr>
      </w:pPr>
      <w:r w:rsidRPr="005F4901">
        <w:rPr>
          <w:rFonts w:ascii="Arial" w:eastAsia="Times New Roman" w:hAnsi="Arial" w:cs="Arial"/>
          <w:noProof w:val="0"/>
          <w:color w:val="000000" w:themeColor="text1"/>
          <w:lang w:eastAsia="en-AU" w:bidi="ar-SA"/>
        </w:rPr>
        <w:t>The telecommunications industry in Australia is tightly regulated, and recent policy changes in areas such as cybersecurity, consumer protection, and competition policy have created both challenges and opportunities for Optus.</w:t>
      </w:r>
    </w:p>
    <w:p w14:paraId="46001F4F" w14:textId="77777777" w:rsidR="005F4901" w:rsidRPr="005F4901" w:rsidRDefault="005F4901" w:rsidP="00B31AAD">
      <w:pPr>
        <w:spacing w:before="100" w:beforeAutospacing="1" w:after="100" w:afterAutospacing="1"/>
        <w:jc w:val="both"/>
        <w:rPr>
          <w:rFonts w:ascii="Arial" w:eastAsia="Times New Roman" w:hAnsi="Arial" w:cs="Arial"/>
          <w:noProof w:val="0"/>
          <w:color w:val="000000" w:themeColor="text1"/>
          <w:lang w:eastAsia="en-AU" w:bidi="ar-SA"/>
        </w:rPr>
      </w:pPr>
      <w:r w:rsidRPr="005F4901">
        <w:rPr>
          <w:rFonts w:ascii="Arial" w:eastAsia="Times New Roman" w:hAnsi="Arial" w:cs="Arial"/>
          <w:noProof w:val="0"/>
          <w:color w:val="000000" w:themeColor="text1"/>
          <w:lang w:eastAsia="en-AU" w:bidi="ar-SA"/>
        </w:rPr>
        <w:t xml:space="preserve">One of the most profound political influences in recent years has been the heightened focus on cybersecurity. Following a series of high-profile data breaches, including the 2022 Optus incident that exposed the personal data of millions of customers, the Australian government introduced the </w:t>
      </w:r>
      <w:r w:rsidRPr="005F4901">
        <w:rPr>
          <w:rFonts w:ascii="Arial" w:eastAsia="Times New Roman" w:hAnsi="Arial" w:cs="Arial"/>
          <w:b/>
          <w:bCs/>
          <w:noProof w:val="0"/>
          <w:color w:val="000000" w:themeColor="text1"/>
          <w:lang w:eastAsia="en-AU" w:bidi="ar-SA"/>
        </w:rPr>
        <w:t>Cybersecurity Act 2024</w:t>
      </w:r>
      <w:r w:rsidRPr="005F4901">
        <w:rPr>
          <w:rFonts w:ascii="Arial" w:eastAsia="Times New Roman" w:hAnsi="Arial" w:cs="Arial"/>
          <w:noProof w:val="0"/>
          <w:color w:val="000000" w:themeColor="text1"/>
          <w:lang w:eastAsia="en-AU" w:bidi="ar-SA"/>
        </w:rPr>
        <w:t>. This legislation requires companies to report serious cyber incidents and any ransom demands, while also increasing corporate liability for breaches. The Act has significantly raised financial penalties for failing to adequately protect customer data, compelling Optus to make substantial investments in security systems, staff training, and compliance measures. While these investments increase operating costs, they also create a strategic necessity: without strong cybersecurity, Optus risks both regulatory sanctions and long-term reputational damage.</w:t>
      </w:r>
    </w:p>
    <w:p w14:paraId="0DBDEBAD" w14:textId="77777777" w:rsidR="005F4901" w:rsidRPr="005F4901" w:rsidRDefault="005F4901" w:rsidP="00B31AAD">
      <w:pPr>
        <w:spacing w:before="100" w:beforeAutospacing="1" w:after="100" w:afterAutospacing="1"/>
        <w:jc w:val="both"/>
        <w:rPr>
          <w:rFonts w:ascii="Arial" w:eastAsia="Times New Roman" w:hAnsi="Arial" w:cs="Arial"/>
          <w:noProof w:val="0"/>
          <w:color w:val="000000" w:themeColor="text1"/>
          <w:lang w:eastAsia="en-AU" w:bidi="ar-SA"/>
        </w:rPr>
      </w:pPr>
      <w:r w:rsidRPr="005F4901">
        <w:rPr>
          <w:rFonts w:ascii="Arial" w:eastAsia="Times New Roman" w:hAnsi="Arial" w:cs="Arial"/>
          <w:noProof w:val="0"/>
          <w:color w:val="000000" w:themeColor="text1"/>
          <w:lang w:eastAsia="en-AU" w:bidi="ar-SA"/>
        </w:rPr>
        <w:t xml:space="preserve">Consumer protection is another key area where political influence is evident. The </w:t>
      </w:r>
      <w:r w:rsidRPr="005F4901">
        <w:rPr>
          <w:rFonts w:ascii="Arial" w:eastAsia="Times New Roman" w:hAnsi="Arial" w:cs="Arial"/>
          <w:b/>
          <w:bCs/>
          <w:noProof w:val="0"/>
          <w:color w:val="000000" w:themeColor="text1"/>
          <w:lang w:eastAsia="en-AU" w:bidi="ar-SA"/>
        </w:rPr>
        <w:t>Australian Competition and Consumer Commission (ACCC)</w:t>
      </w:r>
      <w:r w:rsidRPr="005F4901">
        <w:rPr>
          <w:rFonts w:ascii="Arial" w:eastAsia="Times New Roman" w:hAnsi="Arial" w:cs="Arial"/>
          <w:noProof w:val="0"/>
          <w:color w:val="000000" w:themeColor="text1"/>
          <w:lang w:eastAsia="en-AU" w:bidi="ar-SA"/>
        </w:rPr>
        <w:t xml:space="preserve"> and the </w:t>
      </w:r>
      <w:r w:rsidRPr="005F4901">
        <w:rPr>
          <w:rFonts w:ascii="Arial" w:eastAsia="Times New Roman" w:hAnsi="Arial" w:cs="Arial"/>
          <w:b/>
          <w:bCs/>
          <w:noProof w:val="0"/>
          <w:color w:val="000000" w:themeColor="text1"/>
          <w:lang w:eastAsia="en-AU" w:bidi="ar-SA"/>
        </w:rPr>
        <w:t>Australian Communications and Media Authority (ACMA)</w:t>
      </w:r>
      <w:r w:rsidRPr="005F4901">
        <w:rPr>
          <w:rFonts w:ascii="Arial" w:eastAsia="Times New Roman" w:hAnsi="Arial" w:cs="Arial"/>
          <w:noProof w:val="0"/>
          <w:color w:val="000000" w:themeColor="text1"/>
          <w:lang w:eastAsia="en-AU" w:bidi="ar-SA"/>
        </w:rPr>
        <w:t xml:space="preserve"> operate with strong political backing to enforce consumer rights. Their powers include regulating advertising practices, monitoring pricing behaviour, and penalising misconduct. Optus has already faced the consequences of this oversight, with the company being fined $100 million for misleading conduct, a penalty that underscores the seriousness of consumer protection enforcement. This political environment requires Optus to maintain strict compliance frameworks, improve transparency in its dealings with customers, and actively address issues such as scam prevention and fair service delivery. Failure to do so risks not only financial penalties but also further erosion of public trust.</w:t>
      </w:r>
    </w:p>
    <w:p w14:paraId="4A06F462" w14:textId="77777777" w:rsidR="005F4901" w:rsidRPr="005F4901" w:rsidRDefault="005F4901" w:rsidP="00B31AAD">
      <w:pPr>
        <w:spacing w:before="100" w:beforeAutospacing="1" w:after="100" w:afterAutospacing="1"/>
        <w:jc w:val="both"/>
        <w:rPr>
          <w:rFonts w:ascii="Arial" w:eastAsia="Times New Roman" w:hAnsi="Arial" w:cs="Arial"/>
          <w:noProof w:val="0"/>
          <w:color w:val="000000" w:themeColor="text1"/>
          <w:lang w:eastAsia="en-AU" w:bidi="ar-SA"/>
        </w:rPr>
      </w:pPr>
      <w:r w:rsidRPr="005F4901">
        <w:rPr>
          <w:rFonts w:ascii="Arial" w:eastAsia="Times New Roman" w:hAnsi="Arial" w:cs="Arial"/>
          <w:noProof w:val="0"/>
          <w:color w:val="000000" w:themeColor="text1"/>
          <w:lang w:eastAsia="en-AU" w:bidi="ar-SA"/>
        </w:rPr>
        <w:t xml:space="preserve">A third major political influence arises from universal access and market competition policy. The government’s creation of the </w:t>
      </w:r>
      <w:r w:rsidRPr="005F4901">
        <w:rPr>
          <w:rFonts w:ascii="Arial" w:eastAsia="Times New Roman" w:hAnsi="Arial" w:cs="Arial"/>
          <w:b/>
          <w:bCs/>
          <w:noProof w:val="0"/>
          <w:color w:val="000000" w:themeColor="text1"/>
          <w:lang w:eastAsia="en-AU" w:bidi="ar-SA"/>
        </w:rPr>
        <w:t>National Broadband Network (NBN)</w:t>
      </w:r>
      <w:r w:rsidRPr="005F4901">
        <w:rPr>
          <w:rFonts w:ascii="Arial" w:eastAsia="Times New Roman" w:hAnsi="Arial" w:cs="Arial"/>
          <w:noProof w:val="0"/>
          <w:color w:val="000000" w:themeColor="text1"/>
          <w:lang w:eastAsia="en-AU" w:bidi="ar-SA"/>
        </w:rPr>
        <w:t xml:space="preserve"> reflects the principle that internet services are essential and should be accessible to all Australians, regardless of location. The NBN operates as a wholesale provider, obliging Optus and other carriers to purchase access and then compete at the retail level. This has fundamentally changed the competitive landscape, as Optus can no longer rely on exclusive control of infrastructure to dominate market segments. Instead, it must differentiate through pricing, customer service, and innovation. At the same time, the ACCC regulates access to other networks to prevent monopolistic behaviour, further reinforcing the need for Optus to operate within a highly competitive and politically influenced market structure.</w:t>
      </w:r>
    </w:p>
    <w:p w14:paraId="36D0937B" w14:textId="77777777" w:rsidR="005F4901" w:rsidRDefault="005F4901" w:rsidP="00346084">
      <w:pPr>
        <w:rPr>
          <w:rFonts w:asciiTheme="minorHAnsi" w:hAnsiTheme="minorHAnsi" w:cstheme="minorHAnsi"/>
          <w:b/>
          <w:bCs/>
          <w:color w:val="000000" w:themeColor="text1"/>
        </w:rPr>
      </w:pPr>
    </w:p>
    <w:p w14:paraId="755E6AF5" w14:textId="77777777" w:rsidR="00F96473" w:rsidRDefault="00F96473" w:rsidP="00346084">
      <w:pPr>
        <w:rPr>
          <w:rFonts w:asciiTheme="minorHAnsi" w:hAnsiTheme="minorHAnsi" w:cstheme="minorHAnsi"/>
          <w:b/>
          <w:bCs/>
          <w:color w:val="000000" w:themeColor="text1"/>
        </w:rPr>
      </w:pPr>
    </w:p>
    <w:p w14:paraId="2D06DECB" w14:textId="4D24ECB1" w:rsidR="00F96473" w:rsidRPr="000D6D75" w:rsidRDefault="00F96473" w:rsidP="002926A2">
      <w:pPr>
        <w:pStyle w:val="Heading2"/>
      </w:pPr>
      <w:r>
        <w:t>H</w:t>
      </w:r>
      <w:r w:rsidRPr="00F96473">
        <w:t xml:space="preserve">ow the political influences impact </w:t>
      </w:r>
      <w:r>
        <w:t>Lebara</w:t>
      </w:r>
    </w:p>
    <w:p w14:paraId="4D360912" w14:textId="77777777" w:rsidR="00F96473" w:rsidRPr="000D6D75" w:rsidRDefault="00F96473" w:rsidP="00346084">
      <w:pPr>
        <w:rPr>
          <w:rFonts w:asciiTheme="minorHAnsi" w:hAnsiTheme="minorHAnsi" w:cstheme="minorHAnsi"/>
          <w:color w:val="000000" w:themeColor="text1"/>
        </w:rPr>
      </w:pPr>
    </w:p>
    <w:p w14:paraId="0EFAF951" w14:textId="6326FF44" w:rsidR="00B31AAD" w:rsidRDefault="00B31AAD" w:rsidP="00B31AAD">
      <w:pPr>
        <w:suppressAutoHyphens/>
        <w:jc w:val="both"/>
        <w:rPr>
          <w:rFonts w:asciiTheme="minorHAnsi" w:hAnsiTheme="minorHAnsi" w:cstheme="minorHAnsi"/>
          <w:color w:val="000000" w:themeColor="text1"/>
        </w:rPr>
      </w:pPr>
      <w:r>
        <w:rPr>
          <w:rFonts w:asciiTheme="minorHAnsi" w:hAnsiTheme="minorHAnsi" w:cstheme="minorHAnsi"/>
          <w:color w:val="000000" w:themeColor="text1"/>
        </w:rPr>
        <w:t>Lebara a</w:t>
      </w:r>
      <w:r w:rsidRPr="00B31AAD">
        <w:rPr>
          <w:rFonts w:asciiTheme="minorHAnsi" w:hAnsiTheme="minorHAnsi" w:cstheme="minorHAnsi"/>
          <w:color w:val="000000" w:themeColor="text1"/>
        </w:rPr>
        <w:t>s a mobile virtual network operator (MVNO), Lebara does not own its own infrastructure but leases access from larger carriers such as Vodafone. This makes the company particularly sensitive to regulatory changes and government policies in areas such as cybersecurity, consumer protection, and competition.</w:t>
      </w:r>
    </w:p>
    <w:p w14:paraId="0114A6F9" w14:textId="77777777" w:rsidR="00B31AAD" w:rsidRPr="00B31AAD" w:rsidRDefault="00B31AAD" w:rsidP="00B31AAD">
      <w:pPr>
        <w:suppressAutoHyphens/>
        <w:jc w:val="both"/>
        <w:rPr>
          <w:rFonts w:asciiTheme="minorHAnsi" w:hAnsiTheme="minorHAnsi" w:cstheme="minorHAnsi"/>
          <w:color w:val="000000" w:themeColor="text1"/>
        </w:rPr>
      </w:pPr>
    </w:p>
    <w:p w14:paraId="4D3B5C03" w14:textId="77777777" w:rsidR="00B31AAD" w:rsidRDefault="00B31AAD" w:rsidP="00B31AAD">
      <w:pPr>
        <w:suppressAutoHyphens/>
        <w:jc w:val="both"/>
        <w:rPr>
          <w:rFonts w:asciiTheme="minorHAnsi" w:hAnsiTheme="minorHAnsi" w:cstheme="minorHAnsi"/>
          <w:color w:val="000000" w:themeColor="text1"/>
        </w:rPr>
      </w:pPr>
      <w:r w:rsidRPr="00B31AAD">
        <w:rPr>
          <w:rFonts w:asciiTheme="minorHAnsi" w:hAnsiTheme="minorHAnsi" w:cstheme="minorHAnsi"/>
          <w:color w:val="000000" w:themeColor="text1"/>
        </w:rPr>
        <w:t xml:space="preserve">Cybersecurity has become a political priority in Australia, particularly following the large-scale breaches at Optus and Medibank in 2022 and 2023. In response, the government introduced the </w:t>
      </w:r>
      <w:r w:rsidRPr="00B31AAD">
        <w:rPr>
          <w:rFonts w:asciiTheme="minorHAnsi" w:hAnsiTheme="minorHAnsi" w:cstheme="minorHAnsi"/>
          <w:b/>
          <w:bCs/>
          <w:color w:val="000000" w:themeColor="text1"/>
        </w:rPr>
        <w:t>Cybersecurity Act 2024</w:t>
      </w:r>
      <w:r w:rsidRPr="00B31AAD">
        <w:rPr>
          <w:rFonts w:asciiTheme="minorHAnsi" w:hAnsiTheme="minorHAnsi" w:cstheme="minorHAnsi"/>
          <w:color w:val="000000" w:themeColor="text1"/>
        </w:rPr>
        <w:t>, which places significant obligations on all telecommunications providers, including MVNOs such as Lebara. Although Lebara is smaller than the major carriers, it still collects and stores sensitive customer data, particularly for its migrant-heavy customer base that often relies on international calling services. The new law requires Lebara to report serious incidents, strengthen its data protection practices, and accept greater liability in the event of breaches. While this increases compliance costs, it also offers an opportunity for Lebara to build trust and differentiate itself by promoting strong security standards as part of its customer value proposition.</w:t>
      </w:r>
    </w:p>
    <w:p w14:paraId="3A82E616" w14:textId="77777777" w:rsidR="00B31AAD" w:rsidRPr="00B31AAD" w:rsidRDefault="00B31AAD" w:rsidP="00B31AAD">
      <w:pPr>
        <w:suppressAutoHyphens/>
        <w:jc w:val="both"/>
        <w:rPr>
          <w:rFonts w:asciiTheme="minorHAnsi" w:hAnsiTheme="minorHAnsi" w:cstheme="minorHAnsi"/>
          <w:color w:val="000000" w:themeColor="text1"/>
        </w:rPr>
      </w:pPr>
    </w:p>
    <w:p w14:paraId="7945B2C8" w14:textId="77777777" w:rsidR="00B31AAD" w:rsidRDefault="00B31AAD" w:rsidP="00B31AAD">
      <w:pPr>
        <w:suppressAutoHyphens/>
        <w:jc w:val="both"/>
        <w:rPr>
          <w:rFonts w:asciiTheme="minorHAnsi" w:hAnsiTheme="minorHAnsi" w:cstheme="minorHAnsi"/>
          <w:color w:val="000000" w:themeColor="text1"/>
        </w:rPr>
      </w:pPr>
      <w:r w:rsidRPr="00B31AAD">
        <w:rPr>
          <w:rFonts w:asciiTheme="minorHAnsi" w:hAnsiTheme="minorHAnsi" w:cstheme="minorHAnsi"/>
          <w:color w:val="000000" w:themeColor="text1"/>
        </w:rPr>
        <w:t xml:space="preserve">Consumer protection is another critical political influence. Regulatory bodies such as the </w:t>
      </w:r>
      <w:r w:rsidRPr="00B31AAD">
        <w:rPr>
          <w:rFonts w:asciiTheme="minorHAnsi" w:hAnsiTheme="minorHAnsi" w:cstheme="minorHAnsi"/>
          <w:b/>
          <w:bCs/>
          <w:color w:val="000000" w:themeColor="text1"/>
        </w:rPr>
        <w:t>Australian Competition and Consumer Commission (ACCC)</w:t>
      </w:r>
      <w:r w:rsidRPr="00B31AAD">
        <w:rPr>
          <w:rFonts w:asciiTheme="minorHAnsi" w:hAnsiTheme="minorHAnsi" w:cstheme="minorHAnsi"/>
          <w:color w:val="000000" w:themeColor="text1"/>
        </w:rPr>
        <w:t xml:space="preserve"> and the </w:t>
      </w:r>
      <w:r w:rsidRPr="00B31AAD">
        <w:rPr>
          <w:rFonts w:asciiTheme="minorHAnsi" w:hAnsiTheme="minorHAnsi" w:cstheme="minorHAnsi"/>
          <w:b/>
          <w:bCs/>
          <w:color w:val="000000" w:themeColor="text1"/>
        </w:rPr>
        <w:t>Australian Communications and Media Authority (ACMA)</w:t>
      </w:r>
      <w:r w:rsidRPr="00B31AAD">
        <w:rPr>
          <w:rFonts w:asciiTheme="minorHAnsi" w:hAnsiTheme="minorHAnsi" w:cstheme="minorHAnsi"/>
          <w:color w:val="000000" w:themeColor="text1"/>
        </w:rPr>
        <w:t xml:space="preserve"> have a mandate to safeguard consumers from unfair practices, misleading advertising, and scams. For a budget-focused provider like Lebara, this oversight is especially relevant. Low-cost operators often compete aggressively on price and promotions, which can sometimes lead to consumer complaints about transparency or service conditions. Strong enforcement by the ACCC and ACMA means that Lebara must ensure that its advertising is accurate, its contracts are clear, and its billing practices are fair. While this adds regulatory pressure, it also helps level the playing field by holding all competitors to the same standard, which benefits providers that operate responsibly.</w:t>
      </w:r>
    </w:p>
    <w:p w14:paraId="65696668" w14:textId="77777777" w:rsidR="00B31AAD" w:rsidRPr="00B31AAD" w:rsidRDefault="00B31AAD" w:rsidP="00B31AAD">
      <w:pPr>
        <w:suppressAutoHyphens/>
        <w:jc w:val="both"/>
        <w:rPr>
          <w:rFonts w:asciiTheme="minorHAnsi" w:hAnsiTheme="minorHAnsi" w:cstheme="minorHAnsi"/>
          <w:color w:val="000000" w:themeColor="text1"/>
        </w:rPr>
      </w:pPr>
    </w:p>
    <w:p w14:paraId="01E89EBE" w14:textId="77777777" w:rsidR="00B31AAD" w:rsidRDefault="00B31AAD" w:rsidP="00B31AAD">
      <w:pPr>
        <w:suppressAutoHyphens/>
        <w:jc w:val="both"/>
        <w:rPr>
          <w:rFonts w:asciiTheme="minorHAnsi" w:hAnsiTheme="minorHAnsi" w:cstheme="minorHAnsi"/>
          <w:color w:val="000000" w:themeColor="text1"/>
        </w:rPr>
      </w:pPr>
      <w:r w:rsidRPr="00B31AAD">
        <w:rPr>
          <w:rFonts w:asciiTheme="minorHAnsi" w:hAnsiTheme="minorHAnsi" w:cstheme="minorHAnsi"/>
          <w:color w:val="000000" w:themeColor="text1"/>
        </w:rPr>
        <w:t xml:space="preserve">Finally, the government’s universal access and competition framework has reshaped the telecommunications market. The creation of the </w:t>
      </w:r>
      <w:r w:rsidRPr="00B31AAD">
        <w:rPr>
          <w:rFonts w:asciiTheme="minorHAnsi" w:hAnsiTheme="minorHAnsi" w:cstheme="minorHAnsi"/>
          <w:b/>
          <w:bCs/>
          <w:color w:val="000000" w:themeColor="text1"/>
        </w:rPr>
        <w:t>National Broadband Network (NBN)</w:t>
      </w:r>
      <w:r w:rsidRPr="00B31AAD">
        <w:rPr>
          <w:rFonts w:asciiTheme="minorHAnsi" w:hAnsiTheme="minorHAnsi" w:cstheme="minorHAnsi"/>
          <w:color w:val="000000" w:themeColor="text1"/>
        </w:rPr>
        <w:t xml:space="preserve"> and wholesale regulation overseen by the ACCC have promoted competition by forcing larger carriers to share infrastructure. For Lebara, this political influence is largely positive. By relying on regulated wholesale agreements, Lebara gains access to nationwide network coverage without the enormous capital costs of building its own infrastructure. This allows the company to focus its resources on pricing strategies, customer service, and targeting niche markets such as migrant communities. However, because Lebara depends on wholesale access, its costs and competitiveness are directly affected by regulatory decisions on wholesale pricing and access conditions.</w:t>
      </w:r>
    </w:p>
    <w:p w14:paraId="48EF04AD" w14:textId="77777777" w:rsidR="002926A2" w:rsidRDefault="002926A2" w:rsidP="00B31AAD">
      <w:pPr>
        <w:suppressAutoHyphens/>
        <w:jc w:val="both"/>
        <w:rPr>
          <w:rFonts w:asciiTheme="minorHAnsi" w:hAnsiTheme="minorHAnsi" w:cstheme="minorHAnsi"/>
          <w:color w:val="000000" w:themeColor="text1"/>
        </w:rPr>
      </w:pPr>
    </w:p>
    <w:p w14:paraId="6E732CCA" w14:textId="77777777" w:rsidR="002926A2" w:rsidRPr="00B31AAD" w:rsidRDefault="002926A2" w:rsidP="00B31AAD">
      <w:pPr>
        <w:suppressAutoHyphens/>
        <w:jc w:val="both"/>
        <w:rPr>
          <w:rFonts w:asciiTheme="minorHAnsi" w:hAnsiTheme="minorHAnsi" w:cstheme="minorHAnsi"/>
          <w:color w:val="000000" w:themeColor="text1"/>
        </w:rPr>
      </w:pPr>
    </w:p>
    <w:p w14:paraId="030CF5BB" w14:textId="35953044" w:rsidR="00346084" w:rsidRDefault="006A7FD8" w:rsidP="006A7FD8">
      <w:pPr>
        <w:pStyle w:val="Heading2"/>
      </w:pPr>
      <w:r>
        <w:t>A</w:t>
      </w:r>
      <w:r w:rsidRPr="006A7FD8">
        <w:t xml:space="preserve">ccessibility of networking services of </w:t>
      </w:r>
      <w:r>
        <w:t>Optus</w:t>
      </w:r>
      <w:r w:rsidRPr="006A7FD8">
        <w:t xml:space="preserve"> to individuals and organisations across Australia</w:t>
      </w:r>
    </w:p>
    <w:p w14:paraId="02D35325" w14:textId="77777777" w:rsidR="006A7FD8" w:rsidRDefault="006A7FD8" w:rsidP="00346084">
      <w:pPr>
        <w:suppressAutoHyphens/>
        <w:rPr>
          <w:rFonts w:asciiTheme="minorHAnsi" w:hAnsiTheme="minorHAnsi" w:cstheme="minorHAnsi"/>
          <w:b/>
          <w:bCs/>
          <w:color w:val="000000" w:themeColor="text1"/>
        </w:rPr>
      </w:pPr>
    </w:p>
    <w:p w14:paraId="1B15539B"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Optus is the second-largest telecommunications provider in Australia and plays a central role in delivering networking services to both individuals and organisations. The accessibility of these services can be assessed in terms of geographic coverage, service affordability, inclusivity, and the ability to meet the diverse needs of households and businesses. While Optus provides extensive services across much of the country, accessibility remains uneven due to regional disparities, cost factors, and market competition.</w:t>
      </w:r>
    </w:p>
    <w:p w14:paraId="1C3512EA"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 xml:space="preserve">From a geographic perspective, Optus has made significant investments in expanding its mobile and broadband networks. Its 4G and 5G mobile services cover </w:t>
      </w:r>
      <w:proofErr w:type="gramStart"/>
      <w:r w:rsidRPr="006A7FD8">
        <w:rPr>
          <w:rFonts w:ascii="Arial" w:eastAsia="Times New Roman" w:hAnsi="Arial" w:cs="Arial"/>
          <w:noProof w:val="0"/>
          <w:color w:val="000000" w:themeColor="text1"/>
          <w:lang w:eastAsia="en-AU" w:bidi="ar-SA"/>
        </w:rPr>
        <w:t>the majority of</w:t>
      </w:r>
      <w:proofErr w:type="gramEnd"/>
      <w:r w:rsidRPr="006A7FD8">
        <w:rPr>
          <w:rFonts w:ascii="Arial" w:eastAsia="Times New Roman" w:hAnsi="Arial" w:cs="Arial"/>
          <w:noProof w:val="0"/>
          <w:color w:val="000000" w:themeColor="text1"/>
          <w:lang w:eastAsia="en-AU" w:bidi="ar-SA"/>
        </w:rPr>
        <w:t xml:space="preserve"> the population, particularly in metropolitan and regional centres. Optus has also partnered with the National Broadband Network (NBN) to deliver fixed-line and wireless broadband services nationwide, allowing it to reach households and organisations even in remote areas. However, network accessibility is still less reliable in rural and remote communities, where service quality can </w:t>
      </w:r>
      <w:proofErr w:type="gramStart"/>
      <w:r w:rsidRPr="006A7FD8">
        <w:rPr>
          <w:rFonts w:ascii="Arial" w:eastAsia="Times New Roman" w:hAnsi="Arial" w:cs="Arial"/>
          <w:noProof w:val="0"/>
          <w:color w:val="000000" w:themeColor="text1"/>
          <w:lang w:eastAsia="en-AU" w:bidi="ar-SA"/>
        </w:rPr>
        <w:t>lag behind</w:t>
      </w:r>
      <w:proofErr w:type="gramEnd"/>
      <w:r w:rsidRPr="006A7FD8">
        <w:rPr>
          <w:rFonts w:ascii="Arial" w:eastAsia="Times New Roman" w:hAnsi="Arial" w:cs="Arial"/>
          <w:noProof w:val="0"/>
          <w:color w:val="000000" w:themeColor="text1"/>
          <w:lang w:eastAsia="en-AU" w:bidi="ar-SA"/>
        </w:rPr>
        <w:t xml:space="preserve"> that of major cities. In these areas, individuals and organisations often experience slower speeds and weaker coverage compared with urban users. This reflects a broader structural challenge in Australia’s telecommunications sector rather than a problem unique to Optus, but it does highlight ongoing limitations in universal access.</w:t>
      </w:r>
    </w:p>
    <w:p w14:paraId="3B2357ED"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 xml:space="preserve">Affordability is another important dimension of accessibility. Optus positions itself as a premium yet competitive alternative to Telstra, offering a wide range of mobile, broadband, and enterprise services. For individuals, Optus provides flexible post-paid and prepaid options, which makes its services accessible to a broad income spectrum. However, compared with lower-cost providers such as </w:t>
      </w: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or other MVNOs, Optus’ pricing can be prohibitive for households most affected by cost-of-living pressures. For organisations, Optus offers enterprise-grade networking services, cloud solutions, and cybersecurity packages, which are accessible to medium and large businesses but less affordable for small businesses with limited budgets. This suggests that while Optus provides extensive service options, affordability remains a barrier to full accessibility for certain customer groups.</w:t>
      </w:r>
    </w:p>
    <w:p w14:paraId="55F0EC6C"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 xml:space="preserve">Accessibility is also shaped by inclusivity and consumer safeguards. Optus provides services designed for culturally and linguistically diverse communities, including multilingual customer support, which improves accessibility for migrant households. In addition, regulatory requirements enforced by the </w:t>
      </w:r>
      <w:r w:rsidRPr="006A7FD8">
        <w:rPr>
          <w:rFonts w:ascii="Arial" w:eastAsia="Times New Roman" w:hAnsi="Arial" w:cs="Arial"/>
          <w:b/>
          <w:bCs/>
          <w:noProof w:val="0"/>
          <w:color w:val="000000" w:themeColor="text1"/>
          <w:lang w:eastAsia="en-AU" w:bidi="ar-SA"/>
        </w:rPr>
        <w:t>ACCC</w:t>
      </w:r>
      <w:r w:rsidRPr="006A7FD8">
        <w:rPr>
          <w:rFonts w:ascii="Arial" w:eastAsia="Times New Roman" w:hAnsi="Arial" w:cs="Arial"/>
          <w:noProof w:val="0"/>
          <w:color w:val="000000" w:themeColor="text1"/>
          <w:lang w:eastAsia="en-AU" w:bidi="ar-SA"/>
        </w:rPr>
        <w:t xml:space="preserve"> and </w:t>
      </w:r>
      <w:r w:rsidRPr="006A7FD8">
        <w:rPr>
          <w:rFonts w:ascii="Arial" w:eastAsia="Times New Roman" w:hAnsi="Arial" w:cs="Arial"/>
          <w:b/>
          <w:bCs/>
          <w:noProof w:val="0"/>
          <w:color w:val="000000" w:themeColor="text1"/>
          <w:lang w:eastAsia="en-AU" w:bidi="ar-SA"/>
        </w:rPr>
        <w:t>ACMA</w:t>
      </w:r>
      <w:r w:rsidRPr="006A7FD8">
        <w:rPr>
          <w:rFonts w:ascii="Arial" w:eastAsia="Times New Roman" w:hAnsi="Arial" w:cs="Arial"/>
          <w:noProof w:val="0"/>
          <w:color w:val="000000" w:themeColor="text1"/>
          <w:lang w:eastAsia="en-AU" w:bidi="ar-SA"/>
        </w:rPr>
        <w:t xml:space="preserve"> ensure that Optus provides clear information, protects consumers from misleading contracts, and participates in hardship programs for vulnerable individuals. These political and regulatory influences enhance the accessibility of Optus’ services by ensuring that customers are not excluded due to unfair practices or lack of support.</w:t>
      </w:r>
    </w:p>
    <w:p w14:paraId="16AAD676"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For organisations, Optus plays a significant role in enabling digital transformation. Its services support industries ranging from education and healthcare to retail and mining. Optus has invested heavily in 5G infrastructure, offering high-speed, low-latency connections that enable organisations to deploy advanced technologies such as automation, remote monitoring, and cloud computing. However, the uneven rollout of 5G means that organisations in remote regions may not yet have access to these capabilities, limiting their ability to adopt cutting-edge digital solutions at the same pace as urban businesses.</w:t>
      </w:r>
    </w:p>
    <w:p w14:paraId="515FA137" w14:textId="77777777" w:rsidR="006A7FD8" w:rsidRDefault="006A7FD8" w:rsidP="00346084">
      <w:pPr>
        <w:suppressAutoHyphens/>
        <w:rPr>
          <w:rFonts w:asciiTheme="minorHAnsi" w:hAnsiTheme="minorHAnsi" w:cstheme="minorHAnsi"/>
          <w:b/>
          <w:bCs/>
          <w:color w:val="000000" w:themeColor="text1"/>
        </w:rPr>
      </w:pPr>
    </w:p>
    <w:p w14:paraId="732D29C0" w14:textId="77777777" w:rsidR="006A7FD8" w:rsidRDefault="006A7FD8" w:rsidP="00346084">
      <w:pPr>
        <w:suppressAutoHyphens/>
        <w:rPr>
          <w:rFonts w:asciiTheme="minorHAnsi" w:hAnsiTheme="minorHAnsi" w:cstheme="minorHAnsi"/>
          <w:b/>
          <w:bCs/>
          <w:color w:val="000000" w:themeColor="text1"/>
        </w:rPr>
      </w:pPr>
    </w:p>
    <w:p w14:paraId="0FE35CFA" w14:textId="310B2568" w:rsidR="006A7FD8" w:rsidRPr="00F97A22" w:rsidRDefault="006A7FD8" w:rsidP="006A7FD8">
      <w:pPr>
        <w:pStyle w:val="Heading2"/>
      </w:pPr>
      <w:r>
        <w:t>A</w:t>
      </w:r>
      <w:r w:rsidRPr="006A7FD8">
        <w:t xml:space="preserve">ccessibility of networking services of </w:t>
      </w:r>
      <w:r>
        <w:t>Lebara</w:t>
      </w:r>
      <w:r w:rsidRPr="006A7FD8">
        <w:t xml:space="preserve"> to individuals and organisations across Australia</w:t>
      </w:r>
    </w:p>
    <w:p w14:paraId="07D4F5B9" w14:textId="77777777" w:rsidR="006A7FD8" w:rsidRDefault="006A7FD8" w:rsidP="00346084">
      <w:pPr>
        <w:suppressAutoHyphens/>
        <w:rPr>
          <w:rFonts w:asciiTheme="minorHAnsi" w:hAnsiTheme="minorHAnsi" w:cstheme="minorHAnsi"/>
          <w:color w:val="000000" w:themeColor="text1"/>
        </w:rPr>
      </w:pPr>
    </w:p>
    <w:p w14:paraId="674BC7E5" w14:textId="6EDACF44"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w:t>
      </w:r>
      <w:r>
        <w:rPr>
          <w:rFonts w:ascii="Arial" w:eastAsia="Times New Roman" w:hAnsi="Arial" w:cs="Arial"/>
          <w:noProof w:val="0"/>
          <w:color w:val="000000" w:themeColor="text1"/>
          <w:lang w:eastAsia="en-AU" w:bidi="ar-SA"/>
        </w:rPr>
        <w:t>as</w:t>
      </w:r>
      <w:r w:rsidRPr="006A7FD8">
        <w:rPr>
          <w:rFonts w:ascii="Arial" w:eastAsia="Times New Roman" w:hAnsi="Arial" w:cs="Arial"/>
          <w:noProof w:val="0"/>
          <w:color w:val="000000" w:themeColor="text1"/>
          <w:lang w:eastAsia="en-AU" w:bidi="ar-SA"/>
        </w:rPr>
        <w:t xml:space="preserve"> a mobile virtual network operator (MVNO) that operates on the Vodafone network and has positioned itself as a low-cost provider targeting value-conscious consumers, particularly migrant communities. Unlike major carriers such as Telstra and Optus, </w:t>
      </w: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does not own its own infrastructure, instead relying on wholesale agreements to deliver its services. The accessibility of </w:t>
      </w:r>
      <w:proofErr w:type="spellStart"/>
      <w:r w:rsidRPr="006A7FD8">
        <w:rPr>
          <w:rFonts w:ascii="Arial" w:eastAsia="Times New Roman" w:hAnsi="Arial" w:cs="Arial"/>
          <w:noProof w:val="0"/>
          <w:color w:val="000000" w:themeColor="text1"/>
          <w:lang w:eastAsia="en-AU" w:bidi="ar-SA"/>
        </w:rPr>
        <w:t>Lebara’s</w:t>
      </w:r>
      <w:proofErr w:type="spellEnd"/>
      <w:r w:rsidRPr="006A7FD8">
        <w:rPr>
          <w:rFonts w:ascii="Arial" w:eastAsia="Times New Roman" w:hAnsi="Arial" w:cs="Arial"/>
          <w:noProof w:val="0"/>
          <w:color w:val="000000" w:themeColor="text1"/>
          <w:lang w:eastAsia="en-AU" w:bidi="ar-SA"/>
        </w:rPr>
        <w:t xml:space="preserve"> networking services to individuals and organisations across Australia can therefore be assessed in terms of coverage, affordability, inclusivity, and the suitability of its offerings for different customer segments.</w:t>
      </w:r>
    </w:p>
    <w:p w14:paraId="61407B20"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lastRenderedPageBreak/>
        <w:t xml:space="preserve">From a geographic perspective, </w:t>
      </w:r>
      <w:proofErr w:type="spellStart"/>
      <w:r w:rsidRPr="006A7FD8">
        <w:rPr>
          <w:rFonts w:ascii="Arial" w:eastAsia="Times New Roman" w:hAnsi="Arial" w:cs="Arial"/>
          <w:noProof w:val="0"/>
          <w:color w:val="000000" w:themeColor="text1"/>
          <w:lang w:eastAsia="en-AU" w:bidi="ar-SA"/>
        </w:rPr>
        <w:t>Lebara’s</w:t>
      </w:r>
      <w:proofErr w:type="spellEnd"/>
      <w:r w:rsidRPr="006A7FD8">
        <w:rPr>
          <w:rFonts w:ascii="Arial" w:eastAsia="Times New Roman" w:hAnsi="Arial" w:cs="Arial"/>
          <w:noProof w:val="0"/>
          <w:color w:val="000000" w:themeColor="text1"/>
          <w:lang w:eastAsia="en-AU" w:bidi="ar-SA"/>
        </w:rPr>
        <w:t xml:space="preserve"> services are limited by the infrastructure of its host network. Operating on Vodafone’s network, it provides strong coverage in metropolitan and many regional areas but remains less reliable in rural and remote communities. Individuals in cities and larger towns generally experience good mobile service and internet access, while those in remote areas may find that </w:t>
      </w:r>
      <w:proofErr w:type="spellStart"/>
      <w:r w:rsidRPr="006A7FD8">
        <w:rPr>
          <w:rFonts w:ascii="Arial" w:eastAsia="Times New Roman" w:hAnsi="Arial" w:cs="Arial"/>
          <w:noProof w:val="0"/>
          <w:color w:val="000000" w:themeColor="text1"/>
          <w:lang w:eastAsia="en-AU" w:bidi="ar-SA"/>
        </w:rPr>
        <w:t>Lebara’s</w:t>
      </w:r>
      <w:proofErr w:type="spellEnd"/>
      <w:r w:rsidRPr="006A7FD8">
        <w:rPr>
          <w:rFonts w:ascii="Arial" w:eastAsia="Times New Roman" w:hAnsi="Arial" w:cs="Arial"/>
          <w:noProof w:val="0"/>
          <w:color w:val="000000" w:themeColor="text1"/>
          <w:lang w:eastAsia="en-AU" w:bidi="ar-SA"/>
        </w:rPr>
        <w:t xml:space="preserve"> coverage is less extensive compared with providers such as Telstra, which dominates in rural connectivity. This geographic disparity reduces the accessibility of </w:t>
      </w:r>
      <w:proofErr w:type="spellStart"/>
      <w:r w:rsidRPr="006A7FD8">
        <w:rPr>
          <w:rFonts w:ascii="Arial" w:eastAsia="Times New Roman" w:hAnsi="Arial" w:cs="Arial"/>
          <w:noProof w:val="0"/>
          <w:color w:val="000000" w:themeColor="text1"/>
          <w:lang w:eastAsia="en-AU" w:bidi="ar-SA"/>
        </w:rPr>
        <w:t>Lebara’s</w:t>
      </w:r>
      <w:proofErr w:type="spellEnd"/>
      <w:r w:rsidRPr="006A7FD8">
        <w:rPr>
          <w:rFonts w:ascii="Arial" w:eastAsia="Times New Roman" w:hAnsi="Arial" w:cs="Arial"/>
          <w:noProof w:val="0"/>
          <w:color w:val="000000" w:themeColor="text1"/>
          <w:lang w:eastAsia="en-AU" w:bidi="ar-SA"/>
        </w:rPr>
        <w:t xml:space="preserve"> services for individuals and organisations outside major population centres.</w:t>
      </w:r>
    </w:p>
    <w:p w14:paraId="01C059CA"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 xml:space="preserve">Affordability is the area where </w:t>
      </w:r>
      <w:proofErr w:type="spellStart"/>
      <w:r w:rsidRPr="006A7FD8">
        <w:rPr>
          <w:rFonts w:ascii="Arial" w:eastAsia="Times New Roman" w:hAnsi="Arial" w:cs="Arial"/>
          <w:noProof w:val="0"/>
          <w:color w:val="000000" w:themeColor="text1"/>
          <w:lang w:eastAsia="en-AU" w:bidi="ar-SA"/>
        </w:rPr>
        <w:t>Lebara’s</w:t>
      </w:r>
      <w:proofErr w:type="spellEnd"/>
      <w:r w:rsidRPr="006A7FD8">
        <w:rPr>
          <w:rFonts w:ascii="Arial" w:eastAsia="Times New Roman" w:hAnsi="Arial" w:cs="Arial"/>
          <w:noProof w:val="0"/>
          <w:color w:val="000000" w:themeColor="text1"/>
          <w:lang w:eastAsia="en-AU" w:bidi="ar-SA"/>
        </w:rPr>
        <w:t xml:space="preserve"> accessibility is strongest. The company focuses on prepaid mobile plans that are significantly cheaper than those of the major carriers. These plans typically include generous international calling and data allowances, which are highly attractive to migrant households and international students. This pricing strategy makes telecommunications services more accessible to individuals facing cost-of-living pressures, enabling them to maintain essential communication both locally and overseas. For organisations, however, </w:t>
      </w: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has a limited presence. It does not provide enterprise-grade solutions such as dedicated broadband, cybersecurity, or managed services. As such, its accessibility for businesses is confined to very small enterprises or sole traders that only require mobile voice and data at low cost, rather than comprehensive networking solutions.</w:t>
      </w:r>
    </w:p>
    <w:p w14:paraId="4B4141B8" w14:textId="77777777" w:rsidR="006A7FD8" w:rsidRP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 xml:space="preserve">Inclusivity is another dimension where </w:t>
      </w: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plays a unique role. The company markets heavily to culturally and linguistically diverse communities, providing multilingual customer support and tailored international calling options. This focus enhances accessibility for groups that may otherwise face barriers in engaging with mainstream providers. In contrast, </w:t>
      </w: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provides less support for other vulnerable groups, such as rural communities or small businesses, since its service model is heavily centred on prepaid consumer markets.</w:t>
      </w:r>
    </w:p>
    <w:p w14:paraId="2183178D" w14:textId="77777777" w:rsidR="006A7FD8" w:rsidRDefault="006A7FD8" w:rsidP="0080617A">
      <w:pPr>
        <w:spacing w:before="100" w:beforeAutospacing="1" w:after="100" w:afterAutospacing="1"/>
        <w:jc w:val="both"/>
        <w:rPr>
          <w:rFonts w:ascii="Arial" w:eastAsia="Times New Roman" w:hAnsi="Arial" w:cs="Arial"/>
          <w:noProof w:val="0"/>
          <w:color w:val="000000" w:themeColor="text1"/>
          <w:lang w:eastAsia="en-AU" w:bidi="ar-SA"/>
        </w:rPr>
      </w:pPr>
      <w:r w:rsidRPr="006A7FD8">
        <w:rPr>
          <w:rFonts w:ascii="Arial" w:eastAsia="Times New Roman" w:hAnsi="Arial" w:cs="Arial"/>
          <w:noProof w:val="0"/>
          <w:color w:val="000000" w:themeColor="text1"/>
          <w:lang w:eastAsia="en-AU" w:bidi="ar-SA"/>
        </w:rPr>
        <w:t xml:space="preserve">Regulation also plays an important part in shaping </w:t>
      </w:r>
      <w:proofErr w:type="spellStart"/>
      <w:r w:rsidRPr="006A7FD8">
        <w:rPr>
          <w:rFonts w:ascii="Arial" w:eastAsia="Times New Roman" w:hAnsi="Arial" w:cs="Arial"/>
          <w:noProof w:val="0"/>
          <w:color w:val="000000" w:themeColor="text1"/>
          <w:lang w:eastAsia="en-AU" w:bidi="ar-SA"/>
        </w:rPr>
        <w:t>Lebara’s</w:t>
      </w:r>
      <w:proofErr w:type="spellEnd"/>
      <w:r w:rsidRPr="006A7FD8">
        <w:rPr>
          <w:rFonts w:ascii="Arial" w:eastAsia="Times New Roman" w:hAnsi="Arial" w:cs="Arial"/>
          <w:noProof w:val="0"/>
          <w:color w:val="000000" w:themeColor="text1"/>
          <w:lang w:eastAsia="en-AU" w:bidi="ar-SA"/>
        </w:rPr>
        <w:t xml:space="preserve"> accessibility. Under the oversight of the </w:t>
      </w:r>
      <w:r w:rsidRPr="006A7FD8">
        <w:rPr>
          <w:rFonts w:ascii="Arial" w:eastAsia="Times New Roman" w:hAnsi="Arial" w:cs="Arial"/>
          <w:b/>
          <w:bCs/>
          <w:noProof w:val="0"/>
          <w:color w:val="000000" w:themeColor="text1"/>
          <w:lang w:eastAsia="en-AU" w:bidi="ar-SA"/>
        </w:rPr>
        <w:t>ACCC</w:t>
      </w:r>
      <w:r w:rsidRPr="006A7FD8">
        <w:rPr>
          <w:rFonts w:ascii="Arial" w:eastAsia="Times New Roman" w:hAnsi="Arial" w:cs="Arial"/>
          <w:noProof w:val="0"/>
          <w:color w:val="000000" w:themeColor="text1"/>
          <w:lang w:eastAsia="en-AU" w:bidi="ar-SA"/>
        </w:rPr>
        <w:t xml:space="preserve"> and </w:t>
      </w:r>
      <w:r w:rsidRPr="006A7FD8">
        <w:rPr>
          <w:rFonts w:ascii="Arial" w:eastAsia="Times New Roman" w:hAnsi="Arial" w:cs="Arial"/>
          <w:b/>
          <w:bCs/>
          <w:noProof w:val="0"/>
          <w:color w:val="000000" w:themeColor="text1"/>
          <w:lang w:eastAsia="en-AU" w:bidi="ar-SA"/>
        </w:rPr>
        <w:t>ACMA</w:t>
      </w:r>
      <w:r w:rsidRPr="006A7FD8">
        <w:rPr>
          <w:rFonts w:ascii="Arial" w:eastAsia="Times New Roman" w:hAnsi="Arial" w:cs="Arial"/>
          <w:noProof w:val="0"/>
          <w:color w:val="000000" w:themeColor="text1"/>
          <w:lang w:eastAsia="en-AU" w:bidi="ar-SA"/>
        </w:rPr>
        <w:t xml:space="preserve">, </w:t>
      </w: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must comply with the same consumer protection and service quality standards as larger carriers. This ensures that customers benefit from clear advertising, fair contracts, and dispute resolution processes. However, being a smaller operator, </w:t>
      </w:r>
      <w:proofErr w:type="spellStart"/>
      <w:r w:rsidRPr="006A7FD8">
        <w:rPr>
          <w:rFonts w:ascii="Arial" w:eastAsia="Times New Roman" w:hAnsi="Arial" w:cs="Arial"/>
          <w:noProof w:val="0"/>
          <w:color w:val="000000" w:themeColor="text1"/>
          <w:lang w:eastAsia="en-AU" w:bidi="ar-SA"/>
        </w:rPr>
        <w:t>Lebara</w:t>
      </w:r>
      <w:proofErr w:type="spellEnd"/>
      <w:r w:rsidRPr="006A7FD8">
        <w:rPr>
          <w:rFonts w:ascii="Arial" w:eastAsia="Times New Roman" w:hAnsi="Arial" w:cs="Arial"/>
          <w:noProof w:val="0"/>
          <w:color w:val="000000" w:themeColor="text1"/>
          <w:lang w:eastAsia="en-AU" w:bidi="ar-SA"/>
        </w:rPr>
        <w:t xml:space="preserve"> may have fewer resources to invest in customer service systems and compliance frameworks compared with larger competitors, which can occasionally affect service responsiveness.</w:t>
      </w:r>
    </w:p>
    <w:p w14:paraId="32C60A04" w14:textId="77777777" w:rsidR="00840CBA" w:rsidRDefault="00840CBA" w:rsidP="0080617A">
      <w:pPr>
        <w:spacing w:before="100" w:beforeAutospacing="1" w:after="100" w:afterAutospacing="1"/>
        <w:jc w:val="both"/>
        <w:rPr>
          <w:rFonts w:ascii="Arial" w:eastAsia="Times New Roman" w:hAnsi="Arial" w:cs="Arial"/>
          <w:noProof w:val="0"/>
          <w:color w:val="000000" w:themeColor="text1"/>
          <w:lang w:eastAsia="en-AU" w:bidi="ar-SA"/>
        </w:rPr>
      </w:pPr>
    </w:p>
    <w:p w14:paraId="169ED13A" w14:textId="13B89FEC" w:rsidR="00840CBA" w:rsidRDefault="00840CBA" w:rsidP="00840CBA">
      <w:pPr>
        <w:suppressAutoHyphens/>
        <w:rPr>
          <w:rFonts w:asciiTheme="minorHAnsi" w:hAnsiTheme="minorHAnsi" w:cstheme="minorHAnsi"/>
          <w:b/>
          <w:bCs/>
          <w:color w:val="000000" w:themeColor="text1"/>
        </w:rPr>
      </w:pPr>
      <w:r>
        <w:rPr>
          <w:rFonts w:asciiTheme="minorHAnsi" w:hAnsiTheme="minorHAnsi" w:cstheme="minorHAnsi"/>
          <w:b/>
          <w:bCs/>
          <w:color w:val="000000" w:themeColor="text1"/>
        </w:rPr>
        <w:t>R</w:t>
      </w:r>
      <w:r w:rsidRPr="00C43D7D">
        <w:rPr>
          <w:rFonts w:asciiTheme="minorHAnsi" w:hAnsiTheme="minorHAnsi" w:cstheme="minorHAnsi"/>
          <w:b/>
          <w:bCs/>
          <w:color w:val="000000" w:themeColor="text1"/>
        </w:rPr>
        <w:t xml:space="preserve">ecommendations </w:t>
      </w:r>
      <w:r>
        <w:rPr>
          <w:rFonts w:asciiTheme="minorHAnsi" w:hAnsiTheme="minorHAnsi" w:cstheme="minorHAnsi"/>
          <w:b/>
          <w:bCs/>
          <w:color w:val="000000" w:themeColor="text1"/>
        </w:rPr>
        <w:t>for Optus about</w:t>
      </w:r>
      <w:r w:rsidRPr="00C43D7D">
        <w:rPr>
          <w:rFonts w:asciiTheme="minorHAnsi" w:hAnsiTheme="minorHAnsi" w:cstheme="minorHAnsi"/>
          <w:b/>
          <w:bCs/>
          <w:color w:val="000000" w:themeColor="text1"/>
        </w:rPr>
        <w:t xml:space="preserve"> how to address </w:t>
      </w:r>
      <w:r w:rsidRPr="00840CBA">
        <w:rPr>
          <w:rFonts w:asciiTheme="minorHAnsi" w:hAnsiTheme="minorHAnsi" w:cstheme="minorHAnsi"/>
          <w:b/>
          <w:bCs/>
          <w:color w:val="000000" w:themeColor="text1"/>
        </w:rPr>
        <w:t>rising prices, inflation and low household spending</w:t>
      </w:r>
    </w:p>
    <w:p w14:paraId="5E01D509" w14:textId="77777777" w:rsidR="006D53D4" w:rsidRDefault="006D53D4" w:rsidP="00840CBA">
      <w:pPr>
        <w:suppressAutoHyphens/>
        <w:rPr>
          <w:rFonts w:asciiTheme="minorHAnsi" w:hAnsiTheme="minorHAnsi" w:cstheme="minorHAnsi"/>
          <w:b/>
          <w:bCs/>
          <w:color w:val="000000" w:themeColor="text1"/>
        </w:rPr>
      </w:pPr>
    </w:p>
    <w:p w14:paraId="47072C37" w14:textId="77777777" w:rsidR="006D53D4" w:rsidRDefault="006D53D4" w:rsidP="006D53D4">
      <w:pPr>
        <w:numPr>
          <w:ilvl w:val="0"/>
          <w:numId w:val="41"/>
        </w:numPr>
        <w:suppressAutoHyphens/>
        <w:rPr>
          <w:rFonts w:asciiTheme="minorHAnsi" w:hAnsiTheme="minorHAnsi" w:cstheme="minorHAnsi"/>
          <w:color w:val="000000" w:themeColor="text1"/>
        </w:rPr>
      </w:pPr>
      <w:r w:rsidRPr="006D53D4">
        <w:rPr>
          <w:rFonts w:asciiTheme="minorHAnsi" w:hAnsiTheme="minorHAnsi" w:cstheme="minorHAnsi"/>
          <w:b/>
          <w:bCs/>
          <w:color w:val="000000" w:themeColor="text1"/>
        </w:rPr>
        <w:t>Network investment</w:t>
      </w:r>
    </w:p>
    <w:p w14:paraId="69C4E830" w14:textId="060D4B1C" w:rsidR="006D53D4" w:rsidRPr="006D53D4" w:rsidRDefault="006D53D4" w:rsidP="006D53D4">
      <w:pPr>
        <w:numPr>
          <w:ilvl w:val="1"/>
          <w:numId w:val="41"/>
        </w:numPr>
        <w:suppressAutoHyphens/>
        <w:rPr>
          <w:rFonts w:asciiTheme="minorHAnsi" w:hAnsiTheme="minorHAnsi" w:cstheme="minorHAnsi"/>
          <w:color w:val="000000" w:themeColor="text1"/>
        </w:rPr>
      </w:pPr>
      <w:r w:rsidRPr="006D53D4">
        <w:rPr>
          <w:rFonts w:asciiTheme="minorHAnsi" w:hAnsiTheme="minorHAnsi" w:cstheme="minorHAnsi"/>
          <w:color w:val="000000" w:themeColor="text1"/>
        </w:rPr>
        <w:t>will continue, but planning must account for higher costs and potential equipment delays.</w:t>
      </w:r>
    </w:p>
    <w:p w14:paraId="1222BC4F" w14:textId="77777777" w:rsidR="006D53D4" w:rsidRDefault="006D53D4" w:rsidP="006D53D4">
      <w:pPr>
        <w:numPr>
          <w:ilvl w:val="0"/>
          <w:numId w:val="41"/>
        </w:numPr>
        <w:suppressAutoHyphens/>
        <w:rPr>
          <w:rFonts w:asciiTheme="minorHAnsi" w:hAnsiTheme="minorHAnsi" w:cstheme="minorHAnsi"/>
          <w:color w:val="000000" w:themeColor="text1"/>
        </w:rPr>
      </w:pPr>
      <w:r w:rsidRPr="006D53D4">
        <w:rPr>
          <w:rFonts w:asciiTheme="minorHAnsi" w:hAnsiTheme="minorHAnsi" w:cstheme="minorHAnsi"/>
          <w:b/>
          <w:bCs/>
          <w:color w:val="000000" w:themeColor="text1"/>
        </w:rPr>
        <w:t>Market competition</w:t>
      </w:r>
    </w:p>
    <w:p w14:paraId="19E4D9AF" w14:textId="17E04779" w:rsidR="006D53D4" w:rsidRPr="006D53D4" w:rsidRDefault="006D53D4" w:rsidP="006D53D4">
      <w:pPr>
        <w:numPr>
          <w:ilvl w:val="1"/>
          <w:numId w:val="41"/>
        </w:numPr>
        <w:suppressAutoHyphens/>
        <w:rPr>
          <w:rFonts w:asciiTheme="minorHAnsi" w:hAnsiTheme="minorHAnsi" w:cstheme="minorHAnsi"/>
          <w:color w:val="000000" w:themeColor="text1"/>
        </w:rPr>
      </w:pPr>
      <w:r w:rsidRPr="006D53D4">
        <w:rPr>
          <w:rFonts w:asciiTheme="minorHAnsi" w:hAnsiTheme="minorHAnsi" w:cstheme="minorHAnsi"/>
          <w:color w:val="000000" w:themeColor="text1"/>
        </w:rPr>
        <w:t>With household consumption modest but steady, Optus will compete aggressively with Telstra and MVNOs for essential service markets.</w:t>
      </w:r>
    </w:p>
    <w:p w14:paraId="7B7FE124" w14:textId="77777777" w:rsidR="006D53D4" w:rsidRPr="00565D92" w:rsidRDefault="006D53D4" w:rsidP="006D53D4">
      <w:pPr>
        <w:numPr>
          <w:ilvl w:val="0"/>
          <w:numId w:val="41"/>
        </w:numPr>
        <w:spacing w:before="100" w:beforeAutospacing="1" w:after="100" w:afterAutospacing="1"/>
        <w:rPr>
          <w:rFonts w:ascii="Arial" w:eastAsia="Times New Roman" w:hAnsi="Arial" w:cs="Arial"/>
          <w:noProof w:val="0"/>
          <w:lang w:eastAsia="en-AU" w:bidi="ar-SA"/>
        </w:rPr>
      </w:pPr>
      <w:r w:rsidRPr="00565D92">
        <w:rPr>
          <w:rFonts w:ascii="Arial" w:eastAsia="Times New Roman" w:hAnsi="Arial" w:cs="Arial"/>
          <w:b/>
          <w:bCs/>
          <w:noProof w:val="0"/>
          <w:lang w:eastAsia="en-AU" w:bidi="ar-SA"/>
        </w:rPr>
        <w:t>Data Security and Cyber Resilience</w:t>
      </w:r>
      <w:r w:rsidRPr="00565D92">
        <w:rPr>
          <w:rFonts w:ascii="Arial" w:eastAsia="Times New Roman" w:hAnsi="Arial" w:cs="Arial"/>
          <w:noProof w:val="0"/>
          <w:lang w:eastAsia="en-AU" w:bidi="ar-SA"/>
        </w:rPr>
        <w:t xml:space="preserve"> </w:t>
      </w:r>
    </w:p>
    <w:p w14:paraId="73ED28B9" w14:textId="77777777" w:rsidR="006D53D4" w:rsidRPr="00565D92" w:rsidRDefault="006D53D4" w:rsidP="006D53D4">
      <w:pPr>
        <w:numPr>
          <w:ilvl w:val="1"/>
          <w:numId w:val="41"/>
        </w:numPr>
        <w:spacing w:before="100" w:beforeAutospacing="1" w:after="100" w:afterAutospacing="1"/>
        <w:rPr>
          <w:rFonts w:ascii="Arial" w:eastAsia="Times New Roman" w:hAnsi="Arial" w:cs="Arial"/>
          <w:noProof w:val="0"/>
          <w:lang w:eastAsia="en-AU" w:bidi="ar-SA"/>
        </w:rPr>
      </w:pPr>
      <w:r w:rsidRPr="00565D92">
        <w:rPr>
          <w:rFonts w:ascii="Arial" w:eastAsia="Times New Roman" w:hAnsi="Arial" w:cs="Arial"/>
          <w:noProof w:val="0"/>
          <w:lang w:eastAsia="en-AU" w:bidi="ar-SA"/>
        </w:rPr>
        <w:t>Invest in advanced cybersecurity measures to protect customer data, following requirements under the Cybersecurity Act 2024.</w:t>
      </w:r>
    </w:p>
    <w:p w14:paraId="6C402AC7" w14:textId="77777777" w:rsidR="006D53D4" w:rsidRPr="00565D92" w:rsidRDefault="006D53D4" w:rsidP="006D53D4">
      <w:pPr>
        <w:numPr>
          <w:ilvl w:val="1"/>
          <w:numId w:val="41"/>
        </w:numPr>
        <w:spacing w:before="100" w:beforeAutospacing="1" w:after="100" w:afterAutospacing="1"/>
        <w:rPr>
          <w:rFonts w:ascii="Arial" w:eastAsia="Times New Roman" w:hAnsi="Arial" w:cs="Arial"/>
          <w:noProof w:val="0"/>
          <w:lang w:eastAsia="en-AU" w:bidi="ar-SA"/>
        </w:rPr>
      </w:pPr>
      <w:r w:rsidRPr="00565D92">
        <w:rPr>
          <w:rFonts w:ascii="Arial" w:eastAsia="Times New Roman" w:hAnsi="Arial" w:cs="Arial"/>
          <w:noProof w:val="0"/>
          <w:lang w:eastAsia="en-AU" w:bidi="ar-SA"/>
        </w:rPr>
        <w:t>Implement strong internal controls, regular audits, and staff training to mitigate breach risks.</w:t>
      </w:r>
    </w:p>
    <w:p w14:paraId="74B611F2" w14:textId="77777777" w:rsidR="006D53D4" w:rsidRPr="006D53D4" w:rsidRDefault="006D53D4" w:rsidP="006D53D4">
      <w:pPr>
        <w:numPr>
          <w:ilvl w:val="1"/>
          <w:numId w:val="41"/>
        </w:numPr>
        <w:spacing w:before="100" w:beforeAutospacing="1" w:after="100" w:afterAutospacing="1"/>
        <w:rPr>
          <w:rFonts w:ascii="Arial" w:eastAsia="Times New Roman" w:hAnsi="Arial" w:cs="Arial"/>
          <w:noProof w:val="0"/>
          <w:lang w:eastAsia="en-AU" w:bidi="ar-SA"/>
        </w:rPr>
      </w:pPr>
      <w:r w:rsidRPr="00565D92">
        <w:rPr>
          <w:rFonts w:ascii="Arial" w:eastAsia="Times New Roman" w:hAnsi="Arial" w:cs="Arial"/>
          <w:noProof w:val="0"/>
          <w:lang w:eastAsia="en-AU" w:bidi="ar-SA"/>
        </w:rPr>
        <w:t>Communicate security initiatives to build consumer trust and reduce reputational risk.</w:t>
      </w:r>
    </w:p>
    <w:p w14:paraId="769393ED" w14:textId="77777777" w:rsidR="00840CBA" w:rsidRPr="006A7FD8" w:rsidRDefault="00840CBA" w:rsidP="0080617A">
      <w:pPr>
        <w:spacing w:before="100" w:beforeAutospacing="1" w:after="100" w:afterAutospacing="1"/>
        <w:jc w:val="both"/>
        <w:rPr>
          <w:rFonts w:ascii="Arial" w:eastAsia="Times New Roman" w:hAnsi="Arial" w:cs="Arial"/>
          <w:noProof w:val="0"/>
          <w:color w:val="000000" w:themeColor="text1"/>
          <w:lang w:eastAsia="en-AU" w:bidi="ar-SA"/>
        </w:rPr>
      </w:pPr>
    </w:p>
    <w:p w14:paraId="74CAA1F1" w14:textId="4C4A7AEC" w:rsidR="00C43D7D" w:rsidRDefault="00C43D7D" w:rsidP="00346084">
      <w:pPr>
        <w:suppressAutoHyphens/>
        <w:rPr>
          <w:rFonts w:asciiTheme="minorHAnsi" w:hAnsiTheme="minorHAnsi" w:cstheme="minorHAnsi"/>
          <w:b/>
          <w:bCs/>
          <w:color w:val="000000" w:themeColor="text1"/>
        </w:rPr>
      </w:pPr>
      <w:r>
        <w:rPr>
          <w:rFonts w:asciiTheme="minorHAnsi" w:hAnsiTheme="minorHAnsi" w:cstheme="minorHAnsi"/>
          <w:b/>
          <w:bCs/>
          <w:color w:val="000000" w:themeColor="text1"/>
        </w:rPr>
        <w:t>R</w:t>
      </w:r>
      <w:r w:rsidRPr="00C43D7D">
        <w:rPr>
          <w:rFonts w:asciiTheme="minorHAnsi" w:hAnsiTheme="minorHAnsi" w:cstheme="minorHAnsi"/>
          <w:b/>
          <w:bCs/>
          <w:color w:val="000000" w:themeColor="text1"/>
        </w:rPr>
        <w:t xml:space="preserve">ecommendations </w:t>
      </w:r>
      <w:r w:rsidR="00840CBA">
        <w:rPr>
          <w:rFonts w:asciiTheme="minorHAnsi" w:hAnsiTheme="minorHAnsi" w:cstheme="minorHAnsi"/>
          <w:b/>
          <w:bCs/>
          <w:color w:val="000000" w:themeColor="text1"/>
        </w:rPr>
        <w:t>for Lebara about</w:t>
      </w:r>
      <w:r w:rsidRPr="00C43D7D">
        <w:rPr>
          <w:rFonts w:asciiTheme="minorHAnsi" w:hAnsiTheme="minorHAnsi" w:cstheme="minorHAnsi"/>
          <w:b/>
          <w:bCs/>
          <w:color w:val="000000" w:themeColor="text1"/>
        </w:rPr>
        <w:t xml:space="preserve"> how to address </w:t>
      </w:r>
      <w:r w:rsidR="00840CBA" w:rsidRPr="00840CBA">
        <w:rPr>
          <w:rFonts w:asciiTheme="minorHAnsi" w:hAnsiTheme="minorHAnsi" w:cstheme="minorHAnsi"/>
          <w:b/>
          <w:bCs/>
          <w:color w:val="000000" w:themeColor="text1"/>
        </w:rPr>
        <w:t>rising prices, inflation and low household spending</w:t>
      </w:r>
    </w:p>
    <w:p w14:paraId="6B6601F2" w14:textId="77777777" w:rsidR="00C43D7D" w:rsidRDefault="00C43D7D" w:rsidP="00C43D7D">
      <w:pPr>
        <w:suppressAutoHyphens/>
        <w:rPr>
          <w:rFonts w:asciiTheme="minorHAnsi" w:hAnsiTheme="minorHAnsi" w:cstheme="minorHAnsi"/>
          <w:color w:val="000000" w:themeColor="text1"/>
        </w:rPr>
      </w:pPr>
    </w:p>
    <w:p w14:paraId="443EC4C6" w14:textId="77777777" w:rsidR="00C43D7D" w:rsidRPr="00C43D7D" w:rsidRDefault="00C43D7D" w:rsidP="00C43D7D">
      <w:pPr>
        <w:pStyle w:val="ListParagraph"/>
        <w:numPr>
          <w:ilvl w:val="0"/>
          <w:numId w:val="39"/>
        </w:numPr>
        <w:suppressAutoHyphens/>
        <w:rPr>
          <w:rFonts w:asciiTheme="minorHAnsi" w:hAnsiTheme="minorHAnsi" w:cstheme="minorHAnsi"/>
          <w:color w:val="000000" w:themeColor="text1"/>
        </w:rPr>
      </w:pPr>
      <w:r w:rsidRPr="00C43D7D">
        <w:rPr>
          <w:rFonts w:asciiTheme="minorHAnsi" w:hAnsiTheme="minorHAnsi" w:cstheme="minorHAnsi"/>
          <w:b/>
          <w:bCs/>
          <w:color w:val="000000" w:themeColor="text1"/>
        </w:rPr>
        <w:t>Pricing Strategy</w:t>
      </w:r>
    </w:p>
    <w:p w14:paraId="370FAFCE" w14:textId="77777777" w:rsidR="00C43D7D" w:rsidRPr="00C43D7D" w:rsidRDefault="00C43D7D" w:rsidP="00C43D7D">
      <w:pPr>
        <w:numPr>
          <w:ilvl w:val="1"/>
          <w:numId w:val="39"/>
        </w:numPr>
        <w:suppressAutoHyphens/>
        <w:rPr>
          <w:rFonts w:asciiTheme="minorHAnsi" w:hAnsiTheme="minorHAnsi" w:cstheme="minorHAnsi"/>
          <w:color w:val="000000" w:themeColor="text1"/>
        </w:rPr>
      </w:pPr>
      <w:r w:rsidRPr="00C43D7D">
        <w:rPr>
          <w:rFonts w:asciiTheme="minorHAnsi" w:hAnsiTheme="minorHAnsi" w:cstheme="minorHAnsi"/>
          <w:color w:val="000000" w:themeColor="text1"/>
        </w:rPr>
        <w:t>Maintain competitive prepaid and SIM-only plans to attract customers downgrading from premium carriers.</w:t>
      </w:r>
    </w:p>
    <w:p w14:paraId="6FD83D70" w14:textId="77777777" w:rsidR="00C43D7D" w:rsidRPr="00C43D7D" w:rsidRDefault="00C43D7D" w:rsidP="00C43D7D">
      <w:pPr>
        <w:numPr>
          <w:ilvl w:val="1"/>
          <w:numId w:val="39"/>
        </w:numPr>
        <w:suppressAutoHyphens/>
        <w:rPr>
          <w:rFonts w:asciiTheme="minorHAnsi" w:hAnsiTheme="minorHAnsi" w:cstheme="minorHAnsi"/>
          <w:color w:val="000000" w:themeColor="text1"/>
        </w:rPr>
      </w:pPr>
      <w:r w:rsidRPr="00C43D7D">
        <w:rPr>
          <w:rFonts w:asciiTheme="minorHAnsi" w:hAnsiTheme="minorHAnsi" w:cstheme="minorHAnsi"/>
          <w:color w:val="000000" w:themeColor="text1"/>
        </w:rPr>
        <w:t>Explore flexible bundles (data + international calls) to maximise customer retention.</w:t>
      </w:r>
    </w:p>
    <w:p w14:paraId="1BE66E36" w14:textId="77777777" w:rsidR="00C43D7D" w:rsidRPr="00C43D7D" w:rsidRDefault="00C43D7D" w:rsidP="00C43D7D">
      <w:pPr>
        <w:pStyle w:val="ListParagraph"/>
        <w:numPr>
          <w:ilvl w:val="0"/>
          <w:numId w:val="39"/>
        </w:numPr>
        <w:suppressAutoHyphens/>
        <w:rPr>
          <w:rFonts w:asciiTheme="minorHAnsi" w:hAnsiTheme="minorHAnsi" w:cstheme="minorHAnsi"/>
          <w:color w:val="000000" w:themeColor="text1"/>
        </w:rPr>
      </w:pPr>
      <w:r w:rsidRPr="00C43D7D">
        <w:rPr>
          <w:rFonts w:asciiTheme="minorHAnsi" w:hAnsiTheme="minorHAnsi" w:cstheme="minorHAnsi"/>
          <w:b/>
          <w:bCs/>
          <w:color w:val="000000" w:themeColor="text1"/>
        </w:rPr>
        <w:t>Customer Engagement and Trust</w:t>
      </w:r>
    </w:p>
    <w:p w14:paraId="721EC6A3" w14:textId="77777777" w:rsidR="00C43D7D" w:rsidRPr="00C43D7D" w:rsidRDefault="00C43D7D" w:rsidP="00C43D7D">
      <w:pPr>
        <w:numPr>
          <w:ilvl w:val="1"/>
          <w:numId w:val="39"/>
        </w:numPr>
        <w:suppressAutoHyphens/>
        <w:rPr>
          <w:rFonts w:asciiTheme="minorHAnsi" w:hAnsiTheme="minorHAnsi" w:cstheme="minorHAnsi"/>
          <w:color w:val="000000" w:themeColor="text1"/>
        </w:rPr>
      </w:pPr>
      <w:r w:rsidRPr="00C43D7D">
        <w:rPr>
          <w:rFonts w:asciiTheme="minorHAnsi" w:hAnsiTheme="minorHAnsi" w:cstheme="minorHAnsi"/>
          <w:color w:val="000000" w:themeColor="text1"/>
        </w:rPr>
        <w:t>Invest in clear communication and reliable support during service interruptions (e.g., extreme weather events or network outages).</w:t>
      </w:r>
    </w:p>
    <w:p w14:paraId="21B73DD3" w14:textId="77777777" w:rsidR="00C43D7D" w:rsidRPr="00C43D7D" w:rsidRDefault="00C43D7D" w:rsidP="00C43D7D">
      <w:pPr>
        <w:numPr>
          <w:ilvl w:val="1"/>
          <w:numId w:val="39"/>
        </w:numPr>
        <w:suppressAutoHyphens/>
        <w:rPr>
          <w:rFonts w:asciiTheme="minorHAnsi" w:hAnsiTheme="minorHAnsi" w:cstheme="minorHAnsi"/>
          <w:color w:val="000000" w:themeColor="text1"/>
        </w:rPr>
      </w:pPr>
      <w:r w:rsidRPr="00C43D7D">
        <w:rPr>
          <w:rFonts w:asciiTheme="minorHAnsi" w:hAnsiTheme="minorHAnsi" w:cstheme="minorHAnsi"/>
          <w:color w:val="000000" w:themeColor="text1"/>
        </w:rPr>
        <w:t>Build customer loyalty through transparency, community-targeted marketing, and culturally inclusive services.</w:t>
      </w:r>
    </w:p>
    <w:p w14:paraId="5D81AF4C" w14:textId="77777777" w:rsidR="00C43D7D" w:rsidRPr="00C43D7D" w:rsidRDefault="00C43D7D" w:rsidP="00C43D7D">
      <w:pPr>
        <w:pStyle w:val="ListParagraph"/>
        <w:numPr>
          <w:ilvl w:val="0"/>
          <w:numId w:val="39"/>
        </w:numPr>
        <w:suppressAutoHyphens/>
        <w:rPr>
          <w:rFonts w:asciiTheme="minorHAnsi" w:hAnsiTheme="minorHAnsi" w:cstheme="minorHAnsi"/>
          <w:color w:val="000000" w:themeColor="text1"/>
        </w:rPr>
      </w:pPr>
      <w:r w:rsidRPr="00C43D7D">
        <w:rPr>
          <w:rFonts w:asciiTheme="minorHAnsi" w:hAnsiTheme="minorHAnsi" w:cstheme="minorHAnsi"/>
          <w:b/>
          <w:bCs/>
          <w:color w:val="000000" w:themeColor="text1"/>
        </w:rPr>
        <w:t>Market Positioning</w:t>
      </w:r>
    </w:p>
    <w:p w14:paraId="532EEF05" w14:textId="77777777" w:rsidR="00C43D7D" w:rsidRPr="00C43D7D" w:rsidRDefault="00C43D7D" w:rsidP="00C43D7D">
      <w:pPr>
        <w:numPr>
          <w:ilvl w:val="1"/>
          <w:numId w:val="39"/>
        </w:numPr>
        <w:suppressAutoHyphens/>
        <w:rPr>
          <w:rFonts w:asciiTheme="minorHAnsi" w:hAnsiTheme="minorHAnsi" w:cstheme="minorHAnsi"/>
          <w:color w:val="000000" w:themeColor="text1"/>
        </w:rPr>
      </w:pPr>
      <w:r w:rsidRPr="00C43D7D">
        <w:rPr>
          <w:rFonts w:asciiTheme="minorHAnsi" w:hAnsiTheme="minorHAnsi" w:cstheme="minorHAnsi"/>
          <w:color w:val="000000" w:themeColor="text1"/>
        </w:rPr>
        <w:t xml:space="preserve">Differentiate strongly from premium carriers (Telstra, Optus) and other MVNOs by reinforcing its niche: </w:t>
      </w:r>
      <w:r w:rsidRPr="00C43D7D">
        <w:rPr>
          <w:rFonts w:asciiTheme="minorHAnsi" w:hAnsiTheme="minorHAnsi" w:cstheme="minorHAnsi"/>
          <w:b/>
          <w:bCs/>
          <w:color w:val="000000" w:themeColor="text1"/>
        </w:rPr>
        <w:t>affordable international connectivity</w:t>
      </w:r>
      <w:r w:rsidRPr="00C43D7D">
        <w:rPr>
          <w:rFonts w:asciiTheme="minorHAnsi" w:hAnsiTheme="minorHAnsi" w:cstheme="minorHAnsi"/>
          <w:color w:val="000000" w:themeColor="text1"/>
        </w:rPr>
        <w:t>.</w:t>
      </w:r>
    </w:p>
    <w:p w14:paraId="4A9468AF" w14:textId="77777777" w:rsidR="00C43D7D" w:rsidRPr="00C43D7D" w:rsidRDefault="00C43D7D" w:rsidP="00C43D7D">
      <w:pPr>
        <w:numPr>
          <w:ilvl w:val="1"/>
          <w:numId w:val="39"/>
        </w:numPr>
        <w:suppressAutoHyphens/>
        <w:rPr>
          <w:rFonts w:asciiTheme="minorHAnsi" w:hAnsiTheme="minorHAnsi" w:cstheme="minorHAnsi"/>
          <w:color w:val="000000" w:themeColor="text1"/>
        </w:rPr>
      </w:pPr>
      <w:r w:rsidRPr="00C43D7D">
        <w:rPr>
          <w:rFonts w:asciiTheme="minorHAnsi" w:hAnsiTheme="minorHAnsi" w:cstheme="minorHAnsi"/>
          <w:color w:val="000000" w:themeColor="text1"/>
        </w:rPr>
        <w:t>Target growth in segments most affected by cost-of-living pressures.</w:t>
      </w:r>
    </w:p>
    <w:p w14:paraId="23B82A4E" w14:textId="77777777" w:rsidR="00C43D7D" w:rsidRPr="00C43D7D" w:rsidRDefault="00C43D7D" w:rsidP="00346084">
      <w:pPr>
        <w:suppressAutoHyphens/>
        <w:rPr>
          <w:rFonts w:asciiTheme="minorHAnsi" w:hAnsiTheme="minorHAnsi" w:cstheme="minorHAnsi"/>
          <w:b/>
          <w:bCs/>
          <w:color w:val="000000" w:themeColor="text1"/>
        </w:rPr>
      </w:pPr>
    </w:p>
    <w:p w14:paraId="4A4B52EE" w14:textId="77777777" w:rsidR="00F97A22" w:rsidRPr="000D6D75" w:rsidRDefault="00F97A22">
      <w:pPr>
        <w:suppressAutoHyphens/>
        <w:rPr>
          <w:rFonts w:asciiTheme="minorHAnsi" w:hAnsiTheme="minorHAnsi" w:cstheme="minorHAnsi"/>
          <w:color w:val="000000" w:themeColor="text1"/>
        </w:rPr>
      </w:pPr>
    </w:p>
    <w:p w14:paraId="006A8B95" w14:textId="312CA810" w:rsidR="002E4656" w:rsidRPr="00CF6B91" w:rsidRDefault="005260AA" w:rsidP="0020323D">
      <w:pPr>
        <w:pStyle w:val="Heading2"/>
        <w:rPr>
          <w:lang w:eastAsia="en-AU" w:bidi="ar-SA"/>
        </w:rPr>
      </w:pPr>
      <w:r>
        <w:rPr>
          <w:lang w:eastAsia="en-AU" w:bidi="ar-SA"/>
        </w:rPr>
        <w:t xml:space="preserve">Definition of </w:t>
      </w:r>
      <w:r w:rsidR="002E4656" w:rsidRPr="00CF6B91">
        <w:rPr>
          <w:lang w:eastAsia="en-AU" w:bidi="ar-SA"/>
        </w:rPr>
        <w:t xml:space="preserve">Evaluation </w:t>
      </w:r>
      <w:r>
        <w:rPr>
          <w:lang w:bidi="ar-SA"/>
        </w:rPr>
        <w:t>R</w:t>
      </w:r>
      <w:r w:rsidR="002E4656" w:rsidRPr="0020323D">
        <w:rPr>
          <w:lang w:bidi="ar-SA"/>
        </w:rPr>
        <w:t>eport</w:t>
      </w:r>
    </w:p>
    <w:p w14:paraId="09255F04" w14:textId="77777777" w:rsidR="002E4656" w:rsidRPr="00CF6B91" w:rsidRDefault="002E4656" w:rsidP="002E4656">
      <w:pPr>
        <w:rPr>
          <w:rFonts w:ascii="Arial" w:eastAsia="Times New Roman" w:hAnsi="Arial" w:cs="Arial"/>
          <w:noProof w:val="0"/>
          <w:color w:val="000000" w:themeColor="text1"/>
          <w:lang w:eastAsia="en-AU" w:bidi="ar-SA"/>
        </w:rPr>
      </w:pPr>
    </w:p>
    <w:p w14:paraId="44ACE4B6" w14:textId="484E61F6" w:rsidR="002E4656" w:rsidRPr="00CF6B91" w:rsidRDefault="005260AA" w:rsidP="002E4656">
      <w:pPr>
        <w:rPr>
          <w:rFonts w:ascii="Arial" w:eastAsia="Times New Roman" w:hAnsi="Arial" w:cs="Arial"/>
          <w:noProof w:val="0"/>
          <w:color w:val="000000" w:themeColor="text1"/>
          <w:lang w:eastAsia="en-AU" w:bidi="ar-SA"/>
        </w:rPr>
      </w:pPr>
      <w:hyperlink r:id="rId5" w:history="1">
        <w:r w:rsidRPr="00071C19">
          <w:rPr>
            <w:rStyle w:val="Hyperlink"/>
            <w:rFonts w:ascii="Arial" w:eastAsia="Times New Roman" w:hAnsi="Arial" w:cs="Arial"/>
            <w:noProof w:val="0"/>
            <w:lang w:eastAsia="en-AU" w:bidi="ar-SA"/>
          </w:rPr>
          <w:t>https://www.evalcommunity.com/career-center/evaluation-reports/</w:t>
        </w:r>
      </w:hyperlink>
      <w:r>
        <w:rPr>
          <w:rFonts w:ascii="Arial" w:eastAsia="Times New Roman" w:hAnsi="Arial" w:cs="Arial"/>
          <w:noProof w:val="0"/>
          <w:color w:val="000000" w:themeColor="text1"/>
          <w:lang w:eastAsia="en-AU" w:bidi="ar-SA"/>
        </w:rPr>
        <w:t xml:space="preserve"> </w:t>
      </w:r>
    </w:p>
    <w:p w14:paraId="37CF069D" w14:textId="77777777" w:rsidR="002E4656" w:rsidRPr="00CF6B91" w:rsidRDefault="002E4656" w:rsidP="002E4656">
      <w:pPr>
        <w:rPr>
          <w:rFonts w:ascii="Arial" w:eastAsia="Times New Roman" w:hAnsi="Arial" w:cs="Arial"/>
          <w:noProof w:val="0"/>
          <w:color w:val="000000" w:themeColor="text1"/>
          <w:lang w:eastAsia="en-AU" w:bidi="ar-SA"/>
        </w:rPr>
      </w:pPr>
    </w:p>
    <w:p w14:paraId="1C3D8F7A"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xml:space="preserve">An evaluation report is a document that summarises the findings, conclusions, and recommendations of a systematic and objective analysis of a project, program, or policy. </w:t>
      </w:r>
    </w:p>
    <w:p w14:paraId="00B5F804" w14:textId="77777777" w:rsidR="002E4656" w:rsidRPr="00CF6B91" w:rsidRDefault="002E4656" w:rsidP="002E4656">
      <w:pPr>
        <w:rPr>
          <w:rFonts w:ascii="Arial" w:eastAsia="Times New Roman" w:hAnsi="Arial" w:cs="Arial"/>
          <w:noProof w:val="0"/>
          <w:color w:val="000000" w:themeColor="text1"/>
          <w:lang w:eastAsia="en-AU" w:bidi="ar-SA"/>
        </w:rPr>
      </w:pPr>
    </w:p>
    <w:p w14:paraId="5FF869DF"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Its purpose is to describe:</w:t>
      </w:r>
    </w:p>
    <w:p w14:paraId="58028799"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objective</w:t>
      </w:r>
    </w:p>
    <w:p w14:paraId="7418D9FC"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scope</w:t>
      </w:r>
    </w:p>
    <w:p w14:paraId="786F9DD7"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xml:space="preserve">- methodology </w:t>
      </w:r>
    </w:p>
    <w:p w14:paraId="6D0746B3" w14:textId="77777777" w:rsidR="002E4656" w:rsidRPr="00CF6B91" w:rsidRDefault="002E4656" w:rsidP="002E4656">
      <w:pPr>
        <w:rPr>
          <w:rFonts w:ascii="Arial" w:eastAsia="Times New Roman" w:hAnsi="Arial" w:cs="Arial"/>
          <w:noProof w:val="0"/>
          <w:color w:val="000000" w:themeColor="text1"/>
          <w:lang w:eastAsia="en-AU" w:bidi="ar-SA"/>
        </w:rPr>
      </w:pPr>
    </w:p>
    <w:p w14:paraId="10517D6B" w14:textId="4B303C22"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The evaluation presents the analysis of the results to offer recommendations for improvement.</w:t>
      </w:r>
    </w:p>
    <w:p w14:paraId="06341282" w14:textId="77777777" w:rsidR="002E4656" w:rsidRPr="00CF6B91" w:rsidRDefault="002E4656" w:rsidP="002E4656">
      <w:pPr>
        <w:rPr>
          <w:rFonts w:ascii="Arial" w:eastAsia="Times New Roman" w:hAnsi="Arial" w:cs="Arial"/>
          <w:noProof w:val="0"/>
          <w:color w:val="000000" w:themeColor="text1"/>
          <w:lang w:eastAsia="en-AU" w:bidi="ar-SA"/>
        </w:rPr>
      </w:pPr>
    </w:p>
    <w:p w14:paraId="7A6B67F9" w14:textId="2805B601" w:rsidR="002E4656" w:rsidRPr="00CF6B91" w:rsidRDefault="002E4656" w:rsidP="0020323D">
      <w:pPr>
        <w:pStyle w:val="Heading2"/>
        <w:rPr>
          <w:lang w:eastAsia="en-AU" w:bidi="ar-SA"/>
        </w:rPr>
      </w:pPr>
      <w:r w:rsidRPr="00CF6B91">
        <w:rPr>
          <w:lang w:eastAsia="en-AU" w:bidi="ar-SA"/>
        </w:rPr>
        <w:t xml:space="preserve">Function of an </w:t>
      </w:r>
      <w:r w:rsidRPr="0020323D">
        <w:rPr>
          <w:lang w:bidi="ar-SA"/>
        </w:rPr>
        <w:t>evaluation</w:t>
      </w:r>
      <w:r w:rsidRPr="00CF6B91">
        <w:rPr>
          <w:lang w:eastAsia="en-AU" w:bidi="ar-SA"/>
        </w:rPr>
        <w:t xml:space="preserve"> report</w:t>
      </w:r>
    </w:p>
    <w:p w14:paraId="4AA4A2B1" w14:textId="77777777" w:rsidR="002E4656" w:rsidRPr="00CF6B91" w:rsidRDefault="002E4656" w:rsidP="002E4656">
      <w:pPr>
        <w:rPr>
          <w:rFonts w:ascii="Arial" w:eastAsia="Times New Roman" w:hAnsi="Arial" w:cs="Arial"/>
          <w:noProof w:val="0"/>
          <w:color w:val="000000" w:themeColor="text1"/>
          <w:lang w:eastAsia="en-AU" w:bidi="ar-SA"/>
        </w:rPr>
      </w:pPr>
    </w:p>
    <w:p w14:paraId="2FD03407"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The function of an evaluation report is to provide a comprehensive and objective assessment of a project's performance, highlighting both its achievements and challenges. This document is key to decision-making, as it provides data on strengths and weaknesses and includes recommendations for improvement.</w:t>
      </w:r>
    </w:p>
    <w:p w14:paraId="6168C24A" w14:textId="77777777" w:rsidR="002E4656" w:rsidRPr="00CF6B91" w:rsidRDefault="002E4656" w:rsidP="002E4656">
      <w:pPr>
        <w:rPr>
          <w:rFonts w:ascii="Arial" w:eastAsia="Times New Roman" w:hAnsi="Arial" w:cs="Arial"/>
          <w:noProof w:val="0"/>
          <w:color w:val="000000" w:themeColor="text1"/>
          <w:lang w:eastAsia="en-AU" w:bidi="ar-SA"/>
        </w:rPr>
      </w:pPr>
    </w:p>
    <w:p w14:paraId="0AF2713F" w14:textId="77777777" w:rsidR="002E4656" w:rsidRPr="00CF6B91" w:rsidRDefault="002E4656" w:rsidP="002E4656">
      <w:pPr>
        <w:rPr>
          <w:rFonts w:ascii="Arial" w:hAnsi="Arial" w:cs="Arial"/>
          <w:color w:val="000000" w:themeColor="text1"/>
          <w:lang w:eastAsia="en-AU" w:bidi="ar-SA"/>
        </w:rPr>
      </w:pPr>
      <w:r w:rsidRPr="00CF6B91">
        <w:rPr>
          <w:rFonts w:ascii="Arial" w:hAnsi="Arial" w:cs="Arial"/>
          <w:color w:val="000000" w:themeColor="text1"/>
          <w:lang w:eastAsia="en-AU" w:bidi="ar-SA"/>
        </w:rPr>
        <w:t>The main objectives of these reports are:</w:t>
      </w:r>
    </w:p>
    <w:p w14:paraId="11EF21A1" w14:textId="77777777" w:rsidR="002E4656" w:rsidRPr="00CF6B91" w:rsidRDefault="002E4656" w:rsidP="002E4656">
      <w:pPr>
        <w:rPr>
          <w:rFonts w:ascii="Arial" w:eastAsia="Times New Roman" w:hAnsi="Arial" w:cs="Arial"/>
          <w:noProof w:val="0"/>
          <w:color w:val="000000" w:themeColor="text1"/>
          <w:lang w:eastAsia="en-AU" w:bidi="ar-SA"/>
        </w:rPr>
      </w:pPr>
    </w:p>
    <w:p w14:paraId="1DE9E99E"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1. Accountability: Evaluate whether the objectives and expected results were met.</w:t>
      </w:r>
    </w:p>
    <w:p w14:paraId="31B41ADB"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lastRenderedPageBreak/>
        <w:t>2. Learning: Identify key lessons, successful practices, and challenges to apply to future projects.</w:t>
      </w:r>
    </w:p>
    <w:p w14:paraId="65770FD5" w14:textId="77777777"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3. Improvement: Offer concrete and actionable recommendations to optimise the program or project.</w:t>
      </w:r>
    </w:p>
    <w:p w14:paraId="560D0248" w14:textId="23A75B23" w:rsidR="002E4656" w:rsidRPr="00CF6B91" w:rsidRDefault="002E4656" w:rsidP="002E4656">
      <w:pPr>
        <w:rPr>
          <w:rFonts w:ascii="Arial" w:eastAsia="Times New Roman" w:hAnsi="Arial" w:cs="Arial"/>
          <w:noProof w:val="0"/>
          <w:color w:val="000000" w:themeColor="text1"/>
          <w:lang w:eastAsia="en-AU" w:bidi="ar-SA"/>
        </w:rPr>
      </w:pPr>
      <w:r w:rsidRPr="00CF6B91">
        <w:rPr>
          <w:rFonts w:ascii="Arial" w:eastAsia="Times New Roman" w:hAnsi="Arial" w:cs="Arial"/>
          <w:noProof w:val="0"/>
          <w:color w:val="000000" w:themeColor="text1"/>
          <w:lang w:eastAsia="en-AU" w:bidi="ar-SA"/>
        </w:rPr>
        <w:t xml:space="preserve">4. Communication: Share findings transparently with all stakeholders, from staff and funders to the </w:t>
      </w:r>
      <w:proofErr w:type="gramStart"/>
      <w:r w:rsidRPr="00CF6B91">
        <w:rPr>
          <w:rFonts w:ascii="Arial" w:eastAsia="Times New Roman" w:hAnsi="Arial" w:cs="Arial"/>
          <w:noProof w:val="0"/>
          <w:color w:val="000000" w:themeColor="text1"/>
          <w:lang w:eastAsia="en-AU" w:bidi="ar-SA"/>
        </w:rPr>
        <w:t>general public</w:t>
      </w:r>
      <w:proofErr w:type="gramEnd"/>
      <w:r w:rsidRPr="00CF6B91">
        <w:rPr>
          <w:rFonts w:ascii="Arial" w:eastAsia="Times New Roman" w:hAnsi="Arial" w:cs="Arial"/>
          <w:noProof w:val="0"/>
          <w:color w:val="000000" w:themeColor="text1"/>
          <w:lang w:eastAsia="en-AU" w:bidi="ar-SA"/>
        </w:rPr>
        <w:t>.</w:t>
      </w:r>
    </w:p>
    <w:p w14:paraId="3E2C520D" w14:textId="77777777" w:rsidR="00BA1098" w:rsidRPr="00CF6B91" w:rsidRDefault="00BA1098" w:rsidP="00A628CF">
      <w:pPr>
        <w:rPr>
          <w:rFonts w:ascii="Arial" w:hAnsi="Arial" w:cs="Arial"/>
          <w:color w:val="000000" w:themeColor="text1"/>
        </w:rPr>
      </w:pPr>
    </w:p>
    <w:p w14:paraId="406D13F0" w14:textId="57B52BE7" w:rsidR="00AF0D01" w:rsidRPr="00CF6B91" w:rsidRDefault="00AF0D01" w:rsidP="0020323D">
      <w:pPr>
        <w:pStyle w:val="Heading2"/>
      </w:pPr>
      <w:r w:rsidRPr="00CF6B91">
        <w:t>Features of an evaluation report</w:t>
      </w:r>
    </w:p>
    <w:p w14:paraId="3BE18D33" w14:textId="77777777" w:rsidR="00AF0D01" w:rsidRPr="00CF6B91" w:rsidRDefault="00AF0D01" w:rsidP="00A628CF">
      <w:pPr>
        <w:rPr>
          <w:rFonts w:ascii="Arial" w:hAnsi="Arial" w:cs="Arial"/>
          <w:color w:val="000000" w:themeColor="text1"/>
        </w:rPr>
      </w:pPr>
    </w:p>
    <w:p w14:paraId="6D45827F" w14:textId="77777777" w:rsidR="00AF0D01" w:rsidRPr="00CF6B91" w:rsidRDefault="00AF0D01" w:rsidP="00AF0D01">
      <w:pPr>
        <w:rPr>
          <w:rFonts w:ascii="Arial" w:hAnsi="Arial" w:cs="Arial"/>
          <w:color w:val="000000" w:themeColor="text1"/>
        </w:rPr>
      </w:pPr>
      <w:r w:rsidRPr="00CF6B91">
        <w:rPr>
          <w:rFonts w:ascii="Arial" w:hAnsi="Arial" w:cs="Arial"/>
          <w:color w:val="000000" w:themeColor="text1"/>
        </w:rPr>
        <w:t>An evaluation report could include these features:</w:t>
      </w:r>
    </w:p>
    <w:p w14:paraId="1EAC2F62" w14:textId="77777777" w:rsidR="00AF0D01" w:rsidRPr="00CF6B91" w:rsidRDefault="00AF0D01" w:rsidP="00AF0D01">
      <w:pPr>
        <w:rPr>
          <w:rFonts w:ascii="Arial" w:hAnsi="Arial" w:cs="Arial"/>
          <w:color w:val="000000" w:themeColor="text1"/>
        </w:rPr>
      </w:pPr>
    </w:p>
    <w:p w14:paraId="4EA29625" w14:textId="7180C1A4"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Executive Summary: A brief overview of the main findings, conclusions, and recommendations.</w:t>
      </w:r>
    </w:p>
    <w:p w14:paraId="4E66F796" w14:textId="4F05BBB7"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Introduction: Explains the context, scope, purpose, and methodology of the evaluation.</w:t>
      </w:r>
    </w:p>
    <w:p w14:paraId="5F350FC7" w14:textId="10C9A096"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Background: Provides a summary of the program being assessed, including its goals and activities.</w:t>
      </w:r>
    </w:p>
    <w:p w14:paraId="74F2E46D" w14:textId="0C27E0D1"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Legislation</w:t>
      </w:r>
    </w:p>
    <w:p w14:paraId="1F9525EF" w14:textId="32D73A15"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Australian economic conditions</w:t>
      </w:r>
    </w:p>
    <w:p w14:paraId="662F7EEB" w14:textId="14DCD676" w:rsidR="00AF0D01" w:rsidRPr="00CF6B91" w:rsidRDefault="00AF0D01" w:rsidP="00AF0D01">
      <w:pPr>
        <w:pStyle w:val="ListParagraph"/>
        <w:numPr>
          <w:ilvl w:val="1"/>
          <w:numId w:val="12"/>
        </w:numPr>
        <w:rPr>
          <w:rFonts w:ascii="Arial" w:hAnsi="Arial" w:cs="Arial"/>
          <w:color w:val="000000" w:themeColor="text1"/>
        </w:rPr>
      </w:pPr>
      <w:r w:rsidRPr="00CF6B91">
        <w:rPr>
          <w:rFonts w:ascii="Arial" w:hAnsi="Arial" w:cs="Arial"/>
          <w:color w:val="000000" w:themeColor="text1"/>
        </w:rPr>
        <w:t>Political influences</w:t>
      </w:r>
    </w:p>
    <w:p w14:paraId="11AB40C7" w14:textId="7C25F369"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Evaluation Questions: Lists the questions that guided the data collection.</w:t>
      </w:r>
    </w:p>
    <w:p w14:paraId="71E0D2F4" w14:textId="55F7DBDD"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Methodology: Describes the data collection methods, sampling strategy, and analysis techniques used.</w:t>
      </w:r>
    </w:p>
    <w:p w14:paraId="5909D17A" w14:textId="71067F2C"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Findings: Presents the results of the evaluation, organised by the evaluation questions.</w:t>
      </w:r>
    </w:p>
    <w:p w14:paraId="68B61274" w14:textId="3748226F"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Conclusions: Summarises the main findings and assesses the program's effectiveness, efficiency, and sustainability.</w:t>
      </w:r>
    </w:p>
    <w:p w14:paraId="2BEEE3E1" w14:textId="7D907D9E"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Recommendations: Offers specific suggestions for improving the program or project.</w:t>
      </w:r>
    </w:p>
    <w:p w14:paraId="06A8EC42" w14:textId="79DF3C01"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Lessons Learned: Discuss key takeaways that can be applied to future projects.</w:t>
      </w:r>
    </w:p>
    <w:p w14:paraId="197C5853" w14:textId="4EB18ECA"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Limitations: Acknowledge any challenges or constraints faced during the evaluation.</w:t>
      </w:r>
    </w:p>
    <w:p w14:paraId="52553268" w14:textId="1867B7B5"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References: Lists all sources cited in the report.</w:t>
      </w:r>
    </w:p>
    <w:p w14:paraId="360FFE3D" w14:textId="3892868E" w:rsidR="00AF0D01" w:rsidRPr="00CF6B91" w:rsidRDefault="00AF0D01" w:rsidP="00AF0D01">
      <w:pPr>
        <w:pStyle w:val="ListParagraph"/>
        <w:numPr>
          <w:ilvl w:val="0"/>
          <w:numId w:val="12"/>
        </w:numPr>
        <w:rPr>
          <w:rFonts w:ascii="Arial" w:hAnsi="Arial" w:cs="Arial"/>
          <w:color w:val="000000" w:themeColor="text1"/>
        </w:rPr>
      </w:pPr>
      <w:r w:rsidRPr="00CF6B91">
        <w:rPr>
          <w:rFonts w:ascii="Arial" w:hAnsi="Arial" w:cs="Arial"/>
          <w:color w:val="000000" w:themeColor="text1"/>
        </w:rPr>
        <w:t>Appendices: Includes supplementary information like detailed data tables or graphs.</w:t>
      </w:r>
    </w:p>
    <w:p w14:paraId="4235557B" w14:textId="77777777" w:rsidR="00F96E5D" w:rsidRPr="00CF6B91" w:rsidRDefault="00F96E5D" w:rsidP="00F96E5D">
      <w:pPr>
        <w:rPr>
          <w:rFonts w:ascii="Arial" w:hAnsi="Arial" w:cs="Arial"/>
          <w:color w:val="000000" w:themeColor="text1"/>
        </w:rPr>
      </w:pPr>
    </w:p>
    <w:p w14:paraId="169E1FF0" w14:textId="77777777" w:rsidR="00F96E5D" w:rsidRPr="00CF6B91" w:rsidRDefault="00F96E5D" w:rsidP="00F96E5D">
      <w:pPr>
        <w:rPr>
          <w:rFonts w:ascii="Arial" w:hAnsi="Arial" w:cs="Arial"/>
          <w:color w:val="000000" w:themeColor="text1"/>
        </w:rPr>
      </w:pPr>
    </w:p>
    <w:p w14:paraId="55362323" w14:textId="14A2CF0C" w:rsidR="00F96E5D" w:rsidRPr="00CF6B91" w:rsidRDefault="00F96E5D" w:rsidP="0020323D">
      <w:pPr>
        <w:pStyle w:val="Heading2"/>
      </w:pPr>
      <w:r w:rsidRPr="00CF6B91">
        <w:t>Difference between a summary and comprehensive report</w:t>
      </w:r>
    </w:p>
    <w:p w14:paraId="3B22BA93" w14:textId="77777777" w:rsidR="00CF6B91" w:rsidRPr="00CF6B91" w:rsidRDefault="00CF6B91" w:rsidP="00F96E5D">
      <w:pPr>
        <w:rPr>
          <w:rFonts w:ascii="Arial" w:hAnsi="Arial" w:cs="Arial"/>
          <w:color w:val="000000" w:themeColor="text1"/>
        </w:rPr>
      </w:pPr>
    </w:p>
    <w:p w14:paraId="7CD1D6C7" w14:textId="60A1882F" w:rsidR="00CF6B91" w:rsidRPr="00CF6B91" w:rsidRDefault="00CF6B91" w:rsidP="00F96E5D">
      <w:pPr>
        <w:rPr>
          <w:rFonts w:ascii="Arial" w:hAnsi="Arial" w:cs="Arial"/>
          <w:color w:val="000000" w:themeColor="text1"/>
        </w:rPr>
      </w:pPr>
      <w:r w:rsidRPr="00CF6B91">
        <w:rPr>
          <w:rFonts w:ascii="Arial" w:hAnsi="Arial" w:cs="Arial"/>
          <w:color w:val="000000" w:themeColor="text1"/>
        </w:rPr>
        <w:t xml:space="preserve">The key difference lies in their </w:t>
      </w:r>
      <w:r w:rsidRPr="00CF6B91">
        <w:rPr>
          <w:rFonts w:ascii="Arial" w:hAnsi="Arial" w:cs="Arial"/>
          <w:b/>
          <w:bCs/>
          <w:color w:val="000000" w:themeColor="text1"/>
        </w:rPr>
        <w:t>level of detail, length, and scope</w:t>
      </w:r>
      <w:r w:rsidRPr="00CF6B91">
        <w:rPr>
          <w:rFonts w:ascii="Arial" w:hAnsi="Arial" w:cs="Arial"/>
          <w:color w:val="000000" w:themeColor="text1"/>
        </w:rPr>
        <w:t>.</w:t>
      </w:r>
    </w:p>
    <w:p w14:paraId="710EC997" w14:textId="77777777" w:rsidR="00F96E5D" w:rsidRPr="00CF6B91" w:rsidRDefault="00F96E5D" w:rsidP="00F96E5D">
      <w:pPr>
        <w:rPr>
          <w:rFonts w:ascii="Arial" w:hAnsi="Arial" w:cs="Arial"/>
          <w:color w:val="000000" w:themeColor="text1"/>
        </w:rPr>
      </w:pPr>
    </w:p>
    <w:tbl>
      <w:tblPr>
        <w:tblW w:w="10845" w:type="dxa"/>
        <w:tblCellMar>
          <w:left w:w="0" w:type="dxa"/>
          <w:right w:w="0" w:type="dxa"/>
        </w:tblCellMar>
        <w:tblLook w:val="04A0" w:firstRow="1" w:lastRow="0" w:firstColumn="1" w:lastColumn="0" w:noHBand="0" w:noVBand="1"/>
      </w:tblPr>
      <w:tblGrid>
        <w:gridCol w:w="1655"/>
        <w:gridCol w:w="4330"/>
        <w:gridCol w:w="4860"/>
      </w:tblGrid>
      <w:tr w:rsidR="005D7658" w:rsidRPr="00CF6B91" w14:paraId="6A4C5C72" w14:textId="77777777" w:rsidTr="005D7658">
        <w:trPr>
          <w:trHeight w:val="315"/>
        </w:trPr>
        <w:tc>
          <w:tcPr>
            <w:tcW w:w="1655" w:type="dxa"/>
            <w:tcBorders>
              <w:top w:val="single" w:sz="6" w:space="0" w:color="000000"/>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AC22B04"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Feature</w:t>
            </w:r>
          </w:p>
        </w:tc>
        <w:tc>
          <w:tcPr>
            <w:tcW w:w="4330" w:type="dxa"/>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5F92F4A"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Summary Report</w:t>
            </w:r>
          </w:p>
        </w:tc>
        <w:tc>
          <w:tcPr>
            <w:tcW w:w="4860" w:type="dxa"/>
            <w:tcBorders>
              <w:top w:val="single" w:sz="6" w:space="0" w:color="000000"/>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39806DF" w14:textId="2EE66909"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Comprehensive Report</w:t>
            </w:r>
          </w:p>
        </w:tc>
      </w:tr>
      <w:tr w:rsidR="005D7658" w:rsidRPr="00CF6B91" w14:paraId="25583D59"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E836D8A"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Purpose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0DFEB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To provide a quick, high-level overview.</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21D3B" w14:textId="4F1988C7" w:rsidR="005D7658" w:rsidRPr="00CF6B91" w:rsidRDefault="005D7658" w:rsidP="00CF6B91">
            <w:pPr>
              <w:rPr>
                <w:rFonts w:ascii="Arial" w:hAnsi="Arial" w:cs="Arial"/>
                <w:color w:val="000000" w:themeColor="text1"/>
              </w:rPr>
            </w:pPr>
            <w:r w:rsidRPr="00CF6B91">
              <w:rPr>
                <w:rFonts w:ascii="Arial" w:hAnsi="Arial" w:cs="Arial"/>
                <w:color w:val="000000" w:themeColor="text1"/>
              </w:rPr>
              <w:t>To offer a detailed, in-depth analysis.</w:t>
            </w:r>
          </w:p>
        </w:tc>
      </w:tr>
      <w:tr w:rsidR="005D7658" w:rsidRPr="00CF6B91" w14:paraId="285089FA"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45363BCD"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Audience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A0F15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Executives, managers, and time-poor decision-makers.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57E748" w14:textId="3A017FDF" w:rsidR="005D7658" w:rsidRPr="00CF6B91" w:rsidRDefault="005D7658" w:rsidP="00CF6B91">
            <w:pPr>
              <w:rPr>
                <w:rFonts w:ascii="Arial" w:hAnsi="Arial" w:cs="Arial"/>
                <w:color w:val="000000" w:themeColor="text1"/>
              </w:rPr>
            </w:pPr>
            <w:r w:rsidRPr="00CF6B91">
              <w:rPr>
                <w:rFonts w:ascii="Arial" w:hAnsi="Arial" w:cs="Arial"/>
                <w:color w:val="000000" w:themeColor="text1"/>
              </w:rPr>
              <w:t>Technical staff, researchers, and stakeholders who need all the nitty-gritty details.</w:t>
            </w:r>
          </w:p>
        </w:tc>
      </w:tr>
      <w:tr w:rsidR="005D7658" w:rsidRPr="00CF6B91" w14:paraId="7EE94828"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4CA06F9"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Length</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5F6A"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Typically 3 to 7 pages.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AB4100" w14:textId="3EEFF448" w:rsidR="005D7658" w:rsidRPr="00CF6B91" w:rsidRDefault="005D7658" w:rsidP="00CF6B91">
            <w:pPr>
              <w:rPr>
                <w:rFonts w:ascii="Arial" w:hAnsi="Arial" w:cs="Arial"/>
                <w:color w:val="000000" w:themeColor="text1"/>
              </w:rPr>
            </w:pPr>
            <w:r w:rsidRPr="00CF6B91">
              <w:rPr>
                <w:rFonts w:ascii="Arial" w:hAnsi="Arial" w:cs="Arial"/>
                <w:color w:val="000000" w:themeColor="text1"/>
              </w:rPr>
              <w:t>Generally 15 to 50+ pages.</w:t>
            </w:r>
          </w:p>
        </w:tc>
      </w:tr>
      <w:tr w:rsidR="005D7658" w:rsidRPr="00CF6B91" w14:paraId="3723B2C6"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56821859"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Level of Detail</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ECFBCD"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Low. Focuses on the most critical points.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84CFC6" w14:textId="14407F65" w:rsidR="005D7658" w:rsidRPr="00CF6B91" w:rsidRDefault="005D7658" w:rsidP="00CF6B91">
            <w:pPr>
              <w:rPr>
                <w:rFonts w:ascii="Arial" w:hAnsi="Arial" w:cs="Arial"/>
                <w:color w:val="000000" w:themeColor="text1"/>
              </w:rPr>
            </w:pPr>
            <w:r w:rsidRPr="00CF6B91">
              <w:rPr>
                <w:rFonts w:ascii="Arial" w:hAnsi="Arial" w:cs="Arial"/>
                <w:color w:val="000000" w:themeColor="text1"/>
              </w:rPr>
              <w:t>High. Includes detailed data, methodology, and thorough analysis.</w:t>
            </w:r>
          </w:p>
        </w:tc>
      </w:tr>
      <w:tr w:rsidR="005D7658" w:rsidRPr="00CF6B91" w14:paraId="64B4FCE1"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F8E3995"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Key Content</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43F94C"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Executive summary, key findings, core conclusions, and main recommendations.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FAF4D" w14:textId="5DEA1ACE" w:rsidR="005D7658" w:rsidRPr="00CF6B91" w:rsidRDefault="005D7658" w:rsidP="00CF6B91">
            <w:pPr>
              <w:rPr>
                <w:rFonts w:ascii="Arial" w:hAnsi="Arial" w:cs="Arial"/>
                <w:color w:val="000000" w:themeColor="text1"/>
              </w:rPr>
            </w:pPr>
            <w:r w:rsidRPr="00CF6B91">
              <w:rPr>
                <w:rFonts w:ascii="Arial" w:hAnsi="Arial" w:cs="Arial"/>
                <w:color w:val="000000" w:themeColor="text1"/>
              </w:rPr>
              <w:t>All sections of a formal report: detailed introduction, methodology, full findings, conclusions, recommendations, lessons learned, limitations, and appendices.</w:t>
            </w:r>
          </w:p>
        </w:tc>
      </w:tr>
      <w:tr w:rsidR="005D7658" w:rsidRPr="00CF6B91" w14:paraId="0243A367"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E5630C3"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Primary Use</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96755"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For swift, efficient decision-making.</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1DEE16" w14:textId="72331FAB" w:rsidR="005D7658" w:rsidRPr="00CF6B91" w:rsidRDefault="005D7658" w:rsidP="00CF6B91">
            <w:pPr>
              <w:rPr>
                <w:rFonts w:ascii="Arial" w:hAnsi="Arial" w:cs="Arial"/>
                <w:color w:val="000000" w:themeColor="text1"/>
              </w:rPr>
            </w:pPr>
            <w:r w:rsidRPr="00CF6B91">
              <w:rPr>
                <w:rFonts w:ascii="Arial" w:hAnsi="Arial" w:cs="Arial"/>
                <w:color w:val="000000" w:themeColor="text1"/>
              </w:rPr>
              <w:t>For transparency, accountability, and a deep understanding of the project.</w:t>
            </w:r>
          </w:p>
        </w:tc>
      </w:tr>
      <w:tr w:rsidR="005D7658" w:rsidRPr="00CF6B91" w14:paraId="2B438B1B" w14:textId="77777777" w:rsidTr="005D7658">
        <w:trPr>
          <w:trHeight w:val="315"/>
        </w:trPr>
        <w:tc>
          <w:tcPr>
            <w:tcW w:w="1655" w:type="dxa"/>
            <w:tcBorders>
              <w:top w:val="single" w:sz="6" w:space="0" w:color="CCCCCC"/>
              <w:left w:val="single" w:sz="6" w:space="0" w:color="000000"/>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77E05EFC" w14:textId="77777777" w:rsidR="005D7658" w:rsidRPr="00CF6B91" w:rsidRDefault="005D7658" w:rsidP="00CF6B91">
            <w:pPr>
              <w:rPr>
                <w:rFonts w:ascii="Arial" w:hAnsi="Arial" w:cs="Arial"/>
                <w:b/>
                <w:bCs/>
                <w:color w:val="000000" w:themeColor="text1"/>
              </w:rPr>
            </w:pPr>
            <w:r w:rsidRPr="00CF6B91">
              <w:rPr>
                <w:rFonts w:ascii="Arial" w:hAnsi="Arial" w:cs="Arial"/>
                <w:b/>
                <w:bCs/>
                <w:color w:val="000000" w:themeColor="text1"/>
              </w:rPr>
              <w:t>Format</w:t>
            </w:r>
          </w:p>
        </w:tc>
        <w:tc>
          <w:tcPr>
            <w:tcW w:w="4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A8EF12" w14:textId="77777777" w:rsidR="005D7658" w:rsidRPr="00CF6B91" w:rsidRDefault="005D7658" w:rsidP="00CF6B91">
            <w:pPr>
              <w:rPr>
                <w:rFonts w:ascii="Arial" w:hAnsi="Arial" w:cs="Arial"/>
                <w:color w:val="000000" w:themeColor="text1"/>
              </w:rPr>
            </w:pPr>
            <w:r w:rsidRPr="00CF6B91">
              <w:rPr>
                <w:rFonts w:ascii="Arial" w:hAnsi="Arial" w:cs="Arial"/>
                <w:color w:val="000000" w:themeColor="text1"/>
              </w:rPr>
              <w:t>Concise, using bullet points or short paragraphs.</w:t>
            </w:r>
          </w:p>
        </w:tc>
        <w:tc>
          <w:tcPr>
            <w:tcW w:w="48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E86A51" w14:textId="3B32CC8F" w:rsidR="005D7658" w:rsidRPr="00CF6B91" w:rsidRDefault="005D7658" w:rsidP="00CF6B91">
            <w:pPr>
              <w:rPr>
                <w:rFonts w:ascii="Arial" w:hAnsi="Arial" w:cs="Arial"/>
                <w:color w:val="000000" w:themeColor="text1"/>
              </w:rPr>
            </w:pPr>
            <w:r w:rsidRPr="00CF6B91">
              <w:rPr>
                <w:rFonts w:ascii="Arial" w:hAnsi="Arial" w:cs="Arial"/>
                <w:color w:val="000000" w:themeColor="text1"/>
              </w:rPr>
              <w:t>Structured with multiple sections and subheadings, often with charts and graphs.</w:t>
            </w:r>
          </w:p>
        </w:tc>
      </w:tr>
    </w:tbl>
    <w:p w14:paraId="627DB218" w14:textId="77777777" w:rsidR="00F96E5D" w:rsidRPr="00CF6B91" w:rsidRDefault="00F96E5D" w:rsidP="00F96E5D">
      <w:pPr>
        <w:rPr>
          <w:rFonts w:ascii="Arial" w:hAnsi="Arial" w:cs="Arial"/>
          <w:color w:val="000000" w:themeColor="text1"/>
        </w:rPr>
      </w:pPr>
    </w:p>
    <w:sectPr w:rsidR="00F96E5D" w:rsidRPr="00CF6B91" w:rsidSect="00E7743A">
      <w:pgSz w:w="11907" w:h="28350"/>
      <w:pgMar w:top="567" w:right="567" w:bottom="567" w:left="567"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96B3B"/>
    <w:multiLevelType w:val="multilevel"/>
    <w:tmpl w:val="1140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87060"/>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25348"/>
    <w:multiLevelType w:val="multilevel"/>
    <w:tmpl w:val="91D8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B2997"/>
    <w:multiLevelType w:val="multilevel"/>
    <w:tmpl w:val="7BA8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027FC"/>
    <w:multiLevelType w:val="multilevel"/>
    <w:tmpl w:val="690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32DAB"/>
    <w:multiLevelType w:val="multilevel"/>
    <w:tmpl w:val="84F2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90DA6"/>
    <w:multiLevelType w:val="multilevel"/>
    <w:tmpl w:val="8FB221C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404612"/>
    <w:multiLevelType w:val="multilevel"/>
    <w:tmpl w:val="E7CE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B5907"/>
    <w:multiLevelType w:val="hybridMultilevel"/>
    <w:tmpl w:val="BE80B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313A33"/>
    <w:multiLevelType w:val="multilevel"/>
    <w:tmpl w:val="CA96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413EC"/>
    <w:multiLevelType w:val="multilevel"/>
    <w:tmpl w:val="707A703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Symbol" w:hAnsi="Symbol"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2" w15:restartNumberingAfterBreak="0">
    <w:nsid w:val="265667C7"/>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437697"/>
    <w:multiLevelType w:val="multilevel"/>
    <w:tmpl w:val="B48A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431EB"/>
    <w:multiLevelType w:val="multilevel"/>
    <w:tmpl w:val="9ED2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84B8A"/>
    <w:multiLevelType w:val="multilevel"/>
    <w:tmpl w:val="7EA4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86943"/>
    <w:multiLevelType w:val="multilevel"/>
    <w:tmpl w:val="DB88A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C2258"/>
    <w:multiLevelType w:val="multilevel"/>
    <w:tmpl w:val="8FF2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876BB"/>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9B04E0"/>
    <w:multiLevelType w:val="multilevel"/>
    <w:tmpl w:val="8D30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D7F5E"/>
    <w:multiLevelType w:val="multilevel"/>
    <w:tmpl w:val="2FC6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FA2810"/>
    <w:multiLevelType w:val="multilevel"/>
    <w:tmpl w:val="2E36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923313"/>
    <w:multiLevelType w:val="multilevel"/>
    <w:tmpl w:val="2342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DD0EC5"/>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A34083"/>
    <w:multiLevelType w:val="multilevel"/>
    <w:tmpl w:val="3CEE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C625BA"/>
    <w:multiLevelType w:val="multilevel"/>
    <w:tmpl w:val="32B0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2B5175"/>
    <w:multiLevelType w:val="multilevel"/>
    <w:tmpl w:val="8DE8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AE6267"/>
    <w:multiLevelType w:val="multilevel"/>
    <w:tmpl w:val="915A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113D6E"/>
    <w:multiLevelType w:val="multilevel"/>
    <w:tmpl w:val="6E622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313B22"/>
    <w:multiLevelType w:val="multilevel"/>
    <w:tmpl w:val="78A27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3B483E"/>
    <w:multiLevelType w:val="hybridMultilevel"/>
    <w:tmpl w:val="9E746B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BCC5282"/>
    <w:multiLevelType w:val="hybridMultilevel"/>
    <w:tmpl w:val="2DC2D7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152E53"/>
    <w:multiLevelType w:val="multilevel"/>
    <w:tmpl w:val="A32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5B6E87"/>
    <w:multiLevelType w:val="multilevel"/>
    <w:tmpl w:val="B192BA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A160B1"/>
    <w:multiLevelType w:val="multilevel"/>
    <w:tmpl w:val="6D50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CF3A69"/>
    <w:multiLevelType w:val="multilevel"/>
    <w:tmpl w:val="707A70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2535B7"/>
    <w:multiLevelType w:val="multilevel"/>
    <w:tmpl w:val="17CE88B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9136E3"/>
    <w:multiLevelType w:val="multilevel"/>
    <w:tmpl w:val="C406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961135">
    <w:abstractNumId w:val="7"/>
  </w:num>
  <w:num w:numId="2" w16cid:durableId="1981956934">
    <w:abstractNumId w:val="14"/>
  </w:num>
  <w:num w:numId="3" w16cid:durableId="470169961">
    <w:abstractNumId w:val="17"/>
  </w:num>
  <w:num w:numId="4" w16cid:durableId="1345667571">
    <w:abstractNumId w:val="32"/>
  </w:num>
  <w:num w:numId="5" w16cid:durableId="1636983036">
    <w:abstractNumId w:val="9"/>
  </w:num>
  <w:num w:numId="6" w16cid:durableId="187261224">
    <w:abstractNumId w:val="34"/>
  </w:num>
  <w:num w:numId="7" w16cid:durableId="549414431">
    <w:abstractNumId w:val="30"/>
  </w:num>
  <w:num w:numId="8" w16cid:durableId="44642365">
    <w:abstractNumId w:val="36"/>
  </w:num>
  <w:num w:numId="9" w16cid:durableId="1671173187">
    <w:abstractNumId w:val="35"/>
  </w:num>
  <w:num w:numId="10" w16cid:durableId="2098166034">
    <w:abstractNumId w:val="33"/>
  </w:num>
  <w:num w:numId="11" w16cid:durableId="1628007948">
    <w:abstractNumId w:val="39"/>
  </w:num>
  <w:num w:numId="12" w16cid:durableId="1409184170">
    <w:abstractNumId w:val="6"/>
  </w:num>
  <w:num w:numId="13" w16cid:durableId="1627269353">
    <w:abstractNumId w:val="16"/>
  </w:num>
  <w:num w:numId="14" w16cid:durableId="1378702895">
    <w:abstractNumId w:val="25"/>
  </w:num>
  <w:num w:numId="15" w16cid:durableId="468129301">
    <w:abstractNumId w:val="11"/>
  </w:num>
  <w:num w:numId="16" w16cid:durableId="197202872">
    <w:abstractNumId w:val="29"/>
  </w:num>
  <w:num w:numId="17" w16cid:durableId="1461730207">
    <w:abstractNumId w:val="10"/>
  </w:num>
  <w:num w:numId="18" w16cid:durableId="1453744218">
    <w:abstractNumId w:val="2"/>
  </w:num>
  <w:num w:numId="19" w16cid:durableId="1509247784">
    <w:abstractNumId w:val="13"/>
  </w:num>
  <w:num w:numId="20" w16cid:durableId="196429727">
    <w:abstractNumId w:val="37"/>
  </w:num>
  <w:num w:numId="21" w16cid:durableId="1206985949">
    <w:abstractNumId w:val="27"/>
  </w:num>
  <w:num w:numId="22" w16cid:durableId="652680104">
    <w:abstractNumId w:val="40"/>
  </w:num>
  <w:num w:numId="23" w16cid:durableId="1183931273">
    <w:abstractNumId w:val="24"/>
  </w:num>
  <w:num w:numId="24" w16cid:durableId="765615262">
    <w:abstractNumId w:val="26"/>
  </w:num>
  <w:num w:numId="25" w16cid:durableId="1858807668">
    <w:abstractNumId w:val="28"/>
  </w:num>
  <w:num w:numId="26" w16cid:durableId="1530217904">
    <w:abstractNumId w:val="21"/>
  </w:num>
  <w:num w:numId="27" w16cid:durableId="1692030795">
    <w:abstractNumId w:val="15"/>
  </w:num>
  <w:num w:numId="28" w16cid:durableId="472598034">
    <w:abstractNumId w:val="8"/>
  </w:num>
  <w:num w:numId="29" w16cid:durableId="717515181">
    <w:abstractNumId w:val="23"/>
  </w:num>
  <w:num w:numId="30" w16cid:durableId="840588458">
    <w:abstractNumId w:val="12"/>
  </w:num>
  <w:num w:numId="31" w16cid:durableId="293869639">
    <w:abstractNumId w:val="19"/>
  </w:num>
  <w:num w:numId="32" w16cid:durableId="1724475755">
    <w:abstractNumId w:val="4"/>
  </w:num>
  <w:num w:numId="33" w16cid:durableId="1740204796">
    <w:abstractNumId w:val="0"/>
  </w:num>
  <w:num w:numId="34" w16cid:durableId="1396590021">
    <w:abstractNumId w:val="3"/>
  </w:num>
  <w:num w:numId="35" w16cid:durableId="2115780919">
    <w:abstractNumId w:val="22"/>
  </w:num>
  <w:num w:numId="36" w16cid:durableId="616718113">
    <w:abstractNumId w:val="5"/>
  </w:num>
  <w:num w:numId="37" w16cid:durableId="1535192994">
    <w:abstractNumId w:val="1"/>
  </w:num>
  <w:num w:numId="38" w16cid:durableId="526020504">
    <w:abstractNumId w:val="31"/>
  </w:num>
  <w:num w:numId="39" w16cid:durableId="995230724">
    <w:abstractNumId w:val="20"/>
  </w:num>
  <w:num w:numId="40" w16cid:durableId="30764084">
    <w:abstractNumId w:val="18"/>
  </w:num>
  <w:num w:numId="41" w16cid:durableId="27035460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52C1E"/>
    <w:rsid w:val="00070A1E"/>
    <w:rsid w:val="000D6D75"/>
    <w:rsid w:val="000D7A30"/>
    <w:rsid w:val="000E5126"/>
    <w:rsid w:val="00123C81"/>
    <w:rsid w:val="001A28FD"/>
    <w:rsid w:val="001F6552"/>
    <w:rsid w:val="0020323D"/>
    <w:rsid w:val="002706BC"/>
    <w:rsid w:val="002926A2"/>
    <w:rsid w:val="0029318B"/>
    <w:rsid w:val="002A6EB1"/>
    <w:rsid w:val="002E4656"/>
    <w:rsid w:val="0032114B"/>
    <w:rsid w:val="00346084"/>
    <w:rsid w:val="00346A83"/>
    <w:rsid w:val="003775B1"/>
    <w:rsid w:val="003E5078"/>
    <w:rsid w:val="004106C8"/>
    <w:rsid w:val="00440F8C"/>
    <w:rsid w:val="00444C72"/>
    <w:rsid w:val="00452928"/>
    <w:rsid w:val="004643CC"/>
    <w:rsid w:val="00465598"/>
    <w:rsid w:val="00482B6A"/>
    <w:rsid w:val="004D04F7"/>
    <w:rsid w:val="005260AA"/>
    <w:rsid w:val="00557452"/>
    <w:rsid w:val="00565D92"/>
    <w:rsid w:val="005A095A"/>
    <w:rsid w:val="005D7658"/>
    <w:rsid w:val="005E6A97"/>
    <w:rsid w:val="005F4901"/>
    <w:rsid w:val="00607E44"/>
    <w:rsid w:val="00614652"/>
    <w:rsid w:val="0062247E"/>
    <w:rsid w:val="006A179E"/>
    <w:rsid w:val="006A7FD8"/>
    <w:rsid w:val="006D53D4"/>
    <w:rsid w:val="00741A36"/>
    <w:rsid w:val="007773B1"/>
    <w:rsid w:val="00793813"/>
    <w:rsid w:val="00795559"/>
    <w:rsid w:val="007B106F"/>
    <w:rsid w:val="007C5930"/>
    <w:rsid w:val="007C76BB"/>
    <w:rsid w:val="007D3EEE"/>
    <w:rsid w:val="007D4923"/>
    <w:rsid w:val="0080617A"/>
    <w:rsid w:val="008072AA"/>
    <w:rsid w:val="00811687"/>
    <w:rsid w:val="00811B64"/>
    <w:rsid w:val="00820E20"/>
    <w:rsid w:val="00826F6C"/>
    <w:rsid w:val="00836127"/>
    <w:rsid w:val="00840CBA"/>
    <w:rsid w:val="00915BC1"/>
    <w:rsid w:val="0093145E"/>
    <w:rsid w:val="009A2E8F"/>
    <w:rsid w:val="00A13D64"/>
    <w:rsid w:val="00A348F2"/>
    <w:rsid w:val="00A51977"/>
    <w:rsid w:val="00A6164E"/>
    <w:rsid w:val="00A628CF"/>
    <w:rsid w:val="00AA04DF"/>
    <w:rsid w:val="00AF0D01"/>
    <w:rsid w:val="00AF7D15"/>
    <w:rsid w:val="00B1444E"/>
    <w:rsid w:val="00B31AAD"/>
    <w:rsid w:val="00B3464F"/>
    <w:rsid w:val="00B441DA"/>
    <w:rsid w:val="00B62771"/>
    <w:rsid w:val="00B95FFC"/>
    <w:rsid w:val="00BA1098"/>
    <w:rsid w:val="00C43D7D"/>
    <w:rsid w:val="00C83A29"/>
    <w:rsid w:val="00C92EEB"/>
    <w:rsid w:val="00CF6B91"/>
    <w:rsid w:val="00D01741"/>
    <w:rsid w:val="00D15FB9"/>
    <w:rsid w:val="00D17E0E"/>
    <w:rsid w:val="00D362B3"/>
    <w:rsid w:val="00D622C9"/>
    <w:rsid w:val="00DC0139"/>
    <w:rsid w:val="00DD0229"/>
    <w:rsid w:val="00DD208C"/>
    <w:rsid w:val="00DD33E4"/>
    <w:rsid w:val="00DD61D0"/>
    <w:rsid w:val="00DE0686"/>
    <w:rsid w:val="00E21953"/>
    <w:rsid w:val="00E36096"/>
    <w:rsid w:val="00E3615A"/>
    <w:rsid w:val="00E51D9C"/>
    <w:rsid w:val="00E67F8F"/>
    <w:rsid w:val="00E7743A"/>
    <w:rsid w:val="00E83039"/>
    <w:rsid w:val="00F05358"/>
    <w:rsid w:val="00F24A35"/>
    <w:rsid w:val="00F2744F"/>
    <w:rsid w:val="00F3117E"/>
    <w:rsid w:val="00F42607"/>
    <w:rsid w:val="00F47DC4"/>
    <w:rsid w:val="00F9623E"/>
    <w:rsid w:val="00F96473"/>
    <w:rsid w:val="00F96E5D"/>
    <w:rsid w:val="00F97A22"/>
    <w:rsid w:val="00FA4042"/>
    <w:rsid w:val="00FE51D8"/>
    <w:rsid w:val="00FF564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346C5A0-041E-41FF-8D98-4397FD67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noProof/>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valcommunity.com/career-center/evaluation-report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1878</TotalTime>
  <Pages>6</Pages>
  <Words>4472</Words>
  <Characters>25497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PEREZ ESPITIA MANUEL SERGIO</cp:lastModifiedBy>
  <cp:revision>62</cp:revision>
  <dcterms:created xsi:type="dcterms:W3CDTF">2025-05-02T17:00:00Z</dcterms:created>
  <dcterms:modified xsi:type="dcterms:W3CDTF">2025-08-31T13:04:00Z</dcterms:modified>
  <dc:language>en-AU</dc:language>
</cp:coreProperties>
</file>