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6" w:space="0" w:color="D4D9DD"/>
          <w:left w:val="single" w:sz="6" w:space="0" w:color="D4D9DD"/>
          <w:bottom w:val="single" w:sz="6" w:space="0" w:color="D4D9DD"/>
          <w:right w:val="single" w:sz="6" w:space="0" w:color="D4D9DD"/>
        </w:tblBorders>
        <w:shd w:val="clear" w:color="auto" w:fill="FFFFFF"/>
        <w:tblCellMar>
          <w:top w:w="15" w:type="dxa"/>
          <w:left w:w="15" w:type="dxa"/>
          <w:bottom w:w="15" w:type="dxa"/>
          <w:right w:w="15" w:type="dxa"/>
        </w:tblCellMar>
        <w:tblLook w:val="04A0" w:firstRow="1" w:lastRow="0" w:firstColumn="1" w:lastColumn="0" w:noHBand="0" w:noVBand="1"/>
      </w:tblPr>
      <w:tblGrid>
        <w:gridCol w:w="24323"/>
      </w:tblGrid>
      <w:tr w:rsidR="00E51D9C" w:rsidRPr="00086293" w14:paraId="5ACDB179" w14:textId="77777777">
        <w:tc>
          <w:tcPr>
            <w:tcW w:w="0" w:type="auto"/>
            <w:shd w:val="clear" w:color="auto" w:fill="FFFFFF"/>
            <w:vAlign w:val="center"/>
            <w:hideMark/>
          </w:tcPr>
          <w:p w14:paraId="1CED797F" w14:textId="77777777" w:rsidR="00E51D9C" w:rsidRPr="00086293" w:rsidRDefault="00E51D9C" w:rsidP="00E51D9C">
            <w:pPr>
              <w:jc w:val="both"/>
              <w:rPr>
                <w:rFonts w:ascii="Arial" w:hAnsi="Arial" w:cs="Arial"/>
              </w:rPr>
            </w:pPr>
            <w:r w:rsidRPr="00086293">
              <w:rPr>
                <w:rFonts w:ascii="Arial" w:hAnsi="Arial" w:cs="Arial"/>
              </w:rPr>
              <w:t xml:space="preserve">Assume that you are a </w:t>
            </w:r>
            <w:r w:rsidRPr="00086293">
              <w:rPr>
                <w:rFonts w:ascii="Arial" w:hAnsi="Arial" w:cs="Arial"/>
                <w:b/>
                <w:bCs/>
                <w:u w:val="single"/>
              </w:rPr>
              <w:t>consultant</w:t>
            </w:r>
            <w:r w:rsidRPr="00086293">
              <w:rPr>
                <w:rFonts w:ascii="Arial" w:hAnsi="Arial" w:cs="Arial"/>
              </w:rPr>
              <w:t xml:space="preserve"> to large telecommunications businesses in Australia. </w:t>
            </w:r>
          </w:p>
          <w:p w14:paraId="0308EF91" w14:textId="77777777" w:rsidR="00E51D9C" w:rsidRPr="00086293" w:rsidRDefault="00E51D9C" w:rsidP="00E51D9C">
            <w:pPr>
              <w:jc w:val="both"/>
              <w:rPr>
                <w:rFonts w:ascii="Arial" w:hAnsi="Arial" w:cs="Arial"/>
              </w:rPr>
            </w:pPr>
          </w:p>
          <w:p w14:paraId="5D5AB82E" w14:textId="77777777" w:rsidR="00E51D9C" w:rsidRPr="00086293" w:rsidRDefault="00E51D9C" w:rsidP="00E51D9C">
            <w:pPr>
              <w:jc w:val="both"/>
              <w:rPr>
                <w:rFonts w:ascii="Arial" w:hAnsi="Arial" w:cs="Arial"/>
              </w:rPr>
            </w:pPr>
            <w:r w:rsidRPr="00086293">
              <w:rPr>
                <w:rFonts w:ascii="Arial" w:hAnsi="Arial" w:cs="Arial"/>
              </w:rPr>
              <w:t>The Board of Directors for two different carriers/service providers has asked you to advise them on the networking regulations and legislation for the telecommunications industry, including their impact and factors influencing them.</w:t>
            </w:r>
          </w:p>
          <w:p w14:paraId="5C2BE030" w14:textId="77777777" w:rsidR="00E51D9C" w:rsidRPr="00086293" w:rsidRDefault="00E51D9C" w:rsidP="00E51D9C">
            <w:pPr>
              <w:jc w:val="both"/>
              <w:rPr>
                <w:rFonts w:ascii="Arial" w:hAnsi="Arial" w:cs="Arial"/>
              </w:rPr>
            </w:pPr>
          </w:p>
          <w:p w14:paraId="7C589BA4" w14:textId="77777777" w:rsidR="00E51D9C" w:rsidRPr="00086293" w:rsidRDefault="00E51D9C" w:rsidP="00E51D9C">
            <w:pPr>
              <w:jc w:val="both"/>
              <w:rPr>
                <w:rFonts w:ascii="Arial" w:hAnsi="Arial" w:cs="Arial"/>
              </w:rPr>
            </w:pPr>
            <w:r w:rsidRPr="00086293">
              <w:rPr>
                <w:rFonts w:ascii="Arial" w:hAnsi="Arial" w:cs="Arial"/>
              </w:rPr>
              <w:t>You have been contracted by both businesses to develop:</w:t>
            </w:r>
          </w:p>
          <w:p w14:paraId="5185ADE7" w14:textId="77777777" w:rsidR="00E51D9C" w:rsidRPr="00086293" w:rsidRDefault="00E51D9C" w:rsidP="00E51D9C">
            <w:pPr>
              <w:jc w:val="both"/>
              <w:rPr>
                <w:rFonts w:ascii="Arial" w:hAnsi="Arial" w:cs="Arial"/>
              </w:rPr>
            </w:pPr>
          </w:p>
          <w:p w14:paraId="6E57E819" w14:textId="77777777" w:rsidR="00E51D9C" w:rsidRPr="00086293" w:rsidRDefault="00E51D9C" w:rsidP="00E51D9C">
            <w:pPr>
              <w:jc w:val="both"/>
              <w:rPr>
                <w:rFonts w:ascii="Arial" w:hAnsi="Arial" w:cs="Arial"/>
                <w:b/>
                <w:bCs/>
              </w:rPr>
            </w:pPr>
            <w:r w:rsidRPr="00086293">
              <w:rPr>
                <w:rFonts w:ascii="Arial" w:hAnsi="Arial" w:cs="Arial"/>
                <w:b/>
                <w:bCs/>
              </w:rPr>
              <w:t>Carrier/Service provider 1:</w:t>
            </w:r>
          </w:p>
          <w:p w14:paraId="549EE129" w14:textId="1067FD3E" w:rsidR="00E51D9C" w:rsidRPr="00086293" w:rsidRDefault="00E51D9C" w:rsidP="00E51D9C">
            <w:pPr>
              <w:pStyle w:val="ListParagraph"/>
              <w:numPr>
                <w:ilvl w:val="0"/>
                <w:numId w:val="1"/>
              </w:numPr>
              <w:jc w:val="both"/>
              <w:rPr>
                <w:rFonts w:ascii="Arial" w:hAnsi="Arial" w:cs="Arial"/>
              </w:rPr>
            </w:pPr>
            <w:r w:rsidRPr="00086293">
              <w:rPr>
                <w:rFonts w:ascii="Arial" w:hAnsi="Arial" w:cs="Arial"/>
              </w:rPr>
              <w:t xml:space="preserve">one comprehensive report that evaluates the economic and political influences on the networking industry in Australia and describes the impact of regulations and legislation on the networking industry. </w:t>
            </w:r>
          </w:p>
          <w:p w14:paraId="3D6FFB4C" w14:textId="41107E73" w:rsidR="00E51D9C" w:rsidRPr="00086293" w:rsidRDefault="00E51D9C" w:rsidP="00E51D9C">
            <w:pPr>
              <w:pStyle w:val="ListParagraph"/>
              <w:numPr>
                <w:ilvl w:val="0"/>
                <w:numId w:val="1"/>
              </w:numPr>
              <w:jc w:val="both"/>
              <w:rPr>
                <w:rFonts w:ascii="Arial" w:hAnsi="Arial" w:cs="Arial"/>
              </w:rPr>
            </w:pPr>
            <w:r w:rsidRPr="00086293">
              <w:rPr>
                <w:rFonts w:ascii="Arial" w:hAnsi="Arial" w:cs="Arial"/>
              </w:rPr>
              <w:t>one summary report that evaluates the impact of legislation on planning processes and accessibility to networks.</w:t>
            </w:r>
          </w:p>
          <w:p w14:paraId="5026ECF6" w14:textId="77777777" w:rsidR="00E51D9C" w:rsidRPr="00086293" w:rsidRDefault="00E51D9C" w:rsidP="00E51D9C">
            <w:pPr>
              <w:jc w:val="both"/>
              <w:rPr>
                <w:rFonts w:ascii="Arial" w:hAnsi="Arial" w:cs="Arial"/>
              </w:rPr>
            </w:pPr>
          </w:p>
          <w:p w14:paraId="0C0861F6" w14:textId="77777777" w:rsidR="00E51D9C" w:rsidRPr="00086293" w:rsidRDefault="00E51D9C" w:rsidP="00E51D9C">
            <w:pPr>
              <w:jc w:val="both"/>
              <w:rPr>
                <w:rFonts w:ascii="Arial" w:hAnsi="Arial" w:cs="Arial"/>
                <w:b/>
                <w:bCs/>
              </w:rPr>
            </w:pPr>
            <w:r w:rsidRPr="00086293">
              <w:rPr>
                <w:rFonts w:ascii="Arial" w:hAnsi="Arial" w:cs="Arial"/>
                <w:b/>
                <w:bCs/>
              </w:rPr>
              <w:t>Carrier/Service Provider 2:</w:t>
            </w:r>
          </w:p>
          <w:p w14:paraId="3F75DF74" w14:textId="77777777" w:rsidR="00E51D9C" w:rsidRPr="00086293" w:rsidRDefault="00E51D9C" w:rsidP="00E51D9C">
            <w:pPr>
              <w:pStyle w:val="ListParagraph"/>
              <w:numPr>
                <w:ilvl w:val="0"/>
                <w:numId w:val="1"/>
              </w:numPr>
              <w:jc w:val="both"/>
              <w:rPr>
                <w:rFonts w:ascii="Arial" w:hAnsi="Arial" w:cs="Arial"/>
              </w:rPr>
            </w:pPr>
            <w:r w:rsidRPr="00086293">
              <w:rPr>
                <w:rFonts w:ascii="Arial" w:hAnsi="Arial" w:cs="Arial"/>
              </w:rPr>
              <w:t>one comprehensive report that evaluates the economic and political influences on the networking industry in Australia and describes the impact of regulations and legislation on the networking industry.</w:t>
            </w:r>
          </w:p>
          <w:p w14:paraId="38A2DB8E" w14:textId="7B532315" w:rsidR="00E51D9C" w:rsidRPr="00086293" w:rsidRDefault="00E51D9C" w:rsidP="00E51D9C">
            <w:pPr>
              <w:pStyle w:val="ListParagraph"/>
              <w:numPr>
                <w:ilvl w:val="0"/>
                <w:numId w:val="1"/>
              </w:numPr>
              <w:jc w:val="both"/>
              <w:rPr>
                <w:rFonts w:ascii="Arial" w:hAnsi="Arial" w:cs="Arial"/>
              </w:rPr>
            </w:pPr>
            <w:r w:rsidRPr="00086293">
              <w:rPr>
                <w:rFonts w:ascii="Arial" w:hAnsi="Arial" w:cs="Arial"/>
              </w:rPr>
              <w:t>one summary report that evaluates the impact of legislation on planning processes and accessibility to networks.</w:t>
            </w:r>
          </w:p>
        </w:tc>
      </w:tr>
      <w:tr w:rsidR="00E51D9C" w:rsidRPr="00086293" w14:paraId="46C155ED" w14:textId="77777777">
        <w:tc>
          <w:tcPr>
            <w:tcW w:w="0" w:type="auto"/>
            <w:shd w:val="clear" w:color="auto" w:fill="FFFFFF"/>
            <w:vAlign w:val="center"/>
            <w:hideMark/>
          </w:tcPr>
          <w:p w14:paraId="43345F5B" w14:textId="77777777" w:rsidR="00E51D9C" w:rsidRPr="00086293" w:rsidRDefault="00E51D9C" w:rsidP="00E51D9C">
            <w:pPr>
              <w:jc w:val="both"/>
              <w:rPr>
                <w:rFonts w:ascii="Arial" w:hAnsi="Arial" w:cs="Arial"/>
              </w:rPr>
            </w:pPr>
            <w:r w:rsidRPr="00086293">
              <w:rPr>
                <w:rFonts w:ascii="Arial" w:hAnsi="Arial" w:cs="Arial"/>
              </w:rPr>
              <w:t>Choose any two carriers/service providers in Australia and complete page 4 of your Project Portfolio before starting the assessment.</w:t>
            </w:r>
          </w:p>
          <w:p w14:paraId="338314B1" w14:textId="77777777" w:rsidR="001A28FD" w:rsidRPr="00086293" w:rsidRDefault="001A28FD" w:rsidP="00E51D9C">
            <w:pPr>
              <w:jc w:val="both"/>
              <w:rPr>
                <w:rFonts w:ascii="Arial" w:hAnsi="Arial" w:cs="Arial"/>
              </w:rPr>
            </w:pPr>
          </w:p>
          <w:p w14:paraId="4F2D5F0A" w14:textId="10C96FA2" w:rsidR="001A28FD" w:rsidRPr="00086293" w:rsidRDefault="001A28FD" w:rsidP="001A28FD">
            <w:pPr>
              <w:jc w:val="both"/>
              <w:rPr>
                <w:rFonts w:ascii="Arial" w:hAnsi="Arial" w:cs="Arial"/>
                <w:b/>
                <w:bCs/>
              </w:rPr>
            </w:pPr>
            <w:r w:rsidRPr="00086293">
              <w:rPr>
                <w:rFonts w:ascii="Arial" w:hAnsi="Arial" w:cs="Arial"/>
                <w:b/>
                <w:bCs/>
              </w:rPr>
              <w:t xml:space="preserve">Carrier 1: </w:t>
            </w:r>
            <w:r w:rsidRPr="00086293">
              <w:rPr>
                <w:rFonts w:ascii="Arial" w:hAnsi="Arial" w:cs="Arial"/>
              </w:rPr>
              <w:t>Optus Networks Pty Ltd</w:t>
            </w:r>
          </w:p>
          <w:p w14:paraId="2B71992C" w14:textId="0F17E5A7" w:rsidR="001A28FD" w:rsidRPr="00086293" w:rsidRDefault="001A28FD" w:rsidP="001A28FD">
            <w:pPr>
              <w:jc w:val="both"/>
              <w:rPr>
                <w:rFonts w:ascii="Arial" w:hAnsi="Arial" w:cs="Arial"/>
              </w:rPr>
            </w:pPr>
            <w:r w:rsidRPr="00086293">
              <w:rPr>
                <w:rFonts w:ascii="Arial" w:hAnsi="Arial" w:cs="Arial"/>
                <w:b/>
                <w:bCs/>
              </w:rPr>
              <w:t xml:space="preserve">Service provider 1: </w:t>
            </w:r>
            <w:r w:rsidR="007D3EEE" w:rsidRPr="00086293">
              <w:rPr>
                <w:rFonts w:ascii="Arial" w:hAnsi="Arial" w:cs="Arial"/>
              </w:rPr>
              <w:t>Lebara</w:t>
            </w:r>
          </w:p>
          <w:p w14:paraId="201E5576" w14:textId="46BD8E8F" w:rsidR="001A28FD" w:rsidRPr="00086293" w:rsidRDefault="001A28FD" w:rsidP="00E51D9C">
            <w:pPr>
              <w:jc w:val="both"/>
              <w:rPr>
                <w:rFonts w:ascii="Arial" w:hAnsi="Arial" w:cs="Arial"/>
              </w:rPr>
            </w:pPr>
          </w:p>
        </w:tc>
      </w:tr>
    </w:tbl>
    <w:p w14:paraId="252EAC11" w14:textId="67B0BE51" w:rsidR="00A13D64" w:rsidRPr="00086293" w:rsidRDefault="00A13D64" w:rsidP="00E51D9C">
      <w:pPr>
        <w:jc w:val="both"/>
        <w:rPr>
          <w:rFonts w:ascii="Arial" w:hAnsi="Arial" w:cs="Arial"/>
        </w:rPr>
      </w:pPr>
    </w:p>
    <w:p w14:paraId="095509FD" w14:textId="77777777" w:rsidR="00793813" w:rsidRPr="00086293" w:rsidRDefault="00793813" w:rsidP="00E51D9C">
      <w:pPr>
        <w:jc w:val="both"/>
        <w:rPr>
          <w:rFonts w:ascii="Arial" w:hAnsi="Arial" w:cs="Arial"/>
        </w:rPr>
      </w:pPr>
    </w:p>
    <w:p w14:paraId="542FAAE0" w14:textId="1E5FC4F5" w:rsidR="00793813" w:rsidRPr="00086293" w:rsidRDefault="00793813" w:rsidP="00E51D9C">
      <w:pPr>
        <w:jc w:val="both"/>
        <w:rPr>
          <w:rFonts w:ascii="Arial" w:hAnsi="Arial" w:cs="Arial"/>
        </w:rPr>
      </w:pPr>
      <w:r w:rsidRPr="00086293">
        <w:rPr>
          <w:rFonts w:ascii="Arial" w:hAnsi="Arial" w:cs="Arial"/>
          <w:b/>
          <w:bCs/>
        </w:rPr>
        <w:t>Carrier:</w:t>
      </w:r>
      <w:r w:rsidRPr="00086293">
        <w:rPr>
          <w:rFonts w:ascii="Arial" w:hAnsi="Arial" w:cs="Arial"/>
        </w:rPr>
        <w:t xml:space="preserve"> Entity that </w:t>
      </w:r>
      <w:r w:rsidRPr="00086293">
        <w:rPr>
          <w:rFonts w:ascii="Arial" w:hAnsi="Arial" w:cs="Arial"/>
          <w:b/>
          <w:bCs/>
          <w:highlight w:val="yellow"/>
        </w:rPr>
        <w:t>owns or operates physical telecommunications infrastructure</w:t>
      </w:r>
      <w:r w:rsidRPr="00086293">
        <w:rPr>
          <w:rFonts w:ascii="Arial" w:hAnsi="Arial" w:cs="Arial"/>
        </w:rPr>
        <w:t xml:space="preserve"> used to supply services to the public.</w:t>
      </w:r>
    </w:p>
    <w:p w14:paraId="1DE121C2" w14:textId="77777777" w:rsidR="00793813" w:rsidRPr="00086293" w:rsidRDefault="00793813" w:rsidP="00E51D9C">
      <w:pPr>
        <w:jc w:val="both"/>
        <w:rPr>
          <w:rFonts w:ascii="Arial" w:hAnsi="Arial" w:cs="Arial"/>
        </w:rPr>
      </w:pPr>
    </w:p>
    <w:p w14:paraId="3923A080" w14:textId="55067584" w:rsidR="00793813" w:rsidRPr="00086293" w:rsidRDefault="00793813" w:rsidP="00793813">
      <w:pPr>
        <w:jc w:val="both"/>
        <w:rPr>
          <w:rFonts w:ascii="Arial" w:hAnsi="Arial" w:cs="Arial"/>
          <w:b/>
          <w:bCs/>
        </w:rPr>
      </w:pPr>
      <w:r w:rsidRPr="00086293">
        <w:rPr>
          <w:rFonts w:ascii="Arial" w:hAnsi="Arial" w:cs="Arial"/>
          <w:b/>
          <w:bCs/>
        </w:rPr>
        <w:t>Examples:</w:t>
      </w:r>
    </w:p>
    <w:p w14:paraId="73205632" w14:textId="639375AD" w:rsidR="00793813" w:rsidRPr="00086293" w:rsidRDefault="00793813" w:rsidP="00793813">
      <w:pPr>
        <w:jc w:val="both"/>
        <w:rPr>
          <w:rFonts w:ascii="Arial" w:hAnsi="Arial" w:cs="Arial"/>
        </w:rPr>
      </w:pPr>
      <w:r w:rsidRPr="00086293">
        <w:rPr>
          <w:rFonts w:ascii="Arial" w:hAnsi="Arial" w:cs="Arial"/>
        </w:rPr>
        <w:t xml:space="preserve">Must hold a </w:t>
      </w:r>
      <w:r w:rsidRPr="00086293">
        <w:rPr>
          <w:rStyle w:val="Strong"/>
          <w:rFonts w:ascii="Arial" w:hAnsi="Arial" w:cs="Arial"/>
        </w:rPr>
        <w:t>Carrier Licence</w:t>
      </w:r>
      <w:r w:rsidRPr="00086293">
        <w:rPr>
          <w:rFonts w:ascii="Arial" w:hAnsi="Arial" w:cs="Arial"/>
        </w:rPr>
        <w:t xml:space="preserve"> issued by the Australian Communications and Media Authority (ACMA).</w:t>
      </w:r>
    </w:p>
    <w:p w14:paraId="428B5F5E" w14:textId="77777777" w:rsidR="00793813" w:rsidRPr="00086293" w:rsidRDefault="00793813" w:rsidP="00793813">
      <w:pPr>
        <w:jc w:val="both"/>
        <w:rPr>
          <w:rFonts w:ascii="Arial" w:hAnsi="Arial" w:cs="Arial"/>
          <w:b/>
          <w:bCs/>
        </w:rPr>
      </w:pPr>
    </w:p>
    <w:p w14:paraId="26D1324E" w14:textId="77777777" w:rsidR="00793813" w:rsidRPr="00086293" w:rsidRDefault="00793813" w:rsidP="00793813">
      <w:pPr>
        <w:numPr>
          <w:ilvl w:val="0"/>
          <w:numId w:val="3"/>
        </w:numPr>
        <w:jc w:val="both"/>
        <w:rPr>
          <w:rFonts w:ascii="Arial" w:hAnsi="Arial" w:cs="Arial"/>
        </w:rPr>
      </w:pPr>
      <w:r w:rsidRPr="00086293">
        <w:rPr>
          <w:rFonts w:ascii="Arial" w:hAnsi="Arial" w:cs="Arial"/>
          <w:b/>
          <w:bCs/>
        </w:rPr>
        <w:t xml:space="preserve">Telstra Corporation Limited </w:t>
      </w:r>
      <w:r w:rsidRPr="00086293">
        <w:rPr>
          <w:rFonts w:ascii="Arial" w:hAnsi="Arial" w:cs="Arial"/>
        </w:rPr>
        <w:t>(owns copper, fibre, mobile towers)</w:t>
      </w:r>
    </w:p>
    <w:p w14:paraId="4283B214" w14:textId="77777777" w:rsidR="00793813" w:rsidRPr="00086293" w:rsidRDefault="00793813" w:rsidP="00793813">
      <w:pPr>
        <w:numPr>
          <w:ilvl w:val="0"/>
          <w:numId w:val="3"/>
        </w:numPr>
        <w:jc w:val="both"/>
        <w:rPr>
          <w:rFonts w:ascii="Arial" w:hAnsi="Arial" w:cs="Arial"/>
          <w:b/>
          <w:bCs/>
        </w:rPr>
      </w:pPr>
      <w:r w:rsidRPr="00086293">
        <w:rPr>
          <w:rFonts w:ascii="Arial" w:hAnsi="Arial" w:cs="Arial"/>
          <w:b/>
          <w:bCs/>
        </w:rPr>
        <w:t>Optus Networks Pty Ltd</w:t>
      </w:r>
    </w:p>
    <w:p w14:paraId="515377A4" w14:textId="77777777" w:rsidR="00793813" w:rsidRPr="00086293" w:rsidRDefault="00793813" w:rsidP="00793813">
      <w:pPr>
        <w:numPr>
          <w:ilvl w:val="0"/>
          <w:numId w:val="3"/>
        </w:numPr>
        <w:jc w:val="both"/>
        <w:rPr>
          <w:rFonts w:ascii="Arial" w:hAnsi="Arial" w:cs="Arial"/>
        </w:rPr>
      </w:pPr>
      <w:r w:rsidRPr="00086293">
        <w:rPr>
          <w:rFonts w:ascii="Arial" w:hAnsi="Arial" w:cs="Arial"/>
          <w:b/>
          <w:bCs/>
        </w:rPr>
        <w:t>NBN Co Limited</w:t>
      </w:r>
      <w:r w:rsidRPr="00086293">
        <w:rPr>
          <w:rFonts w:ascii="Arial" w:hAnsi="Arial" w:cs="Arial"/>
        </w:rPr>
        <w:t xml:space="preserve"> (wholesale broadband network)</w:t>
      </w:r>
    </w:p>
    <w:p w14:paraId="0A21A845" w14:textId="77777777" w:rsidR="00793813" w:rsidRPr="00086293" w:rsidRDefault="00793813" w:rsidP="00793813">
      <w:pPr>
        <w:numPr>
          <w:ilvl w:val="0"/>
          <w:numId w:val="3"/>
        </w:numPr>
        <w:jc w:val="both"/>
        <w:rPr>
          <w:rFonts w:ascii="Arial" w:hAnsi="Arial" w:cs="Arial"/>
        </w:rPr>
      </w:pPr>
      <w:r w:rsidRPr="00086293">
        <w:rPr>
          <w:rFonts w:ascii="Arial" w:hAnsi="Arial" w:cs="Arial"/>
          <w:b/>
          <w:bCs/>
        </w:rPr>
        <w:t xml:space="preserve">TPG Telecom Ltd </w:t>
      </w:r>
      <w:r w:rsidRPr="00086293">
        <w:rPr>
          <w:rFonts w:ascii="Arial" w:hAnsi="Arial" w:cs="Arial"/>
        </w:rPr>
        <w:t>(owns fibre, towers, submarine cables)</w:t>
      </w:r>
    </w:p>
    <w:p w14:paraId="606B67D0" w14:textId="77777777" w:rsidR="00793813" w:rsidRPr="00086293" w:rsidRDefault="00793813" w:rsidP="00793813">
      <w:pPr>
        <w:jc w:val="both"/>
        <w:rPr>
          <w:rFonts w:ascii="Arial" w:hAnsi="Arial" w:cs="Arial"/>
        </w:rPr>
      </w:pPr>
    </w:p>
    <w:p w14:paraId="4B392066" w14:textId="4D12D5A1" w:rsidR="00793813" w:rsidRPr="00086293" w:rsidRDefault="00793813" w:rsidP="00793813">
      <w:pPr>
        <w:jc w:val="both"/>
        <w:rPr>
          <w:rFonts w:ascii="Arial" w:hAnsi="Arial" w:cs="Arial"/>
        </w:rPr>
      </w:pPr>
      <w:r w:rsidRPr="00086293">
        <w:rPr>
          <w:rFonts w:ascii="Arial" w:hAnsi="Arial" w:cs="Arial"/>
          <w:b/>
          <w:bCs/>
        </w:rPr>
        <w:t>Service Provider</w:t>
      </w:r>
      <w:r w:rsidRPr="00086293">
        <w:rPr>
          <w:rFonts w:ascii="Arial" w:hAnsi="Arial" w:cs="Arial"/>
        </w:rPr>
        <w:t xml:space="preserve">: (Carriage Service Providers (CSPs)) Entity that </w:t>
      </w:r>
      <w:r w:rsidRPr="00086293">
        <w:rPr>
          <w:rFonts w:ascii="Arial" w:hAnsi="Arial" w:cs="Arial"/>
          <w:b/>
          <w:bCs/>
          <w:highlight w:val="yellow"/>
        </w:rPr>
        <w:t>uses a carrier’s network</w:t>
      </w:r>
      <w:r w:rsidRPr="00086293">
        <w:rPr>
          <w:rFonts w:ascii="Arial" w:hAnsi="Arial" w:cs="Arial"/>
        </w:rPr>
        <w:t xml:space="preserve"> to offer telecommunications services to the public.</w:t>
      </w:r>
    </w:p>
    <w:p w14:paraId="3016316B" w14:textId="77777777" w:rsidR="00793813" w:rsidRPr="00086293" w:rsidRDefault="00793813" w:rsidP="00793813">
      <w:pPr>
        <w:jc w:val="both"/>
        <w:rPr>
          <w:rFonts w:ascii="Arial" w:hAnsi="Arial" w:cs="Arial"/>
        </w:rPr>
      </w:pPr>
    </w:p>
    <w:p w14:paraId="5B830A81" w14:textId="18BB9292" w:rsidR="00793813" w:rsidRPr="00086293" w:rsidRDefault="00793813" w:rsidP="00793813">
      <w:pPr>
        <w:jc w:val="both"/>
        <w:rPr>
          <w:rFonts w:ascii="Arial" w:hAnsi="Arial" w:cs="Arial"/>
          <w:b/>
          <w:bCs/>
        </w:rPr>
      </w:pPr>
      <w:r w:rsidRPr="00086293">
        <w:rPr>
          <w:rFonts w:ascii="Arial" w:hAnsi="Arial" w:cs="Arial"/>
          <w:b/>
          <w:bCs/>
        </w:rPr>
        <w:t>Examples:</w:t>
      </w:r>
    </w:p>
    <w:p w14:paraId="1FF6F091" w14:textId="227AB34F" w:rsidR="00793813" w:rsidRPr="00086293" w:rsidRDefault="00793813" w:rsidP="00793813">
      <w:pPr>
        <w:jc w:val="both"/>
        <w:rPr>
          <w:rFonts w:ascii="Arial" w:hAnsi="Arial" w:cs="Arial"/>
        </w:rPr>
      </w:pPr>
      <w:r w:rsidRPr="00086293">
        <w:rPr>
          <w:rFonts w:ascii="Arial" w:hAnsi="Arial" w:cs="Arial"/>
        </w:rPr>
        <w:t xml:space="preserve">Do </w:t>
      </w:r>
      <w:r w:rsidRPr="00086293">
        <w:rPr>
          <w:rFonts w:ascii="Arial" w:hAnsi="Arial" w:cs="Arial"/>
          <w:b/>
          <w:bCs/>
        </w:rPr>
        <w:t>not</w:t>
      </w:r>
      <w:r w:rsidRPr="00086293">
        <w:rPr>
          <w:rFonts w:ascii="Arial" w:hAnsi="Arial" w:cs="Arial"/>
        </w:rPr>
        <w:t xml:space="preserve"> need a carrier licence. Must comply with the </w:t>
      </w:r>
      <w:r w:rsidRPr="00086293">
        <w:rPr>
          <w:rFonts w:ascii="Arial" w:hAnsi="Arial" w:cs="Arial"/>
          <w:b/>
          <w:bCs/>
        </w:rPr>
        <w:t>Telecommunications Act 1997</w:t>
      </w:r>
      <w:r w:rsidRPr="00086293">
        <w:rPr>
          <w:rFonts w:ascii="Arial" w:hAnsi="Arial" w:cs="Arial"/>
        </w:rPr>
        <w:t xml:space="preserve"> and register with ACMA if supplying carriage services to the public.</w:t>
      </w:r>
    </w:p>
    <w:p w14:paraId="234EEBE4" w14:textId="77777777" w:rsidR="00793813" w:rsidRPr="00086293" w:rsidRDefault="00793813" w:rsidP="00793813">
      <w:pPr>
        <w:jc w:val="both"/>
        <w:rPr>
          <w:rFonts w:ascii="Arial" w:hAnsi="Arial" w:cs="Arial"/>
        </w:rPr>
      </w:pPr>
    </w:p>
    <w:p w14:paraId="4D36DCC4" w14:textId="77777777" w:rsidR="00793813" w:rsidRPr="00086293" w:rsidRDefault="00793813" w:rsidP="00793813">
      <w:pPr>
        <w:numPr>
          <w:ilvl w:val="0"/>
          <w:numId w:val="2"/>
        </w:numPr>
        <w:jc w:val="both"/>
        <w:rPr>
          <w:rFonts w:ascii="Arial" w:hAnsi="Arial" w:cs="Arial"/>
        </w:rPr>
      </w:pPr>
      <w:r w:rsidRPr="00086293">
        <w:rPr>
          <w:rFonts w:ascii="Arial" w:hAnsi="Arial" w:cs="Arial"/>
          <w:b/>
          <w:bCs/>
        </w:rPr>
        <w:t>Aussie Broadband</w:t>
      </w:r>
      <w:r w:rsidRPr="00086293">
        <w:rPr>
          <w:rFonts w:ascii="Arial" w:hAnsi="Arial" w:cs="Arial"/>
        </w:rPr>
        <w:t xml:space="preserve"> (uses NBN and some own backhaul)</w:t>
      </w:r>
    </w:p>
    <w:p w14:paraId="4CC0263E" w14:textId="6DDA1236" w:rsidR="00793813" w:rsidRPr="00086293" w:rsidRDefault="007D3EEE" w:rsidP="00793813">
      <w:pPr>
        <w:numPr>
          <w:ilvl w:val="0"/>
          <w:numId w:val="2"/>
        </w:numPr>
        <w:jc w:val="both"/>
        <w:rPr>
          <w:rFonts w:ascii="Arial" w:hAnsi="Arial" w:cs="Arial"/>
        </w:rPr>
      </w:pPr>
      <w:r w:rsidRPr="00086293">
        <w:rPr>
          <w:rFonts w:ascii="Arial" w:hAnsi="Arial" w:cs="Arial"/>
          <w:b/>
          <w:bCs/>
        </w:rPr>
        <w:t>Lebara</w:t>
      </w:r>
      <w:r w:rsidR="00793813" w:rsidRPr="00086293">
        <w:rPr>
          <w:rFonts w:ascii="Arial" w:hAnsi="Arial" w:cs="Arial"/>
        </w:rPr>
        <w:t xml:space="preserve"> (resells Telstra/Optus services)</w:t>
      </w:r>
    </w:p>
    <w:p w14:paraId="0287E69A" w14:textId="77777777" w:rsidR="00793813" w:rsidRPr="00086293" w:rsidRDefault="00793813" w:rsidP="00793813">
      <w:pPr>
        <w:numPr>
          <w:ilvl w:val="0"/>
          <w:numId w:val="2"/>
        </w:numPr>
        <w:jc w:val="both"/>
        <w:rPr>
          <w:rFonts w:ascii="Arial" w:hAnsi="Arial" w:cs="Arial"/>
        </w:rPr>
      </w:pPr>
      <w:r w:rsidRPr="00086293">
        <w:rPr>
          <w:rFonts w:ascii="Arial" w:hAnsi="Arial" w:cs="Arial"/>
          <w:b/>
          <w:bCs/>
        </w:rPr>
        <w:t>iiNet</w:t>
      </w:r>
      <w:r w:rsidRPr="00086293">
        <w:rPr>
          <w:rFonts w:ascii="Arial" w:hAnsi="Arial" w:cs="Arial"/>
        </w:rPr>
        <w:t xml:space="preserve"> (resells and partially owns infrastructure but mostly operates as a service provider)</w:t>
      </w:r>
    </w:p>
    <w:p w14:paraId="32A65FC3" w14:textId="77777777" w:rsidR="00793813" w:rsidRPr="00086293" w:rsidRDefault="00793813" w:rsidP="00793813">
      <w:pPr>
        <w:numPr>
          <w:ilvl w:val="0"/>
          <w:numId w:val="2"/>
        </w:numPr>
        <w:jc w:val="both"/>
        <w:rPr>
          <w:rFonts w:ascii="Arial" w:hAnsi="Arial" w:cs="Arial"/>
        </w:rPr>
      </w:pPr>
      <w:r w:rsidRPr="00086293">
        <w:rPr>
          <w:rFonts w:ascii="Arial" w:hAnsi="Arial" w:cs="Arial"/>
          <w:b/>
          <w:bCs/>
        </w:rPr>
        <w:t>Boost Mobile</w:t>
      </w:r>
      <w:r w:rsidRPr="00086293">
        <w:rPr>
          <w:rFonts w:ascii="Arial" w:hAnsi="Arial" w:cs="Arial"/>
        </w:rPr>
        <w:t xml:space="preserve"> (resells Telstra network)</w:t>
      </w:r>
    </w:p>
    <w:p w14:paraId="4CD37E7C" w14:textId="77777777" w:rsidR="00793813" w:rsidRPr="00086293" w:rsidRDefault="00793813" w:rsidP="00793813">
      <w:pPr>
        <w:jc w:val="both"/>
        <w:rPr>
          <w:rFonts w:ascii="Arial" w:hAnsi="Arial" w:cs="Arial"/>
        </w:rPr>
      </w:pPr>
    </w:p>
    <w:p w14:paraId="16C105D5" w14:textId="77777777" w:rsidR="005E6A97" w:rsidRPr="00086293" w:rsidRDefault="005E6A97" w:rsidP="00793813">
      <w:pPr>
        <w:jc w:val="both"/>
        <w:rPr>
          <w:rFonts w:ascii="Arial" w:hAnsi="Arial" w:cs="Arial"/>
        </w:rPr>
      </w:pPr>
    </w:p>
    <w:p w14:paraId="368D2E45" w14:textId="1620BFAD" w:rsidR="005E6A97" w:rsidRPr="00086293" w:rsidRDefault="005E6A97" w:rsidP="005E6A97">
      <w:pPr>
        <w:pStyle w:val="Title"/>
      </w:pPr>
      <w:r w:rsidRPr="00086293">
        <w:t>ANSWERS</w:t>
      </w:r>
    </w:p>
    <w:p w14:paraId="445D5188" w14:textId="77777777" w:rsidR="005E6A97" w:rsidRPr="00086293" w:rsidRDefault="005E6A97" w:rsidP="00793813">
      <w:pPr>
        <w:jc w:val="both"/>
        <w:rPr>
          <w:rFonts w:ascii="Arial" w:hAnsi="Arial" w:cs="Arial"/>
        </w:rPr>
      </w:pPr>
    </w:p>
    <w:p w14:paraId="2E0DA5F3" w14:textId="212ED630" w:rsidR="005E6A97" w:rsidRPr="00086293" w:rsidRDefault="005E6A97" w:rsidP="005E6A97">
      <w:pPr>
        <w:pStyle w:val="Heading2"/>
      </w:pPr>
      <w:r w:rsidRPr="00086293">
        <w:t>4.1 Keep your legislative and regulatory knowledge up to date:</w:t>
      </w:r>
    </w:p>
    <w:p w14:paraId="319E15D4" w14:textId="77777777" w:rsidR="005E6A97" w:rsidRPr="00086293" w:rsidRDefault="005E6A97" w:rsidP="005E6A97">
      <w:pPr>
        <w:jc w:val="both"/>
        <w:rPr>
          <w:rFonts w:ascii="Arial" w:hAnsi="Arial" w:cs="Arial"/>
        </w:rPr>
      </w:pPr>
    </w:p>
    <w:p w14:paraId="6B68D4EA" w14:textId="77777777" w:rsidR="005E6A97" w:rsidRPr="00086293" w:rsidRDefault="005E6A97" w:rsidP="005E6A97">
      <w:pPr>
        <w:jc w:val="both"/>
        <w:rPr>
          <w:rFonts w:ascii="Arial" w:hAnsi="Arial" w:cs="Arial"/>
        </w:rPr>
      </w:pPr>
    </w:p>
    <w:p w14:paraId="5E3D58CB" w14:textId="3158930A" w:rsidR="005E6A97" w:rsidRPr="00086293" w:rsidRDefault="005E6A97" w:rsidP="005E6A97">
      <w:pPr>
        <w:jc w:val="both"/>
        <w:rPr>
          <w:rFonts w:ascii="Arial" w:hAnsi="Arial" w:cs="Arial"/>
        </w:rPr>
      </w:pPr>
      <w:r w:rsidRPr="00086293">
        <w:rPr>
          <w:rFonts w:ascii="Arial" w:hAnsi="Arial" w:cs="Arial"/>
        </w:rPr>
        <w:t>Key telecommunications laws, regulations and policies:</w:t>
      </w:r>
    </w:p>
    <w:p w14:paraId="72843CAF" w14:textId="2E90BA50" w:rsidR="005E6A97" w:rsidRPr="00086293" w:rsidRDefault="00F24A35" w:rsidP="005E6A97">
      <w:pPr>
        <w:jc w:val="both"/>
        <w:rPr>
          <w:rFonts w:ascii="Arial" w:hAnsi="Arial" w:cs="Arial"/>
        </w:rPr>
      </w:pPr>
      <w:hyperlink r:id="rId7" w:history="1">
        <w:r w:rsidRPr="00086293">
          <w:rPr>
            <w:rStyle w:val="Hyperlink"/>
            <w:rFonts w:ascii="Arial" w:hAnsi="Arial" w:cs="Arial"/>
          </w:rPr>
          <w:t>https://www.dlapiperintelligence.com/telecoms/index.html?t=laws&amp;c=AU</w:t>
        </w:r>
      </w:hyperlink>
      <w:r w:rsidRPr="00086293">
        <w:rPr>
          <w:rFonts w:ascii="Arial" w:hAnsi="Arial" w:cs="Arial"/>
        </w:rPr>
        <w:t xml:space="preserve"> </w:t>
      </w:r>
    </w:p>
    <w:p w14:paraId="5618F6B7" w14:textId="77777777" w:rsidR="005E6A97" w:rsidRPr="00086293" w:rsidRDefault="005E6A97" w:rsidP="005E6A97">
      <w:pPr>
        <w:jc w:val="both"/>
        <w:rPr>
          <w:rFonts w:ascii="Arial" w:hAnsi="Arial" w:cs="Arial"/>
        </w:rPr>
      </w:pPr>
    </w:p>
    <w:p w14:paraId="16BDAF1D" w14:textId="77777777" w:rsidR="005E6A97" w:rsidRPr="00086293" w:rsidRDefault="005E6A97" w:rsidP="005E6A97">
      <w:pPr>
        <w:jc w:val="both"/>
        <w:rPr>
          <w:rFonts w:ascii="Arial" w:hAnsi="Arial" w:cs="Arial"/>
        </w:rPr>
      </w:pPr>
      <w:r w:rsidRPr="00086293">
        <w:rPr>
          <w:rFonts w:ascii="Arial" w:hAnsi="Arial" w:cs="Arial"/>
        </w:rPr>
        <w:t>Rules for carriers and service providers:</w:t>
      </w:r>
    </w:p>
    <w:p w14:paraId="05F39CD8" w14:textId="02BCE560" w:rsidR="005E6A97" w:rsidRPr="00086293" w:rsidRDefault="00F24A35" w:rsidP="005E6A97">
      <w:pPr>
        <w:jc w:val="both"/>
        <w:rPr>
          <w:rFonts w:ascii="Arial" w:hAnsi="Arial" w:cs="Arial"/>
        </w:rPr>
      </w:pPr>
      <w:hyperlink r:id="rId8" w:history="1">
        <w:r w:rsidRPr="00086293">
          <w:rPr>
            <w:rStyle w:val="Hyperlink"/>
            <w:rFonts w:ascii="Arial" w:hAnsi="Arial" w:cs="Arial"/>
          </w:rPr>
          <w:t>https://www.infrastructure.gov.au/media-communications-arts/internet/rules-carriers-and-service-providers</w:t>
        </w:r>
      </w:hyperlink>
      <w:r w:rsidRPr="00086293">
        <w:rPr>
          <w:rFonts w:ascii="Arial" w:hAnsi="Arial" w:cs="Arial"/>
        </w:rPr>
        <w:t xml:space="preserve"> </w:t>
      </w:r>
    </w:p>
    <w:p w14:paraId="6DD4AB82" w14:textId="77777777" w:rsidR="005E6A97" w:rsidRPr="00086293" w:rsidRDefault="005E6A97" w:rsidP="005E6A97">
      <w:pPr>
        <w:jc w:val="both"/>
        <w:rPr>
          <w:rFonts w:ascii="Arial" w:hAnsi="Arial" w:cs="Arial"/>
        </w:rPr>
      </w:pPr>
    </w:p>
    <w:p w14:paraId="12C49E67" w14:textId="77777777" w:rsidR="005E6A97" w:rsidRPr="00086293" w:rsidRDefault="005E6A97" w:rsidP="005E6A97">
      <w:pPr>
        <w:pStyle w:val="Heading3"/>
      </w:pPr>
      <w:r w:rsidRPr="00086293">
        <w:t>Ways available to keep your legislative and regulatory knowledge up to date</w:t>
      </w:r>
    </w:p>
    <w:p w14:paraId="1BFD98C8" w14:textId="77777777" w:rsidR="005E6A97" w:rsidRPr="00086293" w:rsidRDefault="005E6A97" w:rsidP="005E6A97">
      <w:pPr>
        <w:jc w:val="both"/>
        <w:rPr>
          <w:rFonts w:ascii="Arial" w:hAnsi="Arial" w:cs="Arial"/>
        </w:rPr>
      </w:pPr>
      <w:r w:rsidRPr="00086293">
        <w:rPr>
          <w:rFonts w:ascii="Arial" w:hAnsi="Arial" w:cs="Arial"/>
        </w:rPr>
        <w:t>1. Subscribe to newsletters, courses, and webinars</w:t>
      </w:r>
    </w:p>
    <w:p w14:paraId="6ADAEF72" w14:textId="77777777" w:rsidR="005E6A97" w:rsidRPr="00086293" w:rsidRDefault="005E6A97" w:rsidP="005E6A97">
      <w:pPr>
        <w:jc w:val="both"/>
        <w:rPr>
          <w:rFonts w:ascii="Arial" w:hAnsi="Arial" w:cs="Arial"/>
        </w:rPr>
      </w:pPr>
      <w:r w:rsidRPr="00086293">
        <w:rPr>
          <w:rFonts w:ascii="Arial" w:hAnsi="Arial" w:cs="Arial"/>
        </w:rPr>
        <w:t>2. Following governmental and specialised associations</w:t>
      </w:r>
    </w:p>
    <w:p w14:paraId="6C20CA7E" w14:textId="77777777" w:rsidR="005E6A97" w:rsidRPr="00086293" w:rsidRDefault="005E6A97" w:rsidP="005E6A97">
      <w:pPr>
        <w:jc w:val="both"/>
        <w:rPr>
          <w:rFonts w:ascii="Arial" w:hAnsi="Arial" w:cs="Arial"/>
        </w:rPr>
      </w:pPr>
      <w:r w:rsidRPr="00086293">
        <w:rPr>
          <w:rFonts w:ascii="Arial" w:hAnsi="Arial" w:cs="Arial"/>
        </w:rPr>
        <w:t>3. Company training about legislative and regulatory changes</w:t>
      </w:r>
    </w:p>
    <w:p w14:paraId="41053B22" w14:textId="77777777" w:rsidR="005E6A97" w:rsidRPr="00086293" w:rsidRDefault="005E6A97" w:rsidP="005E6A97">
      <w:pPr>
        <w:jc w:val="both"/>
        <w:rPr>
          <w:rFonts w:ascii="Arial" w:hAnsi="Arial" w:cs="Arial"/>
        </w:rPr>
      </w:pPr>
      <w:r w:rsidRPr="00086293">
        <w:rPr>
          <w:rFonts w:ascii="Arial" w:hAnsi="Arial" w:cs="Arial"/>
        </w:rPr>
        <w:t>4. Be aware of the news on social media</w:t>
      </w:r>
    </w:p>
    <w:p w14:paraId="00BA6ED5" w14:textId="77777777" w:rsidR="005E6A97" w:rsidRPr="00086293" w:rsidRDefault="005E6A97" w:rsidP="005E6A97">
      <w:pPr>
        <w:jc w:val="both"/>
        <w:rPr>
          <w:rFonts w:ascii="Arial" w:hAnsi="Arial" w:cs="Arial"/>
        </w:rPr>
      </w:pPr>
      <w:r w:rsidRPr="00086293">
        <w:rPr>
          <w:rFonts w:ascii="Arial" w:hAnsi="Arial" w:cs="Arial"/>
        </w:rPr>
        <w:t>5. Social gatherings with colleagues</w:t>
      </w:r>
    </w:p>
    <w:p w14:paraId="0B3A8EF0" w14:textId="77777777" w:rsidR="005E6A97" w:rsidRPr="00086293" w:rsidRDefault="005E6A97" w:rsidP="005E6A97">
      <w:pPr>
        <w:jc w:val="both"/>
        <w:rPr>
          <w:rFonts w:ascii="Arial" w:hAnsi="Arial" w:cs="Arial"/>
        </w:rPr>
      </w:pPr>
    </w:p>
    <w:p w14:paraId="608A5172" w14:textId="77777777" w:rsidR="005E6A97" w:rsidRPr="00086293" w:rsidRDefault="005E6A97" w:rsidP="005E6A97">
      <w:pPr>
        <w:pStyle w:val="Heading3"/>
      </w:pPr>
      <w:r w:rsidRPr="00086293">
        <w:t>The ones I like the most are:</w:t>
      </w:r>
    </w:p>
    <w:p w14:paraId="356379F7" w14:textId="77777777" w:rsidR="005E6A97" w:rsidRPr="00086293" w:rsidRDefault="005E6A97" w:rsidP="005E6A97">
      <w:pPr>
        <w:jc w:val="both"/>
        <w:rPr>
          <w:rFonts w:ascii="Arial" w:hAnsi="Arial" w:cs="Arial"/>
        </w:rPr>
      </w:pPr>
      <w:r w:rsidRPr="00086293">
        <w:rPr>
          <w:rFonts w:ascii="Arial" w:hAnsi="Arial" w:cs="Arial"/>
        </w:rPr>
        <w:t>1. Subscribe to newsletters: I usually subscribe to newsletters from my company and suppliers to stay informed of the latest or most important changes.</w:t>
      </w:r>
    </w:p>
    <w:p w14:paraId="444AB7F8" w14:textId="77777777" w:rsidR="005E6A97" w:rsidRPr="00086293" w:rsidRDefault="005E6A97" w:rsidP="005E6A97">
      <w:pPr>
        <w:jc w:val="both"/>
        <w:rPr>
          <w:rFonts w:ascii="Arial" w:hAnsi="Arial" w:cs="Arial"/>
        </w:rPr>
      </w:pPr>
      <w:r w:rsidRPr="00086293">
        <w:rPr>
          <w:rFonts w:ascii="Arial" w:hAnsi="Arial" w:cs="Arial"/>
        </w:rPr>
        <w:t>2. Company training: I usually have to take refresher courses where I've worked.</w:t>
      </w:r>
    </w:p>
    <w:p w14:paraId="678618D7" w14:textId="01808AA0" w:rsidR="005E6A97" w:rsidRPr="00086293" w:rsidRDefault="005E6A97" w:rsidP="005E6A97">
      <w:pPr>
        <w:jc w:val="both"/>
        <w:rPr>
          <w:rFonts w:ascii="Arial" w:hAnsi="Arial" w:cs="Arial"/>
        </w:rPr>
      </w:pPr>
      <w:r w:rsidRPr="00086293">
        <w:rPr>
          <w:rFonts w:ascii="Arial" w:hAnsi="Arial" w:cs="Arial"/>
        </w:rPr>
        <w:t>3. Social gatherings with colleagues: Some colleagues have more knowledge and are more involved in legal issues.</w:t>
      </w:r>
    </w:p>
    <w:p w14:paraId="6E45F8DC" w14:textId="77777777" w:rsidR="005E6A97" w:rsidRPr="00086293" w:rsidRDefault="005E6A97" w:rsidP="005E6A97">
      <w:pPr>
        <w:jc w:val="both"/>
        <w:rPr>
          <w:rFonts w:ascii="Arial" w:hAnsi="Arial" w:cs="Arial"/>
        </w:rPr>
      </w:pPr>
    </w:p>
    <w:p w14:paraId="1165FB58" w14:textId="0451F30D" w:rsidR="00467C76" w:rsidRPr="00086293" w:rsidRDefault="00467C76">
      <w:pPr>
        <w:suppressAutoHyphens/>
        <w:rPr>
          <w:rFonts w:ascii="Arial" w:hAnsi="Arial" w:cs="Arial"/>
        </w:rPr>
      </w:pPr>
      <w:r w:rsidRPr="00086293">
        <w:rPr>
          <w:rFonts w:ascii="Arial" w:hAnsi="Arial" w:cs="Arial"/>
        </w:rPr>
        <w:br w:type="page"/>
      </w:r>
    </w:p>
    <w:p w14:paraId="02482039" w14:textId="50E91A63" w:rsidR="005E6A97" w:rsidRPr="00086293" w:rsidRDefault="005E6A97" w:rsidP="005E6A97">
      <w:pPr>
        <w:pStyle w:val="Heading2"/>
      </w:pPr>
      <w:r w:rsidRPr="00086293">
        <w:lastRenderedPageBreak/>
        <w:t>4.2 Identify the telecommunications carriers and service providers in Australia</w:t>
      </w:r>
    </w:p>
    <w:p w14:paraId="16E9FC4F" w14:textId="77777777" w:rsidR="005E6A97" w:rsidRPr="00086293" w:rsidRDefault="005E6A97" w:rsidP="005E6A97">
      <w:pPr>
        <w:jc w:val="both"/>
        <w:rPr>
          <w:rFonts w:ascii="Arial" w:hAnsi="Arial" w:cs="Arial"/>
        </w:rPr>
      </w:pPr>
    </w:p>
    <w:p w14:paraId="5C447F97" w14:textId="2C828F1B" w:rsidR="005E6A97" w:rsidRPr="00086293" w:rsidRDefault="005E6A97" w:rsidP="005E6A97">
      <w:pPr>
        <w:pStyle w:val="Heading3"/>
      </w:pPr>
      <w:r w:rsidRPr="00086293">
        <w:t>List the carriers and service providers in Australia:</w:t>
      </w:r>
    </w:p>
    <w:p w14:paraId="7950AA7E" w14:textId="77777777" w:rsidR="005E6A97" w:rsidRPr="00086293" w:rsidRDefault="005E6A97" w:rsidP="005E6A97">
      <w:pPr>
        <w:rPr>
          <w:rFonts w:ascii="Arial" w:hAnsi="Arial" w:cs="Arial"/>
        </w:rPr>
      </w:pPr>
    </w:p>
    <w:p w14:paraId="2C856863" w14:textId="7CC4220E" w:rsidR="005E6A97" w:rsidRPr="00086293" w:rsidRDefault="005E6A97" w:rsidP="005E6A97">
      <w:pPr>
        <w:rPr>
          <w:rFonts w:ascii="Arial" w:hAnsi="Arial" w:cs="Arial"/>
        </w:rPr>
      </w:pPr>
      <w:r w:rsidRPr="00086293">
        <w:rPr>
          <w:rFonts w:ascii="Arial" w:hAnsi="Arial" w:cs="Arial"/>
        </w:rPr>
        <w:t xml:space="preserve">Register of licensed carriers: </w:t>
      </w:r>
      <w:hyperlink r:id="rId9" w:history="1">
        <w:r w:rsidR="00F24A35" w:rsidRPr="00086293">
          <w:rPr>
            <w:rStyle w:val="Hyperlink"/>
            <w:rFonts w:ascii="Arial" w:hAnsi="Arial" w:cs="Arial"/>
          </w:rPr>
          <w:t>https://www.acma.gov.au/register-licensed-carriers</w:t>
        </w:r>
      </w:hyperlink>
      <w:r w:rsidR="00F24A35" w:rsidRPr="00086293">
        <w:rPr>
          <w:rFonts w:ascii="Arial" w:hAnsi="Arial" w:cs="Arial"/>
        </w:rPr>
        <w:t xml:space="preserve"> </w:t>
      </w:r>
    </w:p>
    <w:p w14:paraId="15027ABB" w14:textId="77777777" w:rsidR="005E6A97" w:rsidRPr="00086293" w:rsidRDefault="005E6A97" w:rsidP="005E6A97">
      <w:pPr>
        <w:rPr>
          <w:rFonts w:ascii="Arial" w:hAnsi="Arial" w:cs="Arial"/>
        </w:rPr>
      </w:pPr>
    </w:p>
    <w:p w14:paraId="1B2B0677" w14:textId="77777777" w:rsidR="005E6A97" w:rsidRPr="00086293" w:rsidRDefault="005E6A97" w:rsidP="005E6A97">
      <w:pPr>
        <w:rPr>
          <w:rFonts w:ascii="Arial" w:hAnsi="Arial" w:cs="Arial"/>
          <w:b/>
          <w:bCs/>
        </w:rPr>
      </w:pPr>
      <w:r w:rsidRPr="00086293">
        <w:rPr>
          <w:rFonts w:ascii="Arial" w:hAnsi="Arial" w:cs="Arial"/>
          <w:b/>
          <w:bCs/>
        </w:rPr>
        <w:t>Some telecommunications carriers:</w:t>
      </w:r>
    </w:p>
    <w:p w14:paraId="5CA3D55A" w14:textId="3B42D04E" w:rsidR="005E6A97" w:rsidRPr="00086293" w:rsidRDefault="005E6A97" w:rsidP="000F437F">
      <w:pPr>
        <w:pStyle w:val="ListParagraph"/>
        <w:numPr>
          <w:ilvl w:val="0"/>
          <w:numId w:val="7"/>
        </w:numPr>
        <w:rPr>
          <w:rFonts w:ascii="Arial" w:hAnsi="Arial" w:cs="Arial"/>
        </w:rPr>
      </w:pPr>
      <w:r w:rsidRPr="00086293">
        <w:rPr>
          <w:rFonts w:ascii="Arial" w:hAnsi="Arial" w:cs="Arial"/>
        </w:rPr>
        <w:t>5G Network Operations Pty Ltd</w:t>
      </w:r>
    </w:p>
    <w:p w14:paraId="143CBA89" w14:textId="4ECF3DA6" w:rsidR="005E6A97" w:rsidRPr="00086293" w:rsidRDefault="005E6A97" w:rsidP="000F437F">
      <w:pPr>
        <w:pStyle w:val="ListParagraph"/>
        <w:numPr>
          <w:ilvl w:val="0"/>
          <w:numId w:val="7"/>
        </w:numPr>
        <w:rPr>
          <w:rFonts w:ascii="Arial" w:hAnsi="Arial" w:cs="Arial"/>
        </w:rPr>
      </w:pPr>
      <w:r w:rsidRPr="00086293">
        <w:rPr>
          <w:rFonts w:ascii="Arial" w:hAnsi="Arial" w:cs="Arial"/>
        </w:rPr>
        <w:t>A.C.N. 625 580 332 Pty Ltd</w:t>
      </w:r>
    </w:p>
    <w:p w14:paraId="78CCCF44" w14:textId="00B39E31" w:rsidR="005E6A97" w:rsidRPr="00086293" w:rsidRDefault="005E6A97" w:rsidP="000F437F">
      <w:pPr>
        <w:pStyle w:val="ListParagraph"/>
        <w:numPr>
          <w:ilvl w:val="0"/>
          <w:numId w:val="7"/>
        </w:numPr>
        <w:rPr>
          <w:rFonts w:ascii="Arial" w:hAnsi="Arial" w:cs="Arial"/>
        </w:rPr>
      </w:pPr>
      <w:r w:rsidRPr="00086293">
        <w:rPr>
          <w:rFonts w:ascii="Arial" w:hAnsi="Arial" w:cs="Arial"/>
        </w:rPr>
        <w:t>AAPT Limited (formerly AAP Telecommunications Pty Ltd)</w:t>
      </w:r>
    </w:p>
    <w:p w14:paraId="64385811" w14:textId="70242463" w:rsidR="005E6A97" w:rsidRPr="00086293" w:rsidRDefault="005E6A97" w:rsidP="000F437F">
      <w:pPr>
        <w:pStyle w:val="ListParagraph"/>
        <w:numPr>
          <w:ilvl w:val="0"/>
          <w:numId w:val="7"/>
        </w:numPr>
        <w:rPr>
          <w:rFonts w:ascii="Arial" w:hAnsi="Arial" w:cs="Arial"/>
        </w:rPr>
      </w:pPr>
      <w:r w:rsidRPr="00086293">
        <w:rPr>
          <w:rFonts w:ascii="Arial" w:hAnsi="Arial" w:cs="Arial"/>
        </w:rPr>
        <w:t>Amazon Kuiper Australia Pty Ltd</w:t>
      </w:r>
    </w:p>
    <w:p w14:paraId="76B958FB" w14:textId="62D4E253" w:rsidR="005E6A97" w:rsidRPr="00086293" w:rsidRDefault="005E6A97" w:rsidP="000F437F">
      <w:pPr>
        <w:pStyle w:val="ListParagraph"/>
        <w:numPr>
          <w:ilvl w:val="0"/>
          <w:numId w:val="7"/>
        </w:numPr>
        <w:rPr>
          <w:rFonts w:ascii="Arial" w:hAnsi="Arial" w:cs="Arial"/>
        </w:rPr>
      </w:pPr>
      <w:r w:rsidRPr="00086293">
        <w:rPr>
          <w:rFonts w:ascii="Arial" w:hAnsi="Arial" w:cs="Arial"/>
        </w:rPr>
        <w:t>EscapeNet Pty Ltd</w:t>
      </w:r>
    </w:p>
    <w:p w14:paraId="36225F17" w14:textId="19B68237" w:rsidR="005E6A97" w:rsidRPr="00086293" w:rsidRDefault="005E6A97" w:rsidP="000F437F">
      <w:pPr>
        <w:pStyle w:val="ListParagraph"/>
        <w:numPr>
          <w:ilvl w:val="0"/>
          <w:numId w:val="7"/>
        </w:numPr>
        <w:rPr>
          <w:rFonts w:ascii="Arial" w:hAnsi="Arial" w:cs="Arial"/>
        </w:rPr>
      </w:pPr>
      <w:r w:rsidRPr="00086293">
        <w:rPr>
          <w:rFonts w:ascii="Arial" w:hAnsi="Arial" w:cs="Arial"/>
        </w:rPr>
        <w:t>Optus Mobile Pty Ltd (formerly Mobilcom (Australia) Pty Limited)</w:t>
      </w:r>
    </w:p>
    <w:p w14:paraId="5FA6B425" w14:textId="12D63B9B" w:rsidR="005E6A97" w:rsidRPr="00086293" w:rsidRDefault="005E6A97" w:rsidP="000F437F">
      <w:pPr>
        <w:pStyle w:val="ListParagraph"/>
        <w:numPr>
          <w:ilvl w:val="0"/>
          <w:numId w:val="7"/>
        </w:numPr>
        <w:rPr>
          <w:rFonts w:ascii="Arial" w:hAnsi="Arial" w:cs="Arial"/>
        </w:rPr>
      </w:pPr>
      <w:r w:rsidRPr="00086293">
        <w:rPr>
          <w:rFonts w:ascii="Arial" w:hAnsi="Arial" w:cs="Arial"/>
        </w:rPr>
        <w:t>Telstra Corporation Limited (formerly Australian and Overseas Telecommunications Corporation Limited)</w:t>
      </w:r>
    </w:p>
    <w:p w14:paraId="1959D186" w14:textId="00CD651F" w:rsidR="005E6A97" w:rsidRPr="00086293" w:rsidRDefault="005E6A97" w:rsidP="000F437F">
      <w:pPr>
        <w:pStyle w:val="ListParagraph"/>
        <w:numPr>
          <w:ilvl w:val="0"/>
          <w:numId w:val="7"/>
        </w:numPr>
        <w:rPr>
          <w:rFonts w:ascii="Arial" w:hAnsi="Arial" w:cs="Arial"/>
        </w:rPr>
      </w:pPr>
      <w:r w:rsidRPr="00086293">
        <w:rPr>
          <w:rFonts w:ascii="Arial" w:hAnsi="Arial" w:cs="Arial"/>
        </w:rPr>
        <w:t>TPG Telecom Limited (formerly Hutchison 3G Australia Pty Limited)</w:t>
      </w:r>
    </w:p>
    <w:p w14:paraId="7DE73E60" w14:textId="77777777" w:rsidR="005E6A97" w:rsidRPr="00086293" w:rsidRDefault="005E6A97" w:rsidP="005E6A97">
      <w:pPr>
        <w:rPr>
          <w:rFonts w:ascii="Arial" w:hAnsi="Arial" w:cs="Arial"/>
        </w:rPr>
      </w:pPr>
    </w:p>
    <w:p w14:paraId="2B50E050" w14:textId="77777777" w:rsidR="005E6A97" w:rsidRPr="00086293" w:rsidRDefault="005E6A97" w:rsidP="005E6A97">
      <w:pPr>
        <w:rPr>
          <w:rFonts w:ascii="Arial" w:hAnsi="Arial" w:cs="Arial"/>
        </w:rPr>
      </w:pPr>
    </w:p>
    <w:p w14:paraId="0E1B757E" w14:textId="409DCE78" w:rsidR="0029318B" w:rsidRPr="00086293" w:rsidRDefault="005E6A97" w:rsidP="0029318B">
      <w:pPr>
        <w:rPr>
          <w:rFonts w:ascii="Arial" w:hAnsi="Arial" w:cs="Arial"/>
          <w:b/>
          <w:bCs/>
        </w:rPr>
      </w:pPr>
      <w:r w:rsidRPr="00086293">
        <w:rPr>
          <w:rFonts w:ascii="Arial" w:hAnsi="Arial" w:cs="Arial"/>
          <w:b/>
          <w:bCs/>
        </w:rPr>
        <w:t>Some carriage service providers:</w:t>
      </w:r>
    </w:p>
    <w:p w14:paraId="51341B11" w14:textId="43EDD6FC" w:rsidR="000F437F" w:rsidRPr="00086293" w:rsidRDefault="000F437F" w:rsidP="000F437F">
      <w:pPr>
        <w:pStyle w:val="ListParagraph"/>
        <w:numPr>
          <w:ilvl w:val="0"/>
          <w:numId w:val="6"/>
        </w:numPr>
        <w:rPr>
          <w:rFonts w:ascii="Arial" w:hAnsi="Arial" w:cs="Arial"/>
        </w:rPr>
      </w:pPr>
      <w:r w:rsidRPr="00086293">
        <w:rPr>
          <w:rFonts w:ascii="Arial" w:hAnsi="Arial" w:cs="Arial"/>
        </w:rPr>
        <w:t>Optus AAPT</w:t>
      </w:r>
    </w:p>
    <w:p w14:paraId="56FF3BAF" w14:textId="77777777" w:rsidR="000F437F" w:rsidRPr="00086293" w:rsidRDefault="000F437F" w:rsidP="000F437F">
      <w:pPr>
        <w:pStyle w:val="ListParagraph"/>
        <w:numPr>
          <w:ilvl w:val="0"/>
          <w:numId w:val="6"/>
        </w:numPr>
        <w:rPr>
          <w:rFonts w:ascii="Arial" w:hAnsi="Arial" w:cs="Arial"/>
        </w:rPr>
      </w:pPr>
      <w:r w:rsidRPr="00086293">
        <w:rPr>
          <w:rFonts w:ascii="Arial" w:hAnsi="Arial" w:cs="Arial"/>
        </w:rPr>
        <w:t>iiNet</w:t>
      </w:r>
    </w:p>
    <w:p w14:paraId="18A1809E" w14:textId="77777777" w:rsidR="000F437F" w:rsidRPr="00086293" w:rsidRDefault="000F437F" w:rsidP="000F437F">
      <w:pPr>
        <w:pStyle w:val="ListParagraph"/>
        <w:numPr>
          <w:ilvl w:val="0"/>
          <w:numId w:val="6"/>
        </w:numPr>
        <w:rPr>
          <w:rFonts w:ascii="Arial" w:hAnsi="Arial" w:cs="Arial"/>
        </w:rPr>
      </w:pPr>
      <w:r w:rsidRPr="00086293">
        <w:rPr>
          <w:rFonts w:ascii="Arial" w:hAnsi="Arial" w:cs="Arial"/>
        </w:rPr>
        <w:t>JB HiFi</w:t>
      </w:r>
    </w:p>
    <w:p w14:paraId="06CFF14A" w14:textId="77777777" w:rsidR="000F437F" w:rsidRPr="00086293" w:rsidRDefault="000F437F" w:rsidP="000F437F">
      <w:pPr>
        <w:pStyle w:val="ListParagraph"/>
        <w:numPr>
          <w:ilvl w:val="0"/>
          <w:numId w:val="6"/>
        </w:numPr>
        <w:rPr>
          <w:rFonts w:ascii="Arial" w:hAnsi="Arial" w:cs="Arial"/>
        </w:rPr>
      </w:pPr>
      <w:r w:rsidRPr="00086293">
        <w:rPr>
          <w:rFonts w:ascii="Arial" w:hAnsi="Arial" w:cs="Arial"/>
        </w:rPr>
        <w:t>Kogan Mobile</w:t>
      </w:r>
    </w:p>
    <w:p w14:paraId="726846B9" w14:textId="77777777" w:rsidR="000F437F" w:rsidRPr="00086293" w:rsidRDefault="000F437F" w:rsidP="000F437F">
      <w:pPr>
        <w:pStyle w:val="ListParagraph"/>
        <w:numPr>
          <w:ilvl w:val="0"/>
          <w:numId w:val="6"/>
        </w:numPr>
        <w:rPr>
          <w:rFonts w:ascii="Arial" w:hAnsi="Arial" w:cs="Arial"/>
        </w:rPr>
      </w:pPr>
      <w:r w:rsidRPr="00086293">
        <w:rPr>
          <w:rFonts w:ascii="Arial" w:hAnsi="Arial" w:cs="Arial"/>
        </w:rPr>
        <w:t>MeU Mobile</w:t>
      </w:r>
    </w:p>
    <w:p w14:paraId="256E12CE" w14:textId="77777777" w:rsidR="000F437F" w:rsidRPr="00086293" w:rsidRDefault="000F437F" w:rsidP="000F437F">
      <w:pPr>
        <w:pStyle w:val="ListParagraph"/>
        <w:numPr>
          <w:ilvl w:val="0"/>
          <w:numId w:val="6"/>
        </w:numPr>
        <w:rPr>
          <w:rFonts w:ascii="Arial" w:hAnsi="Arial" w:cs="Arial"/>
        </w:rPr>
      </w:pPr>
      <w:r w:rsidRPr="00086293">
        <w:rPr>
          <w:rFonts w:ascii="Arial" w:hAnsi="Arial" w:cs="Arial"/>
        </w:rPr>
        <w:t>Amaysim</w:t>
      </w:r>
    </w:p>
    <w:p w14:paraId="0AD43C62" w14:textId="77777777" w:rsidR="000F437F" w:rsidRPr="00086293" w:rsidRDefault="000F437F" w:rsidP="000F437F">
      <w:pPr>
        <w:pStyle w:val="ListParagraph"/>
        <w:numPr>
          <w:ilvl w:val="0"/>
          <w:numId w:val="6"/>
        </w:numPr>
        <w:rPr>
          <w:rFonts w:ascii="Arial" w:hAnsi="Arial" w:cs="Arial"/>
        </w:rPr>
      </w:pPr>
      <w:r w:rsidRPr="00086293">
        <w:rPr>
          <w:rFonts w:ascii="Arial" w:hAnsi="Arial" w:cs="Arial"/>
        </w:rPr>
        <w:t>NBN</w:t>
      </w:r>
    </w:p>
    <w:p w14:paraId="0B1D4363" w14:textId="77777777" w:rsidR="000F437F" w:rsidRPr="00086293" w:rsidRDefault="000F437F" w:rsidP="000F437F">
      <w:pPr>
        <w:pStyle w:val="ListParagraph"/>
        <w:numPr>
          <w:ilvl w:val="0"/>
          <w:numId w:val="6"/>
        </w:numPr>
        <w:rPr>
          <w:rFonts w:ascii="Arial" w:hAnsi="Arial" w:cs="Arial"/>
        </w:rPr>
      </w:pPr>
      <w:r w:rsidRPr="00086293">
        <w:rPr>
          <w:rFonts w:ascii="Arial" w:hAnsi="Arial" w:cs="Arial"/>
        </w:rPr>
        <w:t>Optus</w:t>
      </w:r>
    </w:p>
    <w:p w14:paraId="7CAEE0E3" w14:textId="77777777" w:rsidR="000F437F" w:rsidRPr="00086293" w:rsidRDefault="000F437F" w:rsidP="000F437F">
      <w:pPr>
        <w:pStyle w:val="ListParagraph"/>
        <w:numPr>
          <w:ilvl w:val="0"/>
          <w:numId w:val="6"/>
        </w:numPr>
        <w:rPr>
          <w:rFonts w:ascii="Arial" w:hAnsi="Arial" w:cs="Arial"/>
        </w:rPr>
      </w:pPr>
      <w:r w:rsidRPr="00086293">
        <w:rPr>
          <w:rFonts w:ascii="Arial" w:hAnsi="Arial" w:cs="Arial"/>
        </w:rPr>
        <w:t>Telstra</w:t>
      </w:r>
    </w:p>
    <w:p w14:paraId="5BF65FF2" w14:textId="77777777" w:rsidR="000F437F" w:rsidRPr="00086293" w:rsidRDefault="000F437F" w:rsidP="000F437F">
      <w:pPr>
        <w:pStyle w:val="ListParagraph"/>
        <w:numPr>
          <w:ilvl w:val="0"/>
          <w:numId w:val="6"/>
        </w:numPr>
        <w:rPr>
          <w:rFonts w:ascii="Arial" w:hAnsi="Arial" w:cs="Arial"/>
        </w:rPr>
      </w:pPr>
      <w:r w:rsidRPr="00086293">
        <w:rPr>
          <w:rFonts w:ascii="Arial" w:hAnsi="Arial" w:cs="Arial"/>
        </w:rPr>
        <w:t>TPG Telecom</w:t>
      </w:r>
    </w:p>
    <w:p w14:paraId="15CBADF2" w14:textId="77777777" w:rsidR="000F437F" w:rsidRPr="00086293" w:rsidRDefault="000F437F" w:rsidP="000F437F">
      <w:pPr>
        <w:pStyle w:val="ListParagraph"/>
        <w:numPr>
          <w:ilvl w:val="0"/>
          <w:numId w:val="6"/>
        </w:numPr>
        <w:rPr>
          <w:rFonts w:ascii="Arial" w:hAnsi="Arial" w:cs="Arial"/>
        </w:rPr>
      </w:pPr>
      <w:r w:rsidRPr="00086293">
        <w:rPr>
          <w:rFonts w:ascii="Arial" w:hAnsi="Arial" w:cs="Arial"/>
        </w:rPr>
        <w:t>Virgin Mobile</w:t>
      </w:r>
    </w:p>
    <w:p w14:paraId="41DCC706" w14:textId="77777777" w:rsidR="000F437F" w:rsidRPr="00086293" w:rsidRDefault="000F437F" w:rsidP="000F437F">
      <w:pPr>
        <w:pStyle w:val="ListParagraph"/>
        <w:numPr>
          <w:ilvl w:val="0"/>
          <w:numId w:val="6"/>
        </w:numPr>
        <w:rPr>
          <w:rFonts w:ascii="Arial" w:hAnsi="Arial" w:cs="Arial"/>
        </w:rPr>
      </w:pPr>
      <w:r w:rsidRPr="00086293">
        <w:rPr>
          <w:rFonts w:ascii="Arial" w:hAnsi="Arial" w:cs="Arial"/>
        </w:rPr>
        <w:t>Vodafone</w:t>
      </w:r>
    </w:p>
    <w:p w14:paraId="4DCC0E2A" w14:textId="77777777" w:rsidR="000F437F" w:rsidRPr="00086293" w:rsidRDefault="000F437F" w:rsidP="000F437F">
      <w:pPr>
        <w:pStyle w:val="ListParagraph"/>
        <w:numPr>
          <w:ilvl w:val="0"/>
          <w:numId w:val="6"/>
        </w:numPr>
        <w:rPr>
          <w:rFonts w:ascii="Arial" w:hAnsi="Arial" w:cs="Arial"/>
        </w:rPr>
      </w:pPr>
      <w:r w:rsidRPr="00086293">
        <w:rPr>
          <w:rFonts w:ascii="Arial" w:hAnsi="Arial" w:cs="Arial"/>
        </w:rPr>
        <w:t>Woolworths</w:t>
      </w:r>
    </w:p>
    <w:p w14:paraId="28484B0F" w14:textId="77777777" w:rsidR="000F437F" w:rsidRPr="00086293" w:rsidRDefault="000F437F" w:rsidP="000F437F">
      <w:pPr>
        <w:pStyle w:val="ListParagraph"/>
        <w:numPr>
          <w:ilvl w:val="0"/>
          <w:numId w:val="6"/>
        </w:numPr>
        <w:rPr>
          <w:rFonts w:ascii="Arial" w:hAnsi="Arial" w:cs="Arial"/>
        </w:rPr>
      </w:pPr>
      <w:r w:rsidRPr="00086293">
        <w:rPr>
          <w:rFonts w:ascii="Arial" w:hAnsi="Arial" w:cs="Arial"/>
        </w:rPr>
        <w:t>Aldi Mobile</w:t>
      </w:r>
    </w:p>
    <w:p w14:paraId="78744434" w14:textId="77777777" w:rsidR="000F437F" w:rsidRPr="00086293" w:rsidRDefault="000F437F" w:rsidP="000F437F">
      <w:pPr>
        <w:pStyle w:val="ListParagraph"/>
        <w:numPr>
          <w:ilvl w:val="0"/>
          <w:numId w:val="6"/>
        </w:numPr>
        <w:rPr>
          <w:rFonts w:ascii="Arial" w:hAnsi="Arial" w:cs="Arial"/>
        </w:rPr>
      </w:pPr>
      <w:r w:rsidRPr="00086293">
        <w:rPr>
          <w:rFonts w:ascii="Arial" w:hAnsi="Arial" w:cs="Arial"/>
        </w:rPr>
        <w:t>Dodo,</w:t>
      </w:r>
    </w:p>
    <w:p w14:paraId="1F698337" w14:textId="77777777" w:rsidR="000F437F" w:rsidRPr="00086293" w:rsidRDefault="000F437F" w:rsidP="000F437F">
      <w:pPr>
        <w:pStyle w:val="ListParagraph"/>
        <w:numPr>
          <w:ilvl w:val="0"/>
          <w:numId w:val="6"/>
        </w:numPr>
        <w:rPr>
          <w:rFonts w:ascii="Arial" w:hAnsi="Arial" w:cs="Arial"/>
        </w:rPr>
      </w:pPr>
      <w:r w:rsidRPr="00086293">
        <w:rPr>
          <w:rFonts w:ascii="Arial" w:hAnsi="Arial" w:cs="Arial"/>
        </w:rPr>
        <w:t>iiNet,</w:t>
      </w:r>
    </w:p>
    <w:p w14:paraId="2DDBA66E" w14:textId="77777777" w:rsidR="000F437F" w:rsidRPr="00086293" w:rsidRDefault="000F437F" w:rsidP="000F437F">
      <w:pPr>
        <w:pStyle w:val="ListParagraph"/>
        <w:numPr>
          <w:ilvl w:val="0"/>
          <w:numId w:val="6"/>
        </w:numPr>
        <w:rPr>
          <w:rFonts w:ascii="Arial" w:hAnsi="Arial" w:cs="Arial"/>
        </w:rPr>
      </w:pPr>
      <w:r w:rsidRPr="00086293">
        <w:rPr>
          <w:rFonts w:ascii="Arial" w:hAnsi="Arial" w:cs="Arial"/>
        </w:rPr>
        <w:t>Lebara Mobile</w:t>
      </w:r>
    </w:p>
    <w:p w14:paraId="5E8C8E72" w14:textId="77777777" w:rsidR="000F437F" w:rsidRPr="00086293" w:rsidRDefault="000F437F" w:rsidP="000F437F">
      <w:pPr>
        <w:pStyle w:val="ListParagraph"/>
        <w:numPr>
          <w:ilvl w:val="0"/>
          <w:numId w:val="6"/>
        </w:numPr>
        <w:rPr>
          <w:rFonts w:ascii="Arial" w:hAnsi="Arial" w:cs="Arial"/>
        </w:rPr>
      </w:pPr>
      <w:r w:rsidRPr="00086293">
        <w:rPr>
          <w:rFonts w:ascii="Arial" w:hAnsi="Arial" w:cs="Arial"/>
        </w:rPr>
        <w:t>Felix Mobile</w:t>
      </w:r>
    </w:p>
    <w:p w14:paraId="33C266D0" w14:textId="51418600" w:rsidR="005E6A97" w:rsidRPr="00086293" w:rsidRDefault="000F437F" w:rsidP="000F437F">
      <w:pPr>
        <w:pStyle w:val="ListParagraph"/>
        <w:numPr>
          <w:ilvl w:val="0"/>
          <w:numId w:val="6"/>
        </w:numPr>
        <w:rPr>
          <w:rFonts w:ascii="Arial" w:hAnsi="Arial" w:cs="Arial"/>
        </w:rPr>
      </w:pPr>
      <w:r w:rsidRPr="00086293">
        <w:rPr>
          <w:rFonts w:ascii="Arial" w:hAnsi="Arial" w:cs="Arial"/>
        </w:rPr>
        <w:t>Tangerine</w:t>
      </w:r>
    </w:p>
    <w:p w14:paraId="41BA76C7" w14:textId="430A2DEF" w:rsidR="005E6A97" w:rsidRPr="00086293" w:rsidRDefault="00123C81" w:rsidP="00123C81">
      <w:pPr>
        <w:pStyle w:val="Heading2"/>
      </w:pPr>
      <w:r w:rsidRPr="00086293">
        <w:lastRenderedPageBreak/>
        <w:t>4.3 Summarise legislation relevant to the networking industry.</w:t>
      </w:r>
    </w:p>
    <w:p w14:paraId="4F97FA2F" w14:textId="77777777" w:rsidR="00123C81" w:rsidRPr="00086293" w:rsidRDefault="00123C81" w:rsidP="00123C81">
      <w:pPr>
        <w:rPr>
          <w:rFonts w:ascii="Arial" w:hAnsi="Arial" w:cs="Arial"/>
        </w:rPr>
      </w:pPr>
    </w:p>
    <w:p w14:paraId="421E6C56" w14:textId="77777777" w:rsidR="00123C81" w:rsidRPr="00086293" w:rsidRDefault="00123C81" w:rsidP="00123C81">
      <w:pPr>
        <w:rPr>
          <w:rFonts w:ascii="Arial" w:hAnsi="Arial" w:cs="Arial"/>
        </w:rPr>
      </w:pPr>
    </w:p>
    <w:tbl>
      <w:tblPr>
        <w:tblW w:w="0" w:type="dxa"/>
        <w:tblCellMar>
          <w:left w:w="0" w:type="dxa"/>
          <w:right w:w="0" w:type="dxa"/>
        </w:tblCellMar>
        <w:tblLook w:val="04A0" w:firstRow="1" w:lastRow="0" w:firstColumn="1" w:lastColumn="0" w:noHBand="0" w:noVBand="1"/>
      </w:tblPr>
      <w:tblGrid>
        <w:gridCol w:w="4931"/>
        <w:gridCol w:w="10984"/>
        <w:gridCol w:w="5860"/>
        <w:gridCol w:w="5494"/>
      </w:tblGrid>
      <w:tr w:rsidR="00BF3D01" w:rsidRPr="00086293" w14:paraId="5668946F" w14:textId="77777777">
        <w:trPr>
          <w:trHeight w:val="285"/>
        </w:trPr>
        <w:tc>
          <w:tcPr>
            <w:tcW w:w="0" w:type="auto"/>
            <w:tcBorders>
              <w:top w:val="single" w:sz="6" w:space="0" w:color="CCCCCC"/>
              <w:left w:val="single" w:sz="6" w:space="0" w:color="CCCCCC"/>
              <w:bottom w:val="single" w:sz="6" w:space="0" w:color="000000"/>
              <w:right w:val="single" w:sz="6" w:space="0" w:color="CCCCCC"/>
            </w:tcBorders>
            <w:shd w:val="clear" w:color="auto" w:fill="CFE2F3"/>
            <w:vAlign w:val="bottom"/>
            <w:hideMark/>
          </w:tcPr>
          <w:p w14:paraId="6D3C6533" w14:textId="77777777" w:rsidR="00BF3D01" w:rsidRPr="00086293" w:rsidRDefault="00BF3D01" w:rsidP="00BF3D01">
            <w:pPr>
              <w:rPr>
                <w:rFonts w:ascii="Arial" w:hAnsi="Arial" w:cs="Arial"/>
                <w:b/>
                <w:bCs/>
              </w:rPr>
            </w:pPr>
            <w:r w:rsidRPr="00086293">
              <w:rPr>
                <w:rFonts w:ascii="Arial" w:hAnsi="Arial" w:cs="Arial"/>
                <w:b/>
                <w:bCs/>
              </w:rPr>
              <w:t>3. Identify and summarise legislation relevant to the networking industry.</w:t>
            </w:r>
          </w:p>
        </w:tc>
        <w:tc>
          <w:tcPr>
            <w:tcW w:w="0" w:type="auto"/>
            <w:tcBorders>
              <w:top w:val="single" w:sz="6" w:space="0" w:color="CCCCCC"/>
              <w:left w:val="single" w:sz="6" w:space="0" w:color="CCCCCC"/>
              <w:bottom w:val="single" w:sz="6" w:space="0" w:color="000000"/>
              <w:right w:val="single" w:sz="6" w:space="0" w:color="CCCCCC"/>
            </w:tcBorders>
            <w:shd w:val="clear" w:color="auto" w:fill="CFE2F3"/>
            <w:tcMar>
              <w:top w:w="0" w:type="dxa"/>
              <w:left w:w="45" w:type="dxa"/>
              <w:bottom w:w="0" w:type="dxa"/>
              <w:right w:w="45" w:type="dxa"/>
            </w:tcMar>
            <w:vAlign w:val="bottom"/>
            <w:hideMark/>
          </w:tcPr>
          <w:p w14:paraId="41033FA0" w14:textId="77777777" w:rsidR="00BF3D01" w:rsidRPr="00086293" w:rsidRDefault="00BF3D01" w:rsidP="00BF3D01">
            <w:pPr>
              <w:rPr>
                <w:rFonts w:ascii="Arial" w:hAnsi="Arial" w:cs="Arial"/>
                <w:b/>
                <w:bCs/>
              </w:rPr>
            </w:pPr>
          </w:p>
        </w:tc>
        <w:tc>
          <w:tcPr>
            <w:tcW w:w="0" w:type="auto"/>
            <w:tcBorders>
              <w:top w:val="single" w:sz="6" w:space="0" w:color="CCCCCC"/>
              <w:left w:val="single" w:sz="6" w:space="0" w:color="CCCCCC"/>
              <w:bottom w:val="single" w:sz="6" w:space="0" w:color="000000"/>
              <w:right w:val="single" w:sz="6" w:space="0" w:color="CCCCCC"/>
            </w:tcBorders>
            <w:shd w:val="clear" w:color="auto" w:fill="CFE2F3"/>
            <w:tcMar>
              <w:top w:w="0" w:type="dxa"/>
              <w:left w:w="45" w:type="dxa"/>
              <w:bottom w:w="0" w:type="dxa"/>
              <w:right w:w="45" w:type="dxa"/>
            </w:tcMar>
            <w:vAlign w:val="bottom"/>
            <w:hideMark/>
          </w:tcPr>
          <w:p w14:paraId="34ACBEC2" w14:textId="77777777" w:rsidR="00BF3D01" w:rsidRPr="00086293" w:rsidRDefault="00BF3D01" w:rsidP="00BF3D01">
            <w:pPr>
              <w:rPr>
                <w:rFonts w:ascii="Arial" w:hAnsi="Arial" w:cs="Arial"/>
              </w:rPr>
            </w:pPr>
          </w:p>
        </w:tc>
        <w:tc>
          <w:tcPr>
            <w:tcW w:w="0" w:type="auto"/>
            <w:tcBorders>
              <w:top w:val="single" w:sz="6" w:space="0" w:color="CCCCCC"/>
              <w:left w:val="single" w:sz="6" w:space="0" w:color="CCCCCC"/>
              <w:bottom w:val="single" w:sz="6" w:space="0" w:color="000000"/>
              <w:right w:val="single" w:sz="6" w:space="0" w:color="CCCCCC"/>
            </w:tcBorders>
            <w:shd w:val="clear" w:color="auto" w:fill="CFE2F3"/>
            <w:tcMar>
              <w:top w:w="0" w:type="dxa"/>
              <w:left w:w="45" w:type="dxa"/>
              <w:bottom w:w="0" w:type="dxa"/>
              <w:right w:w="45" w:type="dxa"/>
            </w:tcMar>
            <w:vAlign w:val="bottom"/>
            <w:hideMark/>
          </w:tcPr>
          <w:p w14:paraId="621EE5F3" w14:textId="77777777" w:rsidR="00BF3D01" w:rsidRPr="00086293" w:rsidRDefault="00BF3D01" w:rsidP="00BF3D01">
            <w:pPr>
              <w:rPr>
                <w:rFonts w:ascii="Arial" w:hAnsi="Arial" w:cs="Arial"/>
              </w:rPr>
            </w:pPr>
          </w:p>
        </w:tc>
      </w:tr>
      <w:tr w:rsidR="00BF3D01" w:rsidRPr="00086293" w14:paraId="016FA8C0"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center"/>
            <w:hideMark/>
          </w:tcPr>
          <w:p w14:paraId="05135B84" w14:textId="77777777" w:rsidR="00BF3D01" w:rsidRPr="00086293" w:rsidRDefault="00BF3D01" w:rsidP="00BF3D01">
            <w:pPr>
              <w:rPr>
                <w:rFonts w:ascii="Arial" w:hAnsi="Arial" w:cs="Arial"/>
                <w:b/>
                <w:bCs/>
              </w:rPr>
            </w:pPr>
            <w:r w:rsidRPr="00086293">
              <w:rPr>
                <w:rFonts w:ascii="Arial" w:hAnsi="Arial" w:cs="Arial"/>
                <w:b/>
                <w:bCs/>
              </w:rPr>
              <w:t>Legislation</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center"/>
            <w:hideMark/>
          </w:tcPr>
          <w:p w14:paraId="52AA8DBA" w14:textId="77777777" w:rsidR="00BF3D01" w:rsidRPr="00086293" w:rsidRDefault="00BF3D01" w:rsidP="00BF3D01">
            <w:pPr>
              <w:rPr>
                <w:rFonts w:ascii="Arial" w:hAnsi="Arial" w:cs="Arial"/>
                <w:b/>
                <w:bCs/>
              </w:rPr>
            </w:pPr>
            <w:r w:rsidRPr="00086293">
              <w:rPr>
                <w:rFonts w:ascii="Arial" w:hAnsi="Arial" w:cs="Arial"/>
                <w:b/>
                <w:bCs/>
              </w:rPr>
              <w:t>Summary</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center"/>
            <w:hideMark/>
          </w:tcPr>
          <w:p w14:paraId="740BE9F1" w14:textId="77777777" w:rsidR="00BF3D01" w:rsidRPr="00086293" w:rsidRDefault="00BF3D01" w:rsidP="00BF3D01">
            <w:pPr>
              <w:rPr>
                <w:rFonts w:ascii="Arial" w:hAnsi="Arial" w:cs="Arial"/>
                <w:b/>
                <w:bCs/>
              </w:rPr>
            </w:pPr>
            <w:r w:rsidRPr="00086293">
              <w:rPr>
                <w:rFonts w:ascii="Arial" w:hAnsi="Arial" w:cs="Arial"/>
                <w:b/>
                <w:bCs/>
              </w:rPr>
              <w:t>Main functions</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center"/>
            <w:hideMark/>
          </w:tcPr>
          <w:p w14:paraId="081AA66F" w14:textId="77777777" w:rsidR="00BF3D01" w:rsidRPr="00086293" w:rsidRDefault="00BF3D01" w:rsidP="00BF3D01">
            <w:pPr>
              <w:rPr>
                <w:rFonts w:ascii="Arial" w:hAnsi="Arial" w:cs="Arial"/>
                <w:b/>
                <w:bCs/>
              </w:rPr>
            </w:pPr>
            <w:r w:rsidRPr="00086293">
              <w:rPr>
                <w:rFonts w:ascii="Arial" w:hAnsi="Arial" w:cs="Arial"/>
                <w:b/>
                <w:bCs/>
              </w:rPr>
              <w:t>Source</w:t>
            </w:r>
          </w:p>
        </w:tc>
      </w:tr>
      <w:tr w:rsidR="00BF3D01" w:rsidRPr="00086293" w14:paraId="59ECE3D5" w14:textId="77777777">
        <w:trPr>
          <w:trHeight w:val="2250"/>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33A9789C" w14:textId="77777777" w:rsidR="00BF3D01" w:rsidRPr="00086293" w:rsidRDefault="00BF3D01" w:rsidP="00BF3D01">
            <w:pPr>
              <w:rPr>
                <w:rFonts w:ascii="Arial" w:hAnsi="Arial" w:cs="Arial"/>
                <w:b/>
                <w:bCs/>
              </w:rPr>
            </w:pPr>
            <w:r w:rsidRPr="00086293">
              <w:rPr>
                <w:rFonts w:ascii="Arial" w:hAnsi="Arial" w:cs="Arial"/>
                <w:b/>
                <w:bCs/>
              </w:rPr>
              <w:t>Telecommunications Act 1997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84CE9F" w14:textId="77777777" w:rsidR="00BF3D01" w:rsidRPr="00086293" w:rsidRDefault="00BF3D01" w:rsidP="00BF3D01">
            <w:pPr>
              <w:rPr>
                <w:rFonts w:ascii="Arial" w:hAnsi="Arial" w:cs="Arial"/>
              </w:rPr>
            </w:pPr>
            <w:r w:rsidRPr="00086293">
              <w:rPr>
                <w:rFonts w:ascii="Arial" w:hAnsi="Arial" w:cs="Arial"/>
              </w:rPr>
              <w:t>Establishes the overarching framework for the telecommunications industry. It regulates carriers and carriage service providers, including licensing rules, carrier immunities when installing infrastructure, and obligations to ensure telecommunications availability for new real estate developments. It also provides consumer safeguards and allocates responsibilities to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F74F7E" w14:textId="77777777" w:rsidR="00BF3D01" w:rsidRPr="00086293" w:rsidRDefault="00BF3D01" w:rsidP="00BF3D01">
            <w:pPr>
              <w:rPr>
                <w:rFonts w:ascii="Arial" w:hAnsi="Arial" w:cs="Arial"/>
              </w:rPr>
            </w:pPr>
            <w:r w:rsidRPr="00086293">
              <w:rPr>
                <w:rFonts w:ascii="Arial" w:hAnsi="Arial" w:cs="Arial"/>
              </w:rPr>
              <w:t>Defines obligations of telcos, licensing, consumer safeguards, and ACMA’s regulatory powers.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B14691" w14:textId="77777777" w:rsidR="00BF3D01" w:rsidRPr="00086293" w:rsidRDefault="00BF3D01" w:rsidP="00BF3D01">
            <w:pPr>
              <w:rPr>
                <w:rFonts w:ascii="Arial" w:hAnsi="Arial" w:cs="Arial"/>
                <w:u w:val="single"/>
              </w:rPr>
            </w:pPr>
            <w:r w:rsidRPr="00086293">
              <w:rPr>
                <w:rFonts w:ascii="Arial" w:hAnsi="Arial" w:cs="Arial"/>
                <w:u w:val="single"/>
              </w:rPr>
              <w:t>https://www.legislation.gov.au/C2004A05145/latest</w:t>
            </w:r>
          </w:p>
        </w:tc>
      </w:tr>
      <w:tr w:rsidR="00BF3D01" w:rsidRPr="00086293" w14:paraId="576D3B11"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6FED3895" w14:textId="77777777" w:rsidR="00BF3D01" w:rsidRPr="00086293" w:rsidRDefault="00BF3D01" w:rsidP="00BF3D01">
            <w:pPr>
              <w:rPr>
                <w:rFonts w:ascii="Arial" w:hAnsi="Arial" w:cs="Arial"/>
                <w:b/>
                <w:bCs/>
              </w:rPr>
            </w:pPr>
            <w:r w:rsidRPr="00086293">
              <w:rPr>
                <w:rFonts w:ascii="Arial" w:hAnsi="Arial" w:cs="Arial"/>
                <w:b/>
                <w:bCs/>
              </w:rPr>
              <w:t>Telecommunications (Consumer Protection and Service Standards) Act 1999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A09852" w14:textId="77777777" w:rsidR="00BF3D01" w:rsidRPr="00086293" w:rsidRDefault="00BF3D01" w:rsidP="00BF3D01">
            <w:pPr>
              <w:rPr>
                <w:rFonts w:ascii="Arial" w:hAnsi="Arial" w:cs="Arial"/>
              </w:rPr>
            </w:pPr>
            <w:r w:rsidRPr="00086293">
              <w:rPr>
                <w:rFonts w:ascii="Arial" w:hAnsi="Arial" w:cs="Arial"/>
              </w:rPr>
              <w:t>Creates legally enforceable consumer protection standards. It ensures the universal service obligation (including provision of telecommunications to premises across Australia), applies customer service guarantees, and provides funding mechanisms. It is key for consumer safeguards and equitable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008D14" w14:textId="77777777" w:rsidR="00BF3D01" w:rsidRPr="00086293" w:rsidRDefault="00BF3D01" w:rsidP="00BF3D01">
            <w:pPr>
              <w:rPr>
                <w:rFonts w:ascii="Arial" w:hAnsi="Arial" w:cs="Arial"/>
              </w:rPr>
            </w:pPr>
            <w:r w:rsidRPr="00086293">
              <w:rPr>
                <w:rFonts w:ascii="Arial" w:hAnsi="Arial" w:cs="Arial"/>
              </w:rPr>
              <w:t>Ensures access to basic phone services, customer service guarantees, funding for universal service.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312BE1" w14:textId="77777777" w:rsidR="00BF3D01" w:rsidRPr="00086293" w:rsidRDefault="00BF3D01" w:rsidP="00BF3D01">
            <w:pPr>
              <w:rPr>
                <w:rFonts w:ascii="Arial" w:hAnsi="Arial" w:cs="Arial"/>
                <w:u w:val="single"/>
              </w:rPr>
            </w:pPr>
            <w:r w:rsidRPr="00086293">
              <w:rPr>
                <w:rFonts w:ascii="Arial" w:hAnsi="Arial" w:cs="Arial"/>
                <w:u w:val="single"/>
              </w:rPr>
              <w:t>https://www.legislation.gov.au/C2004A00441/latest</w:t>
            </w:r>
          </w:p>
        </w:tc>
      </w:tr>
      <w:tr w:rsidR="00BF3D01" w:rsidRPr="00086293" w14:paraId="34440C4B"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147FDD69" w14:textId="77777777" w:rsidR="00BF3D01" w:rsidRPr="00086293" w:rsidRDefault="00BF3D01" w:rsidP="00BF3D01">
            <w:pPr>
              <w:rPr>
                <w:rFonts w:ascii="Arial" w:hAnsi="Arial" w:cs="Arial"/>
                <w:b/>
                <w:bCs/>
              </w:rPr>
            </w:pPr>
            <w:r w:rsidRPr="00086293">
              <w:rPr>
                <w:rFonts w:ascii="Arial" w:hAnsi="Arial" w:cs="Arial"/>
                <w:b/>
                <w:bCs/>
              </w:rPr>
              <w:t>Telecommunications (Interception and Access) Act 1979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5DBDA5" w14:textId="77777777" w:rsidR="00BF3D01" w:rsidRPr="00086293" w:rsidRDefault="00BF3D01" w:rsidP="00BF3D01">
            <w:pPr>
              <w:rPr>
                <w:rFonts w:ascii="Arial" w:hAnsi="Arial" w:cs="Arial"/>
              </w:rPr>
            </w:pPr>
            <w:r w:rsidRPr="00086293">
              <w:rPr>
                <w:rFonts w:ascii="Arial" w:hAnsi="Arial" w:cs="Arial"/>
              </w:rPr>
              <w:t>Prohibits unauthorised interception of communications and sets out circumstances where lawful access is permitted. It establishes warrant processes for interception, regulates data retention by service providers, and creates rules for lawful disclosure of communications data to enforcement agencies.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4114C6" w14:textId="77777777" w:rsidR="00BF3D01" w:rsidRPr="00086293" w:rsidRDefault="00BF3D01" w:rsidP="00BF3D01">
            <w:pPr>
              <w:rPr>
                <w:rFonts w:ascii="Arial" w:hAnsi="Arial" w:cs="Arial"/>
              </w:rPr>
            </w:pPr>
            <w:r w:rsidRPr="00086293">
              <w:rPr>
                <w:rFonts w:ascii="Arial" w:hAnsi="Arial" w:cs="Arial"/>
              </w:rPr>
              <w:t>Sets out interception warrants, stored communication access, and data retention obligations.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C69B63" w14:textId="77777777" w:rsidR="00BF3D01" w:rsidRPr="00086293" w:rsidRDefault="00BF3D01" w:rsidP="00BF3D01">
            <w:pPr>
              <w:rPr>
                <w:rFonts w:ascii="Arial" w:hAnsi="Arial" w:cs="Arial"/>
              </w:rPr>
            </w:pPr>
            <w:r w:rsidRPr="00086293">
              <w:rPr>
                <w:rFonts w:ascii="Arial" w:hAnsi="Arial" w:cs="Arial"/>
              </w:rPr>
              <w:t>https://www.legislation.gov.au/C2004A02124/latest</w:t>
            </w:r>
          </w:p>
        </w:tc>
      </w:tr>
      <w:tr w:rsidR="00BF3D01" w:rsidRPr="00086293" w14:paraId="15592CF4"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31985F3B" w14:textId="77777777" w:rsidR="00BF3D01" w:rsidRPr="00086293" w:rsidRDefault="00BF3D01" w:rsidP="00BF3D01">
            <w:pPr>
              <w:rPr>
                <w:rFonts w:ascii="Arial" w:hAnsi="Arial" w:cs="Arial"/>
                <w:b/>
                <w:bCs/>
              </w:rPr>
            </w:pPr>
            <w:r w:rsidRPr="00086293">
              <w:rPr>
                <w:rFonts w:ascii="Arial" w:hAnsi="Arial" w:cs="Arial"/>
                <w:b/>
                <w:bCs/>
              </w:rPr>
              <w:t>National Broadband Network Companies Act 2011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8A26F0" w14:textId="77777777" w:rsidR="00BF3D01" w:rsidRPr="00086293" w:rsidRDefault="00BF3D01" w:rsidP="00BF3D01">
            <w:pPr>
              <w:rPr>
                <w:rFonts w:ascii="Arial" w:hAnsi="Arial" w:cs="Arial"/>
              </w:rPr>
            </w:pPr>
            <w:r w:rsidRPr="00086293">
              <w:rPr>
                <w:rFonts w:ascii="Arial" w:hAnsi="Arial" w:cs="Arial"/>
              </w:rPr>
              <w:t>Provides the governance framework for NBN Co, ensuring high-speed broadband rollout to premises nationwide. It defines corporate structure, ownership limits, operational exemptions, and obligations regarding competition and service delivery.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048A1E" w14:textId="77777777" w:rsidR="00BF3D01" w:rsidRPr="00086293" w:rsidRDefault="00BF3D01" w:rsidP="00BF3D01">
            <w:pPr>
              <w:rPr>
                <w:rFonts w:ascii="Arial" w:hAnsi="Arial" w:cs="Arial"/>
              </w:rPr>
            </w:pPr>
            <w:r w:rsidRPr="00086293">
              <w:rPr>
                <w:rFonts w:ascii="Arial" w:hAnsi="Arial" w:cs="Arial"/>
              </w:rPr>
              <w:t>Governs ownership, functions, reporting obligations, competition rules, and restrictions on private sector control.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33A54C" w14:textId="77777777" w:rsidR="00BF3D01" w:rsidRPr="00086293" w:rsidRDefault="00BF3D01" w:rsidP="00BF3D01">
            <w:pPr>
              <w:rPr>
                <w:rFonts w:ascii="Arial" w:hAnsi="Arial" w:cs="Arial"/>
              </w:rPr>
            </w:pPr>
            <w:r w:rsidRPr="00086293">
              <w:rPr>
                <w:rFonts w:ascii="Arial" w:hAnsi="Arial" w:cs="Arial"/>
              </w:rPr>
              <w:t>https://www.legislation.gov.au/C2011A00022/latest</w:t>
            </w:r>
          </w:p>
        </w:tc>
      </w:tr>
      <w:tr w:rsidR="00BF3D01" w:rsidRPr="00086293" w14:paraId="3C352F57"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91E460A" w14:textId="77777777" w:rsidR="00BF3D01" w:rsidRPr="00086293" w:rsidRDefault="00BF3D01" w:rsidP="00BF3D01">
            <w:pPr>
              <w:rPr>
                <w:rFonts w:ascii="Arial" w:hAnsi="Arial" w:cs="Arial"/>
                <w:b/>
                <w:bCs/>
              </w:rPr>
            </w:pPr>
            <w:r w:rsidRPr="00086293">
              <w:rPr>
                <w:rFonts w:ascii="Arial" w:hAnsi="Arial" w:cs="Arial"/>
                <w:b/>
                <w:bCs/>
              </w:rPr>
              <w:t>Australian Communications and Media Authority Act 2005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71A65B" w14:textId="77777777" w:rsidR="00BF3D01" w:rsidRPr="00086293" w:rsidRDefault="00BF3D01" w:rsidP="00BF3D01">
            <w:pPr>
              <w:rPr>
                <w:rFonts w:ascii="Arial" w:hAnsi="Arial" w:cs="Arial"/>
              </w:rPr>
            </w:pPr>
            <w:r w:rsidRPr="00086293">
              <w:rPr>
                <w:rFonts w:ascii="Arial" w:hAnsi="Arial" w:cs="Arial"/>
              </w:rPr>
              <w:t>Establishes the ACMA as the regulator overseeing telecommunications, broadcasting, and radiocommunications. It grants ACMA power to enforce licensing, manage compliance, regulate consumer safeguards, and administer exemptions where appropriate.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07B7CA" w14:textId="77777777" w:rsidR="00BF3D01" w:rsidRPr="00086293" w:rsidRDefault="00BF3D01" w:rsidP="00BF3D01">
            <w:pPr>
              <w:rPr>
                <w:rFonts w:ascii="Arial" w:hAnsi="Arial" w:cs="Arial"/>
              </w:rPr>
            </w:pPr>
            <w:r w:rsidRPr="00086293">
              <w:rPr>
                <w:rFonts w:ascii="Arial" w:hAnsi="Arial" w:cs="Arial"/>
              </w:rPr>
              <w:t>Regulates broadcasting, radiocommunications, telecommunications, online content, and enforces compliance.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22AC35" w14:textId="77777777" w:rsidR="00BF3D01" w:rsidRPr="00086293" w:rsidRDefault="00BF3D01" w:rsidP="00BF3D01">
            <w:pPr>
              <w:rPr>
                <w:rFonts w:ascii="Arial" w:hAnsi="Arial" w:cs="Arial"/>
              </w:rPr>
            </w:pPr>
            <w:r w:rsidRPr="00086293">
              <w:rPr>
                <w:rFonts w:ascii="Arial" w:hAnsi="Arial" w:cs="Arial"/>
              </w:rPr>
              <w:t>https://www.legislation.gov.au/C2005A00044/latest</w:t>
            </w:r>
          </w:p>
        </w:tc>
      </w:tr>
      <w:tr w:rsidR="00BF3D01" w:rsidRPr="00086293" w14:paraId="7E938CE1"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5F65FE63" w14:textId="77777777" w:rsidR="00BF3D01" w:rsidRPr="00086293" w:rsidRDefault="00BF3D01" w:rsidP="00BF3D01">
            <w:pPr>
              <w:rPr>
                <w:rFonts w:ascii="Arial" w:hAnsi="Arial" w:cs="Arial"/>
                <w:b/>
                <w:bCs/>
              </w:rPr>
            </w:pPr>
            <w:r w:rsidRPr="00086293">
              <w:rPr>
                <w:rFonts w:ascii="Arial" w:hAnsi="Arial" w:cs="Arial"/>
                <w:b/>
                <w:bCs/>
              </w:rPr>
              <w:t>Competition and Consumer Act 2010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DCF760" w14:textId="77777777" w:rsidR="00BF3D01" w:rsidRPr="00086293" w:rsidRDefault="00BF3D01" w:rsidP="00BF3D01">
            <w:pPr>
              <w:rPr>
                <w:rFonts w:ascii="Arial" w:hAnsi="Arial" w:cs="Arial"/>
              </w:rPr>
            </w:pPr>
            <w:r w:rsidRPr="00086293">
              <w:rPr>
                <w:rFonts w:ascii="Arial" w:hAnsi="Arial" w:cs="Arial"/>
              </w:rPr>
              <w:t>Sets rules on competition and consumer protection. It addresses anti-competitive behaviour in telecommunications markets, ensures access arrangements for carriers, and provides consumer safeguards through the Australian Consumer Law. Exemptions may apply for certain government or public interest activities.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0B0ECB" w14:textId="77777777" w:rsidR="00BF3D01" w:rsidRPr="00086293" w:rsidRDefault="00BF3D01" w:rsidP="00BF3D01">
            <w:pPr>
              <w:rPr>
                <w:rFonts w:ascii="Arial" w:hAnsi="Arial" w:cs="Arial"/>
              </w:rPr>
            </w:pPr>
            <w:r w:rsidRPr="00086293">
              <w:rPr>
                <w:rFonts w:ascii="Arial" w:hAnsi="Arial" w:cs="Arial"/>
              </w:rPr>
              <w:t>Enforces anti-competitive conduct rules, merger control, consumer law, and regulates telco access arrangements.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435152" w14:textId="77777777" w:rsidR="00BF3D01" w:rsidRPr="00086293" w:rsidRDefault="00BF3D01" w:rsidP="00BF3D01">
            <w:pPr>
              <w:rPr>
                <w:rFonts w:ascii="Arial" w:hAnsi="Arial" w:cs="Arial"/>
              </w:rPr>
            </w:pPr>
            <w:r w:rsidRPr="00086293">
              <w:rPr>
                <w:rFonts w:ascii="Arial" w:hAnsi="Arial" w:cs="Arial"/>
              </w:rPr>
              <w:t>https://www.legislation.gov.au/C2004A00109/latest</w:t>
            </w:r>
          </w:p>
        </w:tc>
      </w:tr>
      <w:tr w:rsidR="00BF3D01" w:rsidRPr="00086293" w14:paraId="62EA6E9F"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7D90889F" w14:textId="77777777" w:rsidR="00BF3D01" w:rsidRPr="00086293" w:rsidRDefault="00BF3D01" w:rsidP="00BF3D01">
            <w:pPr>
              <w:rPr>
                <w:rFonts w:ascii="Arial" w:hAnsi="Arial" w:cs="Arial"/>
                <w:b/>
                <w:bCs/>
              </w:rPr>
            </w:pPr>
            <w:r w:rsidRPr="00086293">
              <w:rPr>
                <w:rFonts w:ascii="Arial" w:hAnsi="Arial" w:cs="Arial"/>
                <w:b/>
                <w:bCs/>
              </w:rPr>
              <w:t>Broadcasting Services Act 1992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D649C1" w14:textId="77777777" w:rsidR="00BF3D01" w:rsidRPr="00086293" w:rsidRDefault="00BF3D01" w:rsidP="00BF3D01">
            <w:pPr>
              <w:rPr>
                <w:rFonts w:ascii="Arial" w:hAnsi="Arial" w:cs="Arial"/>
              </w:rPr>
            </w:pPr>
            <w:r w:rsidRPr="00086293">
              <w:rPr>
                <w:rFonts w:ascii="Arial" w:hAnsi="Arial" w:cs="Arial"/>
              </w:rPr>
              <w:t>Regulates broadcasting and online media services. It governs licensing of service providers, media ownership rules, Australian content obligations, and certain exemptions for community or narrowcasting services.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D82CAF" w14:textId="77777777" w:rsidR="00BF3D01" w:rsidRPr="00086293" w:rsidRDefault="00BF3D01" w:rsidP="00BF3D01">
            <w:pPr>
              <w:rPr>
                <w:rFonts w:ascii="Arial" w:hAnsi="Arial" w:cs="Arial"/>
              </w:rPr>
            </w:pPr>
            <w:r w:rsidRPr="00086293">
              <w:rPr>
                <w:rFonts w:ascii="Arial" w:hAnsi="Arial" w:cs="Arial"/>
              </w:rPr>
              <w:t>Licences broadcasters, regulates Australian content, media diversity, advertising, and classification obligations.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36F890" w14:textId="77777777" w:rsidR="00BF3D01" w:rsidRPr="00086293" w:rsidRDefault="00BF3D01" w:rsidP="00BF3D01">
            <w:pPr>
              <w:rPr>
                <w:rFonts w:ascii="Arial" w:hAnsi="Arial" w:cs="Arial"/>
              </w:rPr>
            </w:pPr>
            <w:r w:rsidRPr="00086293">
              <w:rPr>
                <w:rFonts w:ascii="Arial" w:hAnsi="Arial" w:cs="Arial"/>
              </w:rPr>
              <w:t>https://www.legislation.gov.au/C2004A04401/latest</w:t>
            </w:r>
          </w:p>
        </w:tc>
      </w:tr>
      <w:tr w:rsidR="00BF3D01" w:rsidRPr="00086293" w14:paraId="7312BA7C"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56A2C072" w14:textId="77777777" w:rsidR="00BF3D01" w:rsidRPr="00086293" w:rsidRDefault="00BF3D01" w:rsidP="00BF3D01">
            <w:pPr>
              <w:rPr>
                <w:rFonts w:ascii="Arial" w:hAnsi="Arial" w:cs="Arial"/>
                <w:b/>
                <w:bCs/>
              </w:rPr>
            </w:pPr>
            <w:r w:rsidRPr="00086293">
              <w:rPr>
                <w:rFonts w:ascii="Arial" w:hAnsi="Arial" w:cs="Arial"/>
                <w:b/>
                <w:bCs/>
              </w:rPr>
              <w:t>Radiocommunications Act 1992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BDCAD4" w14:textId="77777777" w:rsidR="00BF3D01" w:rsidRPr="00086293" w:rsidRDefault="00BF3D01" w:rsidP="00BF3D01">
            <w:pPr>
              <w:rPr>
                <w:rFonts w:ascii="Arial" w:hAnsi="Arial" w:cs="Arial"/>
              </w:rPr>
            </w:pPr>
            <w:r w:rsidRPr="00086293">
              <w:rPr>
                <w:rFonts w:ascii="Arial" w:hAnsi="Arial" w:cs="Arial"/>
              </w:rPr>
              <w:t xml:space="preserve">Manages the finite availability of the radiofrequency spectrum in Australia. It regulates spectrum allocation and licensing, interference management, and carrier rights and obligations. Exemptions may </w:t>
            </w:r>
            <w:r w:rsidRPr="00086293">
              <w:rPr>
                <w:rFonts w:ascii="Arial" w:hAnsi="Arial" w:cs="Arial"/>
              </w:rPr>
              <w:lastRenderedPageBreak/>
              <w:t>apply for low-impact or licence-free devices.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1AF2B1" w14:textId="77777777" w:rsidR="00BF3D01" w:rsidRPr="00086293" w:rsidRDefault="00BF3D01" w:rsidP="00BF3D01">
            <w:pPr>
              <w:rPr>
                <w:rFonts w:ascii="Arial" w:hAnsi="Arial" w:cs="Arial"/>
              </w:rPr>
            </w:pPr>
            <w:r w:rsidRPr="00086293">
              <w:rPr>
                <w:rFonts w:ascii="Arial" w:hAnsi="Arial" w:cs="Arial"/>
              </w:rPr>
              <w:lastRenderedPageBreak/>
              <w:t xml:space="preserve">Spectrum licensing, interference management, technical standards, and ACMA’s enforcement </w:t>
            </w:r>
            <w:r w:rsidRPr="00086293">
              <w:rPr>
                <w:rFonts w:ascii="Arial" w:hAnsi="Arial" w:cs="Arial"/>
              </w:rPr>
              <w:lastRenderedPageBreak/>
              <w:t>powers.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DD5BAD" w14:textId="77777777" w:rsidR="00BF3D01" w:rsidRPr="00086293" w:rsidRDefault="00BF3D01" w:rsidP="00BF3D01">
            <w:pPr>
              <w:rPr>
                <w:rFonts w:ascii="Arial" w:hAnsi="Arial" w:cs="Arial"/>
              </w:rPr>
            </w:pPr>
            <w:r w:rsidRPr="00086293">
              <w:rPr>
                <w:rFonts w:ascii="Arial" w:hAnsi="Arial" w:cs="Arial"/>
              </w:rPr>
              <w:lastRenderedPageBreak/>
              <w:t>https://www.legislation.gov.au/C2004A04465/latest</w:t>
            </w:r>
          </w:p>
        </w:tc>
      </w:tr>
      <w:tr w:rsidR="00BF3D01" w:rsidRPr="00086293" w14:paraId="02A47A30"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3089218E" w14:textId="77777777" w:rsidR="00BF3D01" w:rsidRPr="00086293" w:rsidRDefault="00BF3D01" w:rsidP="00BF3D01">
            <w:pPr>
              <w:rPr>
                <w:rFonts w:ascii="Arial" w:hAnsi="Arial" w:cs="Arial"/>
                <w:b/>
                <w:bCs/>
              </w:rPr>
            </w:pPr>
            <w:r w:rsidRPr="00086293">
              <w:rPr>
                <w:rFonts w:ascii="Arial" w:hAnsi="Arial" w:cs="Arial"/>
                <w:b/>
                <w:bCs/>
              </w:rPr>
              <w:t>Privacy Act 1988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D91DD4" w14:textId="77777777" w:rsidR="00BF3D01" w:rsidRPr="00086293" w:rsidRDefault="00BF3D01" w:rsidP="00BF3D01">
            <w:pPr>
              <w:rPr>
                <w:rFonts w:ascii="Arial" w:hAnsi="Arial" w:cs="Arial"/>
              </w:rPr>
            </w:pPr>
            <w:r w:rsidRPr="00086293">
              <w:rPr>
                <w:rFonts w:ascii="Arial" w:hAnsi="Arial" w:cs="Arial"/>
              </w:rPr>
              <w:t>Provides the framework for handling personal information across sectors. It governs disclosure of personal information, sets national privacy principles, outlines exemptions (e.g. for small businesses in some circumstances), and empowers the OAIC to enforce compliance.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5A0E4D" w14:textId="77777777" w:rsidR="00BF3D01" w:rsidRPr="00086293" w:rsidRDefault="00BF3D01" w:rsidP="00BF3D01">
            <w:pPr>
              <w:rPr>
                <w:rFonts w:ascii="Arial" w:hAnsi="Arial" w:cs="Arial"/>
              </w:rPr>
            </w:pPr>
            <w:r w:rsidRPr="00086293">
              <w:rPr>
                <w:rFonts w:ascii="Arial" w:hAnsi="Arial" w:cs="Arial"/>
              </w:rPr>
              <w:t>Governs data collection, storage, disclosure; creates OAIC as regulator; covers credit reporting and government records.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E39A55" w14:textId="77777777" w:rsidR="00BF3D01" w:rsidRPr="00086293" w:rsidRDefault="00BF3D01" w:rsidP="00BF3D01">
            <w:pPr>
              <w:rPr>
                <w:rFonts w:ascii="Arial" w:hAnsi="Arial" w:cs="Arial"/>
              </w:rPr>
            </w:pPr>
            <w:r w:rsidRPr="00086293">
              <w:rPr>
                <w:rFonts w:ascii="Arial" w:hAnsi="Arial" w:cs="Arial"/>
              </w:rPr>
              <w:t>https://www.legislation.gov.au/C2004A03712/latest</w:t>
            </w:r>
          </w:p>
        </w:tc>
      </w:tr>
      <w:tr w:rsidR="00BF3D01" w:rsidRPr="00086293" w14:paraId="2A17EFEF"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AF0259A" w14:textId="77777777" w:rsidR="00BF3D01" w:rsidRPr="00086293" w:rsidRDefault="00BF3D01" w:rsidP="00BF3D01">
            <w:pPr>
              <w:rPr>
                <w:rFonts w:ascii="Arial" w:hAnsi="Arial" w:cs="Arial"/>
                <w:b/>
                <w:bCs/>
              </w:rPr>
            </w:pPr>
            <w:r w:rsidRPr="00086293">
              <w:rPr>
                <w:rFonts w:ascii="Arial" w:hAnsi="Arial" w:cs="Arial"/>
                <w:b/>
                <w:bCs/>
              </w:rPr>
              <w:t>Online Safety Act 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DF7E8E" w14:textId="77777777" w:rsidR="00BF3D01" w:rsidRPr="00086293" w:rsidRDefault="00BF3D01" w:rsidP="00BF3D01">
            <w:pPr>
              <w:rPr>
                <w:rFonts w:ascii="Arial" w:hAnsi="Arial" w:cs="Arial"/>
              </w:rPr>
            </w:pPr>
            <w:r w:rsidRPr="00086293">
              <w:rPr>
                <w:rFonts w:ascii="Arial" w:hAnsi="Arial" w:cs="Arial"/>
              </w:rPr>
              <w:t>Strengthens the powers of the eSafety Commissioner to remove harmful online content. It applies to Australian and overseas service providers, mandates compliance with removal notices, and includes exemptions for certain types of content or providers.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06F6DC" w14:textId="77777777" w:rsidR="00BF3D01" w:rsidRPr="00086293" w:rsidRDefault="00BF3D01" w:rsidP="00BF3D01">
            <w:pPr>
              <w:rPr>
                <w:rFonts w:ascii="Arial" w:hAnsi="Arial" w:cs="Arial"/>
              </w:rPr>
            </w:pPr>
            <w:r w:rsidRPr="00086293">
              <w:rPr>
                <w:rFonts w:ascii="Arial" w:hAnsi="Arial" w:cs="Arial"/>
              </w:rPr>
              <w:t>Removal notices, restrictions on cyber-abuse, protection of children, enforcement against online service providers.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3937A1" w14:textId="77777777" w:rsidR="00BF3D01" w:rsidRPr="00086293" w:rsidRDefault="00BF3D01" w:rsidP="00BF3D01">
            <w:pPr>
              <w:rPr>
                <w:rFonts w:ascii="Arial" w:hAnsi="Arial" w:cs="Arial"/>
                <w:u w:val="single"/>
              </w:rPr>
            </w:pPr>
            <w:r w:rsidRPr="00086293">
              <w:rPr>
                <w:rFonts w:ascii="Arial" w:hAnsi="Arial" w:cs="Arial"/>
                <w:u w:val="single"/>
              </w:rPr>
              <w:t>https://www.legislation.gov.au/C2021A00076/latest</w:t>
            </w:r>
          </w:p>
        </w:tc>
      </w:tr>
      <w:tr w:rsidR="00BF3D01" w:rsidRPr="00086293" w14:paraId="124F5C66"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35C727F" w14:textId="77777777" w:rsidR="00BF3D01" w:rsidRPr="00086293" w:rsidRDefault="00BF3D01" w:rsidP="00BF3D01">
            <w:pPr>
              <w:rPr>
                <w:rFonts w:ascii="Arial" w:hAnsi="Arial" w:cs="Arial"/>
                <w:b/>
                <w:bCs/>
              </w:rPr>
            </w:pPr>
            <w:r w:rsidRPr="00086293">
              <w:rPr>
                <w:rFonts w:ascii="Arial" w:hAnsi="Arial" w:cs="Arial"/>
                <w:b/>
                <w:bCs/>
              </w:rPr>
              <w:t>Criminal Code Act 1995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A167B3" w14:textId="77777777" w:rsidR="00BF3D01" w:rsidRPr="00086293" w:rsidRDefault="00BF3D01" w:rsidP="00BF3D01">
            <w:pPr>
              <w:rPr>
                <w:rFonts w:ascii="Arial" w:hAnsi="Arial" w:cs="Arial"/>
              </w:rPr>
            </w:pPr>
            <w:r w:rsidRPr="00086293">
              <w:rPr>
                <w:rFonts w:ascii="Arial" w:hAnsi="Arial" w:cs="Arial"/>
              </w:rPr>
              <w:t>Consolidates federal criminal offences. It covers misuse of telecommunications services, cybercrime, and offences related to disclosure of personal information without authority. It also provides penalties for unlawful interception or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1417B8" w14:textId="77777777" w:rsidR="00BF3D01" w:rsidRPr="00086293" w:rsidRDefault="00BF3D01" w:rsidP="00BF3D01">
            <w:pPr>
              <w:rPr>
                <w:rFonts w:ascii="Arial" w:hAnsi="Arial" w:cs="Arial"/>
              </w:rPr>
            </w:pPr>
            <w:r w:rsidRPr="00086293">
              <w:rPr>
                <w:rFonts w:ascii="Arial" w:hAnsi="Arial" w:cs="Arial"/>
              </w:rPr>
              <w:t>Defines terrorism, fraud, cybercrime, misuse of telecommunications services, and penalties.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DEB193" w14:textId="77777777" w:rsidR="00BF3D01" w:rsidRPr="00086293" w:rsidRDefault="00BF3D01" w:rsidP="00BF3D01">
            <w:pPr>
              <w:rPr>
                <w:rFonts w:ascii="Arial" w:hAnsi="Arial" w:cs="Arial"/>
              </w:rPr>
            </w:pPr>
            <w:r w:rsidRPr="00086293">
              <w:rPr>
                <w:rFonts w:ascii="Arial" w:hAnsi="Arial" w:cs="Arial"/>
              </w:rPr>
              <w:t>https://www.legislation.gov.au/C2004A04868/latest</w:t>
            </w:r>
          </w:p>
        </w:tc>
      </w:tr>
      <w:tr w:rsidR="00BF3D01" w:rsidRPr="00086293" w14:paraId="5F752223"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998829C" w14:textId="77777777" w:rsidR="00BF3D01" w:rsidRPr="00086293" w:rsidRDefault="00BF3D01" w:rsidP="00BF3D01">
            <w:pPr>
              <w:rPr>
                <w:rFonts w:ascii="Arial" w:hAnsi="Arial" w:cs="Arial"/>
                <w:b/>
                <w:bCs/>
              </w:rPr>
            </w:pPr>
            <w:r w:rsidRPr="00086293">
              <w:rPr>
                <w:rFonts w:ascii="Arial" w:hAnsi="Arial" w:cs="Arial"/>
                <w:b/>
                <w:bCs/>
              </w:rPr>
              <w:t>Encryption Act</w:t>
            </w:r>
            <w:r w:rsidRPr="00086293">
              <w:rPr>
                <w:rFonts w:ascii="Arial" w:hAnsi="Arial" w:cs="Arial"/>
                <w:b/>
                <w:bCs/>
              </w:rPr>
              <w:br/>
              <w:t>Telecommunications and Other Legislation Amendment (Assistance and Access) Act 2018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D74E13" w14:textId="77777777" w:rsidR="00BF3D01" w:rsidRPr="00086293" w:rsidRDefault="00BF3D01" w:rsidP="00BF3D01">
            <w:pPr>
              <w:rPr>
                <w:rFonts w:ascii="Arial" w:hAnsi="Arial" w:cs="Arial"/>
              </w:rPr>
            </w:pPr>
            <w:r w:rsidRPr="00086293">
              <w:rPr>
                <w:rFonts w:ascii="Arial" w:hAnsi="Arial" w:cs="Arial"/>
              </w:rPr>
              <w:t>Expands interception and access powers, specifically addressing encrypted communications. It allows agencies to compel service providers to assist with lawful access, regulates data retention obligations, and includes exemptions and limitations to balance privacy with national security.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DAF99A" w14:textId="77777777" w:rsidR="00BF3D01" w:rsidRPr="00086293" w:rsidRDefault="00BF3D01" w:rsidP="00BF3D01">
            <w:pPr>
              <w:rPr>
                <w:rFonts w:ascii="Arial" w:hAnsi="Arial" w:cs="Arial"/>
              </w:rPr>
            </w:pPr>
            <w:r w:rsidRPr="00086293">
              <w:rPr>
                <w:rFonts w:ascii="Arial" w:hAnsi="Arial" w:cs="Arial"/>
              </w:rPr>
              <w:t>Compels providers to assist agencies, creates new warrant and technical capability powers, balances security with privacy concerns.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A68CD2" w14:textId="77777777" w:rsidR="00BF3D01" w:rsidRPr="00086293" w:rsidRDefault="00BF3D01" w:rsidP="00BF3D01">
            <w:pPr>
              <w:rPr>
                <w:rFonts w:ascii="Arial" w:hAnsi="Arial" w:cs="Arial"/>
              </w:rPr>
            </w:pPr>
            <w:r w:rsidRPr="00086293">
              <w:rPr>
                <w:rFonts w:ascii="Arial" w:hAnsi="Arial" w:cs="Arial"/>
              </w:rPr>
              <w:t>https://www.legislation.gov.au/C2018A00148/latest</w:t>
            </w:r>
          </w:p>
        </w:tc>
      </w:tr>
      <w:tr w:rsidR="00BF3D01" w:rsidRPr="00086293" w14:paraId="463C1486"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BAB8E5B" w14:textId="77777777" w:rsidR="00BF3D01" w:rsidRPr="00086293" w:rsidRDefault="00BF3D01" w:rsidP="00BF3D01">
            <w:pPr>
              <w:rPr>
                <w:rFonts w:ascii="Arial" w:hAnsi="Arial" w:cs="Arial"/>
                <w:b/>
                <w:bCs/>
              </w:rPr>
            </w:pPr>
            <w:r w:rsidRPr="00086293">
              <w:rPr>
                <w:rFonts w:ascii="Arial" w:hAnsi="Arial" w:cs="Arial"/>
                <w:b/>
                <w:bCs/>
              </w:rPr>
              <w:t>Copyright Act 1968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80F346" w14:textId="77777777" w:rsidR="00BF3D01" w:rsidRPr="00086293" w:rsidRDefault="00BF3D01" w:rsidP="00BF3D01">
            <w:pPr>
              <w:rPr>
                <w:rFonts w:ascii="Arial" w:hAnsi="Arial" w:cs="Arial"/>
              </w:rPr>
            </w:pPr>
            <w:r w:rsidRPr="00086293">
              <w:rPr>
                <w:rFonts w:ascii="Arial" w:hAnsi="Arial" w:cs="Arial"/>
              </w:rPr>
              <w:t>Provides protection for literary, artistic, musical and broadcast works. It governs ownership and licensing of rights, creates exemptions such as fair dealing, and supports enforcement in telecommunications and online environments.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01C9CD" w14:textId="77777777" w:rsidR="00BF3D01" w:rsidRPr="00086293" w:rsidRDefault="00BF3D01" w:rsidP="00BF3D01">
            <w:pPr>
              <w:rPr>
                <w:rFonts w:ascii="Arial" w:hAnsi="Arial" w:cs="Arial"/>
              </w:rPr>
            </w:pPr>
            <w:r w:rsidRPr="00086293">
              <w:rPr>
                <w:rFonts w:ascii="Arial" w:hAnsi="Arial" w:cs="Arial"/>
              </w:rPr>
              <w:t>Protects literary, musical, artistic works and broadcasts; sets exceptions, licensing schemes, and enforcement of rights.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7A399" w14:textId="77777777" w:rsidR="00BF3D01" w:rsidRPr="00086293" w:rsidRDefault="00BF3D01" w:rsidP="00BF3D01">
            <w:pPr>
              <w:rPr>
                <w:rFonts w:ascii="Arial" w:hAnsi="Arial" w:cs="Arial"/>
              </w:rPr>
            </w:pPr>
            <w:r w:rsidRPr="00086293">
              <w:rPr>
                <w:rFonts w:ascii="Arial" w:hAnsi="Arial" w:cs="Arial"/>
              </w:rPr>
              <w:t>https://www.legislation.gov.au/C1968A00063/latest</w:t>
            </w:r>
          </w:p>
        </w:tc>
      </w:tr>
    </w:tbl>
    <w:p w14:paraId="7DD7CDF1" w14:textId="77777777" w:rsidR="00123C81" w:rsidRPr="00086293" w:rsidRDefault="00123C81" w:rsidP="00123C81">
      <w:pPr>
        <w:rPr>
          <w:rFonts w:ascii="Arial" w:hAnsi="Arial" w:cs="Arial"/>
        </w:rPr>
      </w:pPr>
    </w:p>
    <w:p w14:paraId="3D383516" w14:textId="77777777" w:rsidR="00CE3C51" w:rsidRPr="00086293" w:rsidRDefault="00CE3C51" w:rsidP="00123C81">
      <w:pPr>
        <w:rPr>
          <w:rFonts w:ascii="Arial" w:hAnsi="Arial" w:cs="Arial"/>
        </w:rPr>
      </w:pPr>
    </w:p>
    <w:p w14:paraId="71D05F48" w14:textId="77777777" w:rsidR="00CE3C51" w:rsidRPr="00086293" w:rsidRDefault="00CE3C51" w:rsidP="00123C81">
      <w:pPr>
        <w:rPr>
          <w:rFonts w:ascii="Arial" w:hAnsi="Arial" w:cs="Arial"/>
        </w:rPr>
      </w:pPr>
    </w:p>
    <w:p w14:paraId="5B0494F4" w14:textId="77777777" w:rsidR="00123C81" w:rsidRPr="00086293" w:rsidRDefault="00123C81" w:rsidP="00123C81">
      <w:pPr>
        <w:rPr>
          <w:rFonts w:ascii="Arial" w:hAnsi="Arial" w:cs="Arial"/>
        </w:rPr>
      </w:pPr>
    </w:p>
    <w:p w14:paraId="59D33EF6" w14:textId="77777777" w:rsidR="00123C81" w:rsidRPr="00086293" w:rsidRDefault="00123C81" w:rsidP="00123C81">
      <w:pPr>
        <w:pStyle w:val="Heading3"/>
      </w:pPr>
      <w:r w:rsidRPr="00086293">
        <w:t>3. How is the legislation implemented for large telecommunications businesses?</w:t>
      </w:r>
    </w:p>
    <w:p w14:paraId="182359E8" w14:textId="1297F5E5" w:rsidR="00123C81" w:rsidRPr="00086293" w:rsidRDefault="00F24A35" w:rsidP="00123C81">
      <w:pPr>
        <w:rPr>
          <w:rFonts w:ascii="Arial" w:hAnsi="Arial" w:cs="Arial"/>
        </w:rPr>
      </w:pPr>
      <w:hyperlink r:id="rId10" w:history="1">
        <w:r w:rsidRPr="00086293">
          <w:rPr>
            <w:rStyle w:val="Hyperlink"/>
            <w:rFonts w:ascii="Arial" w:hAnsi="Arial" w:cs="Arial"/>
          </w:rPr>
          <w:t>https://business.gov.au/planning/industry-information/information-media-and-telecommunications-industry</w:t>
        </w:r>
      </w:hyperlink>
      <w:r w:rsidRPr="00086293">
        <w:rPr>
          <w:rFonts w:ascii="Arial" w:hAnsi="Arial" w:cs="Arial"/>
        </w:rPr>
        <w:t xml:space="preserve"> </w:t>
      </w:r>
    </w:p>
    <w:p w14:paraId="048DE967" w14:textId="77777777" w:rsidR="00BF3D01" w:rsidRPr="00086293" w:rsidRDefault="00BF3D01" w:rsidP="00123C81">
      <w:pPr>
        <w:rPr>
          <w:rFonts w:ascii="Arial" w:hAnsi="Arial" w:cs="Arial"/>
        </w:rPr>
      </w:pPr>
    </w:p>
    <w:p w14:paraId="5342F293" w14:textId="77777777" w:rsidR="00BF3D01" w:rsidRPr="00086293" w:rsidRDefault="00BF3D01" w:rsidP="00123C81">
      <w:pPr>
        <w:rPr>
          <w:rFonts w:ascii="Arial" w:hAnsi="Arial" w:cs="Arial"/>
        </w:rPr>
      </w:pPr>
    </w:p>
    <w:tbl>
      <w:tblPr>
        <w:tblW w:w="0" w:type="dxa"/>
        <w:tblCellMar>
          <w:left w:w="0" w:type="dxa"/>
          <w:right w:w="0" w:type="dxa"/>
        </w:tblCellMar>
        <w:tblLook w:val="04A0" w:firstRow="1" w:lastRow="0" w:firstColumn="1" w:lastColumn="0" w:noHBand="0" w:noVBand="1"/>
      </w:tblPr>
      <w:tblGrid>
        <w:gridCol w:w="3876"/>
        <w:gridCol w:w="3802"/>
        <w:gridCol w:w="5609"/>
        <w:gridCol w:w="6840"/>
        <w:gridCol w:w="3477"/>
        <w:gridCol w:w="3702"/>
      </w:tblGrid>
      <w:tr w:rsidR="00BF3D01" w:rsidRPr="00086293" w14:paraId="63131DB7" w14:textId="77777777">
        <w:trPr>
          <w:trHeight w:val="900"/>
        </w:trPr>
        <w:tc>
          <w:tcPr>
            <w:tcW w:w="0" w:type="auto"/>
            <w:tcBorders>
              <w:top w:val="single" w:sz="6" w:space="0" w:color="000000"/>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6C61BDBB" w14:textId="77777777" w:rsidR="00BF3D01" w:rsidRPr="00086293" w:rsidRDefault="00BF3D01" w:rsidP="00BF3D01">
            <w:pPr>
              <w:rPr>
                <w:rFonts w:ascii="Arial" w:hAnsi="Arial" w:cs="Arial"/>
                <w:b/>
                <w:bCs/>
              </w:rPr>
            </w:pPr>
            <w:r w:rsidRPr="00086293">
              <w:rPr>
                <w:rFonts w:ascii="Arial" w:hAnsi="Arial" w:cs="Arial"/>
                <w:b/>
                <w:bCs/>
              </w:rPr>
              <w:t>Legislative Framework</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7CB89283" w14:textId="77777777" w:rsidR="00BF3D01" w:rsidRPr="00086293" w:rsidRDefault="00BF3D01" w:rsidP="00BF3D01">
            <w:pPr>
              <w:rPr>
                <w:rFonts w:ascii="Arial" w:hAnsi="Arial" w:cs="Arial"/>
                <w:b/>
                <w:bCs/>
              </w:rPr>
            </w:pPr>
            <w:r w:rsidRPr="00086293">
              <w:rPr>
                <w:rFonts w:ascii="Arial" w:hAnsi="Arial" w:cs="Arial"/>
                <w:b/>
                <w:bCs/>
              </w:rPr>
              <w:t>Regulator</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4FD994DD" w14:textId="77777777" w:rsidR="00BF3D01" w:rsidRPr="00086293" w:rsidRDefault="00BF3D01" w:rsidP="00BF3D01">
            <w:pPr>
              <w:rPr>
                <w:rFonts w:ascii="Arial" w:hAnsi="Arial" w:cs="Arial"/>
                <w:b/>
                <w:bCs/>
              </w:rPr>
            </w:pPr>
            <w:r w:rsidRPr="00086293">
              <w:rPr>
                <w:rFonts w:ascii="Arial" w:hAnsi="Arial" w:cs="Arial"/>
                <w:b/>
                <w:bCs/>
              </w:rPr>
              <w:t>Impact on planning processes and accessibility</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6930C410" w14:textId="77777777" w:rsidR="00BF3D01" w:rsidRPr="00086293" w:rsidRDefault="00BF3D01" w:rsidP="00BF3D01">
            <w:pPr>
              <w:rPr>
                <w:rFonts w:ascii="Arial" w:hAnsi="Arial" w:cs="Arial"/>
                <w:b/>
                <w:bCs/>
              </w:rPr>
            </w:pPr>
            <w:r w:rsidRPr="00086293">
              <w:rPr>
                <w:rFonts w:ascii="Arial" w:hAnsi="Arial" w:cs="Arial"/>
                <w:b/>
                <w:bCs/>
              </w:rPr>
              <w:t>For Large business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0EDE9B97" w14:textId="77777777" w:rsidR="00BF3D01" w:rsidRPr="00086293" w:rsidRDefault="00BF3D01" w:rsidP="00BF3D01">
            <w:pPr>
              <w:rPr>
                <w:rFonts w:ascii="Arial" w:hAnsi="Arial" w:cs="Arial"/>
                <w:b/>
                <w:bCs/>
              </w:rPr>
            </w:pPr>
            <w:r w:rsidRPr="00086293">
              <w:rPr>
                <w:rFonts w:ascii="Arial" w:hAnsi="Arial" w:cs="Arial"/>
                <w:b/>
                <w:bCs/>
              </w:rPr>
              <w:t>Mechanisms of Regulation</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0D03BA6A" w14:textId="77777777" w:rsidR="00BF3D01" w:rsidRPr="00086293" w:rsidRDefault="00BF3D01" w:rsidP="00BF3D01">
            <w:pPr>
              <w:rPr>
                <w:rFonts w:ascii="Arial" w:hAnsi="Arial" w:cs="Arial"/>
                <w:b/>
                <w:bCs/>
              </w:rPr>
            </w:pPr>
            <w:r w:rsidRPr="00086293">
              <w:rPr>
                <w:rFonts w:ascii="Arial" w:hAnsi="Arial" w:cs="Arial"/>
                <w:b/>
                <w:bCs/>
              </w:rPr>
              <w:t>Types of Penalties / Sanctions</w:t>
            </w:r>
          </w:p>
        </w:tc>
      </w:tr>
      <w:tr w:rsidR="00BF3D01" w:rsidRPr="00086293" w14:paraId="50E6AB0C"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6F67F1EF" w14:textId="77777777" w:rsidR="00BF3D01" w:rsidRPr="00086293" w:rsidRDefault="00BF3D01" w:rsidP="00BF3D01">
            <w:pPr>
              <w:rPr>
                <w:rFonts w:ascii="Arial" w:hAnsi="Arial" w:cs="Arial"/>
                <w:b/>
                <w:bCs/>
              </w:rPr>
            </w:pPr>
            <w:r w:rsidRPr="00086293">
              <w:rPr>
                <w:rFonts w:ascii="Arial" w:hAnsi="Arial" w:cs="Arial"/>
                <w:b/>
                <w:bCs/>
              </w:rPr>
              <w:t>Telecommunications Act 1997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1B952B7" w14:textId="77777777" w:rsidR="00BF3D01" w:rsidRPr="00086293" w:rsidRDefault="00BF3D01" w:rsidP="00BF3D01">
            <w:pPr>
              <w:rPr>
                <w:rFonts w:ascii="Arial" w:hAnsi="Arial" w:cs="Arial"/>
              </w:rPr>
            </w:pPr>
            <w:r w:rsidRPr="00086293">
              <w:rPr>
                <w:rFonts w:ascii="Arial" w:hAnsi="Arial" w:cs="Arial"/>
              </w:rPr>
              <w:t>Australian Communications and Media Authority (ACMA), Australian Competition and Consumer Commission (ACCC)</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DA6F7BE" w14:textId="77777777" w:rsidR="00BF3D01" w:rsidRPr="00086293" w:rsidRDefault="00BF3D01" w:rsidP="00BF3D01">
            <w:pPr>
              <w:rPr>
                <w:rFonts w:ascii="Arial" w:hAnsi="Arial" w:cs="Arial"/>
              </w:rPr>
            </w:pPr>
            <w:r w:rsidRPr="00086293">
              <w:rPr>
                <w:rFonts w:ascii="Arial" w:hAnsi="Arial" w:cs="Arial"/>
              </w:rPr>
              <w:t>Planning: Provides the core regulatory framework. As deregulation has increased, providers must balance compliance with flexibility to innovate.</w:t>
            </w:r>
            <w:r w:rsidRPr="00086293">
              <w:rPr>
                <w:rFonts w:ascii="Arial" w:hAnsi="Arial" w:cs="Arial"/>
              </w:rPr>
              <w:br/>
              <w:t>Accessibility: Supports faster services and future network growth by mandating fair interconnection. Influences 5G rollout, as carriers must comply with infrastructure approval processes.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97B15E2" w14:textId="77777777" w:rsidR="00BF3D01" w:rsidRPr="00086293" w:rsidRDefault="00BF3D01" w:rsidP="00BF3D01">
            <w:pPr>
              <w:rPr>
                <w:rFonts w:ascii="Arial" w:hAnsi="Arial" w:cs="Arial"/>
              </w:rPr>
            </w:pPr>
            <w:r w:rsidRPr="00086293">
              <w:rPr>
                <w:rFonts w:ascii="Arial" w:hAnsi="Arial" w:cs="Arial"/>
              </w:rPr>
              <w:t>Imposes carrier licence obligations on large companies. It establishes the framework for network facility access and interconnection with other carriers' networks. It also contains section 313, which can be used by government agencies to request carriers take action to prevent criminal activity.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2035220" w14:textId="77777777" w:rsidR="00BF3D01" w:rsidRPr="00086293" w:rsidRDefault="00BF3D01" w:rsidP="00BF3D01">
            <w:pPr>
              <w:rPr>
                <w:rFonts w:ascii="Arial" w:hAnsi="Arial" w:cs="Arial"/>
              </w:rPr>
            </w:pPr>
            <w:r w:rsidRPr="00086293">
              <w:rPr>
                <w:rFonts w:ascii="Arial" w:hAnsi="Arial" w:cs="Arial"/>
              </w:rPr>
              <w:t>Industry codes, service provider determinations, licensing, co-regulation, direct enforcement actions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47252FE" w14:textId="77777777" w:rsidR="00BF3D01" w:rsidRPr="00086293" w:rsidRDefault="00BF3D01" w:rsidP="00BF3D01">
            <w:pPr>
              <w:rPr>
                <w:rFonts w:ascii="Arial" w:hAnsi="Arial" w:cs="Arial"/>
              </w:rPr>
            </w:pPr>
            <w:r w:rsidRPr="00086293">
              <w:rPr>
                <w:rFonts w:ascii="Arial" w:hAnsi="Arial" w:cs="Arial"/>
              </w:rPr>
              <w:t>Infringement notices, civil penalties (now up to $10 million per breach under reforms)</w:t>
            </w:r>
          </w:p>
        </w:tc>
      </w:tr>
      <w:tr w:rsidR="00BF3D01" w:rsidRPr="00086293" w14:paraId="4F9E745C"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3C3CBDDB" w14:textId="77777777" w:rsidR="00BF3D01" w:rsidRPr="00086293" w:rsidRDefault="00BF3D01" w:rsidP="00BF3D01">
            <w:pPr>
              <w:rPr>
                <w:rFonts w:ascii="Arial" w:hAnsi="Arial" w:cs="Arial"/>
                <w:b/>
                <w:bCs/>
              </w:rPr>
            </w:pPr>
            <w:r w:rsidRPr="00086293">
              <w:rPr>
                <w:rFonts w:ascii="Arial" w:hAnsi="Arial" w:cs="Arial"/>
                <w:b/>
                <w:bCs/>
              </w:rPr>
              <w:t xml:space="preserve">Telecommunications (Consumer Protection and Service </w:t>
            </w:r>
            <w:r w:rsidRPr="00086293">
              <w:rPr>
                <w:rFonts w:ascii="Arial" w:hAnsi="Arial" w:cs="Arial"/>
                <w:b/>
                <w:bCs/>
              </w:rPr>
              <w:lastRenderedPageBreak/>
              <w:t>Standards) Act 1999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14C53E1" w14:textId="77777777" w:rsidR="00BF3D01" w:rsidRPr="00086293" w:rsidRDefault="00BF3D01" w:rsidP="00BF3D01">
            <w:pPr>
              <w:rPr>
                <w:rFonts w:ascii="Arial" w:hAnsi="Arial" w:cs="Arial"/>
              </w:rPr>
            </w:pPr>
            <w:r w:rsidRPr="00086293">
              <w:rPr>
                <w:rFonts w:ascii="Arial" w:hAnsi="Arial" w:cs="Arial"/>
              </w:rPr>
              <w:lastRenderedPageBreak/>
              <w:t>Australian Communications and Media Authority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83A7FA1" w14:textId="77777777" w:rsidR="00BF3D01" w:rsidRPr="00086293" w:rsidRDefault="00BF3D01" w:rsidP="00BF3D01">
            <w:pPr>
              <w:rPr>
                <w:rFonts w:ascii="Arial" w:hAnsi="Arial" w:cs="Arial"/>
              </w:rPr>
            </w:pPr>
            <w:r w:rsidRPr="00086293">
              <w:rPr>
                <w:rFonts w:ascii="Arial" w:hAnsi="Arial" w:cs="Arial"/>
              </w:rPr>
              <w:t xml:space="preserve">Planning: Shapes how providers ensure quality of service, especially in underserved areas. Future </w:t>
            </w:r>
            <w:r w:rsidRPr="00086293">
              <w:rPr>
                <w:rFonts w:ascii="Arial" w:hAnsi="Arial" w:cs="Arial"/>
              </w:rPr>
              <w:lastRenderedPageBreak/>
              <w:t>planning must consider digital inclusion post-COVID-19.</w:t>
            </w:r>
            <w:r w:rsidRPr="00086293">
              <w:rPr>
                <w:rFonts w:ascii="Arial" w:hAnsi="Arial" w:cs="Arial"/>
              </w:rPr>
              <w:br/>
              <w:t>Accessibility: Guarantees universal service, but the demand for faster broadband and 5G raises expectations for higher reliability even in difficult network conditions (rural, natural disasters).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73F39BA" w14:textId="77777777" w:rsidR="00BF3D01" w:rsidRPr="00086293" w:rsidRDefault="00BF3D01" w:rsidP="00BF3D01">
            <w:pPr>
              <w:rPr>
                <w:rFonts w:ascii="Arial" w:hAnsi="Arial" w:cs="Arial"/>
              </w:rPr>
            </w:pPr>
            <w:r w:rsidRPr="00086293">
              <w:rPr>
                <w:rFonts w:ascii="Arial" w:hAnsi="Arial" w:cs="Arial"/>
              </w:rPr>
              <w:lastRenderedPageBreak/>
              <w:t xml:space="preserve">Regulates the Universal Service Obligation (USO), which requires the primary carrier (Telstra) to provide a standard </w:t>
            </w:r>
            <w:r w:rsidRPr="00086293">
              <w:rPr>
                <w:rFonts w:ascii="Arial" w:hAnsi="Arial" w:cs="Arial"/>
              </w:rPr>
              <w:lastRenderedPageBreak/>
              <w:t>telephone service and payphones to all Australians, regardless of location. Large companies must also contribute to the Telecommunications Industry Levy to fund these services.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F966BA3" w14:textId="77777777" w:rsidR="00BF3D01" w:rsidRPr="00086293" w:rsidRDefault="00BF3D01" w:rsidP="00BF3D01">
            <w:pPr>
              <w:rPr>
                <w:rFonts w:ascii="Arial" w:hAnsi="Arial" w:cs="Arial"/>
              </w:rPr>
            </w:pPr>
            <w:r w:rsidRPr="00086293">
              <w:rPr>
                <w:rFonts w:ascii="Arial" w:hAnsi="Arial" w:cs="Arial"/>
              </w:rPr>
              <w:lastRenderedPageBreak/>
              <w:t xml:space="preserve">Industry codes (e.g. Consumer Protection Code), standards </w:t>
            </w:r>
            <w:r w:rsidRPr="00086293">
              <w:rPr>
                <w:rFonts w:ascii="Arial" w:hAnsi="Arial" w:cs="Arial"/>
              </w:rPr>
              <w:lastRenderedPageBreak/>
              <w:t>registered with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8AC289B" w14:textId="77777777" w:rsidR="00BF3D01" w:rsidRPr="00086293" w:rsidRDefault="00BF3D01" w:rsidP="00BF3D01">
            <w:pPr>
              <w:rPr>
                <w:rFonts w:ascii="Arial" w:hAnsi="Arial" w:cs="Arial"/>
              </w:rPr>
            </w:pPr>
            <w:r w:rsidRPr="00086293">
              <w:rPr>
                <w:rFonts w:ascii="Arial" w:hAnsi="Arial" w:cs="Arial"/>
              </w:rPr>
              <w:lastRenderedPageBreak/>
              <w:t>Breaches attract infringement notices and civil penalties</w:t>
            </w:r>
          </w:p>
        </w:tc>
      </w:tr>
      <w:tr w:rsidR="00BF3D01" w:rsidRPr="00086293" w14:paraId="3D31C273"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0CE2D427" w14:textId="77777777" w:rsidR="00BF3D01" w:rsidRPr="00086293" w:rsidRDefault="00BF3D01" w:rsidP="00BF3D01">
            <w:pPr>
              <w:rPr>
                <w:rFonts w:ascii="Arial" w:hAnsi="Arial" w:cs="Arial"/>
                <w:b/>
                <w:bCs/>
              </w:rPr>
            </w:pPr>
            <w:r w:rsidRPr="00086293">
              <w:rPr>
                <w:rFonts w:ascii="Arial" w:hAnsi="Arial" w:cs="Arial"/>
                <w:b/>
                <w:bCs/>
              </w:rPr>
              <w:t>Telecommunications (Interception and Access) Act 1979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4F190C4" w14:textId="77777777" w:rsidR="00BF3D01" w:rsidRPr="00086293" w:rsidRDefault="00BF3D01" w:rsidP="00BF3D01">
            <w:pPr>
              <w:rPr>
                <w:rFonts w:ascii="Arial" w:hAnsi="Arial" w:cs="Arial"/>
                <w:b/>
                <w:bCs/>
              </w:rPr>
            </w:pPr>
            <w:r w:rsidRPr="00086293">
              <w:rPr>
                <w:rFonts w:ascii="Arial" w:hAnsi="Arial" w:cs="Arial"/>
                <w:b/>
                <w:bCs/>
              </w:rPr>
              <w:t>Attorney-General's Department (AGD), Australian Federal Police (AFP), Australian Security Intelligence Organisation (ASIO)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24B9CAC" w14:textId="77777777" w:rsidR="00BF3D01" w:rsidRPr="00086293" w:rsidRDefault="00BF3D01" w:rsidP="00BF3D01">
            <w:pPr>
              <w:rPr>
                <w:rFonts w:ascii="Arial" w:hAnsi="Arial" w:cs="Arial"/>
              </w:rPr>
            </w:pPr>
            <w:r w:rsidRPr="00086293">
              <w:rPr>
                <w:rFonts w:ascii="Arial" w:hAnsi="Arial" w:cs="Arial"/>
              </w:rPr>
              <w:t>Planning: Requires providers to integrate surveillance capabilities, influencing long-term network architecture.</w:t>
            </w:r>
            <w:r w:rsidRPr="00086293">
              <w:rPr>
                <w:rFonts w:ascii="Arial" w:hAnsi="Arial" w:cs="Arial"/>
              </w:rPr>
              <w:br/>
              <w:t>Accessibility: Balances national security with consumer privacy. Demand for faster and encrypted services complicates lawful access, particularly in 5G networks vulnerable to cyberattacks.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9C65ADC" w14:textId="77777777" w:rsidR="00BF3D01" w:rsidRPr="00086293" w:rsidRDefault="00BF3D01" w:rsidP="00BF3D01">
            <w:pPr>
              <w:rPr>
                <w:rFonts w:ascii="Arial" w:hAnsi="Arial" w:cs="Arial"/>
              </w:rPr>
            </w:pPr>
            <w:r w:rsidRPr="00086293">
              <w:rPr>
                <w:rFonts w:ascii="Arial" w:hAnsi="Arial" w:cs="Arial"/>
              </w:rPr>
              <w:t>Mandates large companies to retain certain types of telecommunications metadata (not content) for at least two years so it can be accessed by law enforcement and security agencies under a warrant.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9884D0" w14:textId="77777777" w:rsidR="00BF3D01" w:rsidRPr="00086293" w:rsidRDefault="00BF3D01" w:rsidP="00BF3D01">
            <w:pPr>
              <w:rPr>
                <w:rFonts w:ascii="Arial" w:hAnsi="Arial" w:cs="Arial"/>
              </w:rPr>
            </w:pPr>
            <w:r w:rsidRPr="00086293">
              <w:rPr>
                <w:rFonts w:ascii="Arial" w:hAnsi="Arial" w:cs="Arial"/>
              </w:rPr>
              <w:t>Authorised interception/access under warrant or legislation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B2BDFB3" w14:textId="77777777" w:rsidR="00BF3D01" w:rsidRPr="00086293" w:rsidRDefault="00BF3D01" w:rsidP="00BF3D01">
            <w:pPr>
              <w:rPr>
                <w:rFonts w:ascii="Arial" w:hAnsi="Arial" w:cs="Arial"/>
              </w:rPr>
            </w:pPr>
            <w:r w:rsidRPr="00086293">
              <w:rPr>
                <w:rFonts w:ascii="Arial" w:hAnsi="Arial" w:cs="Arial"/>
              </w:rPr>
              <w:t>Criminal sanctions for unauthorised interception</w:t>
            </w:r>
          </w:p>
        </w:tc>
      </w:tr>
      <w:tr w:rsidR="00BF3D01" w:rsidRPr="00086293" w14:paraId="6878A18B"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38FD8940" w14:textId="77777777" w:rsidR="00BF3D01" w:rsidRPr="00086293" w:rsidRDefault="00BF3D01" w:rsidP="00BF3D01">
            <w:pPr>
              <w:rPr>
                <w:rFonts w:ascii="Arial" w:hAnsi="Arial" w:cs="Arial"/>
                <w:b/>
                <w:bCs/>
              </w:rPr>
            </w:pPr>
            <w:r w:rsidRPr="00086293">
              <w:rPr>
                <w:rFonts w:ascii="Arial" w:hAnsi="Arial" w:cs="Arial"/>
                <w:b/>
                <w:bCs/>
              </w:rPr>
              <w:t>National Broadband Network Companies Act 2011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1871D0F" w14:textId="77777777" w:rsidR="00BF3D01" w:rsidRPr="00086293" w:rsidRDefault="00BF3D01" w:rsidP="00BF3D01">
            <w:pPr>
              <w:rPr>
                <w:rFonts w:ascii="Arial" w:hAnsi="Arial" w:cs="Arial"/>
              </w:rPr>
            </w:pPr>
            <w:r w:rsidRPr="00086293">
              <w:rPr>
                <w:rFonts w:ascii="Arial" w:hAnsi="Arial" w:cs="Arial"/>
              </w:rPr>
              <w:t>Australian Competition and Consumer Commission (ACCC)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772CD38" w14:textId="77777777" w:rsidR="00BF3D01" w:rsidRPr="00086293" w:rsidRDefault="00BF3D01" w:rsidP="00BF3D01">
            <w:pPr>
              <w:rPr>
                <w:rFonts w:ascii="Arial" w:hAnsi="Arial" w:cs="Arial"/>
              </w:rPr>
            </w:pPr>
            <w:r w:rsidRPr="00086293">
              <w:rPr>
                <w:rFonts w:ascii="Arial" w:hAnsi="Arial" w:cs="Arial"/>
              </w:rPr>
              <w:t>Planning: Mandates nationwide broadband planning, influencing how Australia addresses future growth and innovation. COVID-19 highlighted the need for resilient and scalable NBN services.</w:t>
            </w:r>
            <w:r w:rsidRPr="00086293">
              <w:rPr>
                <w:rFonts w:ascii="Arial" w:hAnsi="Arial" w:cs="Arial"/>
              </w:rPr>
              <w:br/>
              <w:t>Accessibility: Ensures equal access, but demand for faster services and high-quality video (remote work, online education) has pushed the NBN to upgrade capacity. Environmental conditions (fires, floods) challenge reliability.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A37D874" w14:textId="77777777" w:rsidR="00BF3D01" w:rsidRPr="00086293" w:rsidRDefault="00BF3D01" w:rsidP="00BF3D01">
            <w:pPr>
              <w:rPr>
                <w:rFonts w:ascii="Arial" w:hAnsi="Arial" w:cs="Arial"/>
              </w:rPr>
            </w:pPr>
            <w:r w:rsidRPr="00086293">
              <w:rPr>
                <w:rFonts w:ascii="Arial" w:hAnsi="Arial" w:cs="Arial"/>
              </w:rPr>
              <w:t>Specifically obligates NBN Co to be a 'wholesale-only' company, meaning it cannot sell directly to consumers. Large retail telcos (like Telstra and Optus) must purchase access to the NBN Co network to offer services to their customers.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B779E54" w14:textId="77777777" w:rsidR="00BF3D01" w:rsidRPr="00086293" w:rsidRDefault="00BF3D01" w:rsidP="00BF3D01">
            <w:pPr>
              <w:rPr>
                <w:rFonts w:ascii="Arial" w:hAnsi="Arial" w:cs="Arial"/>
              </w:rPr>
            </w:pPr>
            <w:r w:rsidRPr="00086293">
              <w:rPr>
                <w:rFonts w:ascii="Arial" w:hAnsi="Arial" w:cs="Arial"/>
              </w:rPr>
              <w:t>Access and pricing regulation, infrastructure oversight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701BB3C" w14:textId="77777777" w:rsidR="00BF3D01" w:rsidRPr="00086293" w:rsidRDefault="00BF3D01" w:rsidP="00BF3D01">
            <w:pPr>
              <w:rPr>
                <w:rFonts w:ascii="Arial" w:hAnsi="Arial" w:cs="Arial"/>
              </w:rPr>
            </w:pPr>
            <w:r w:rsidRPr="00086293">
              <w:rPr>
                <w:rFonts w:ascii="Arial" w:hAnsi="Arial" w:cs="Arial"/>
              </w:rPr>
              <w:t>Competition notices, court actions</w:t>
            </w:r>
          </w:p>
        </w:tc>
      </w:tr>
      <w:tr w:rsidR="00BF3D01" w:rsidRPr="00086293" w14:paraId="07971795"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6DA4CE6" w14:textId="77777777" w:rsidR="00BF3D01" w:rsidRPr="00086293" w:rsidRDefault="00BF3D01" w:rsidP="00BF3D01">
            <w:pPr>
              <w:rPr>
                <w:rFonts w:ascii="Arial" w:hAnsi="Arial" w:cs="Arial"/>
                <w:b/>
                <w:bCs/>
              </w:rPr>
            </w:pPr>
            <w:r w:rsidRPr="00086293">
              <w:rPr>
                <w:rFonts w:ascii="Arial" w:hAnsi="Arial" w:cs="Arial"/>
                <w:b/>
                <w:bCs/>
              </w:rPr>
              <w:t>Australian Communications and Media Authority Act 2005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FC519FA" w14:textId="77777777" w:rsidR="00BF3D01" w:rsidRPr="00086293" w:rsidRDefault="00BF3D01" w:rsidP="00BF3D01">
            <w:pPr>
              <w:rPr>
                <w:rFonts w:ascii="Arial" w:hAnsi="Arial" w:cs="Arial"/>
              </w:rPr>
            </w:pPr>
            <w:r w:rsidRPr="00086293">
              <w:rPr>
                <w:rFonts w:ascii="Arial" w:hAnsi="Arial" w:cs="Arial"/>
              </w:rPr>
              <w:t>Australian Communications and Media Authority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7826091" w14:textId="77777777" w:rsidR="00BF3D01" w:rsidRPr="00086293" w:rsidRDefault="00BF3D01" w:rsidP="00BF3D01">
            <w:pPr>
              <w:rPr>
                <w:rFonts w:ascii="Arial" w:hAnsi="Arial" w:cs="Arial"/>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FBF5EDD" w14:textId="77777777" w:rsidR="00BF3D01" w:rsidRPr="00086293" w:rsidRDefault="00BF3D01" w:rsidP="00BF3D01">
            <w:pPr>
              <w:rPr>
                <w:rFonts w:ascii="Arial" w:hAnsi="Arial" w:cs="Arial"/>
              </w:rPr>
            </w:pPr>
            <w:r w:rsidRPr="00086293">
              <w:rPr>
                <w:rFonts w:ascii="Arial" w:hAnsi="Arial" w:cs="Arial"/>
              </w:rPr>
              <w:t>This Act establishes the ACMA as the supervisory regulator for telecommunications. The ACMA uses the powers granted by this Act to enforce industry standards and codes of conduct on large companies.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BA70301" w14:textId="77777777" w:rsidR="00BF3D01" w:rsidRPr="00086293" w:rsidRDefault="00BF3D01" w:rsidP="00BF3D01">
            <w:pPr>
              <w:rPr>
                <w:rFonts w:ascii="Arial" w:hAnsi="Arial" w:cs="Arial"/>
              </w:rPr>
            </w:pPr>
            <w:r w:rsidRPr="00086293">
              <w:rPr>
                <w:rFonts w:ascii="Arial" w:hAnsi="Arial" w:cs="Arial"/>
              </w:rPr>
              <w:t>Establishes ACMA, defines its powers over broadcasting, telecoms, and radiocomm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12AF21D" w14:textId="77777777" w:rsidR="00BF3D01" w:rsidRPr="00086293" w:rsidRDefault="00BF3D01" w:rsidP="00BF3D01">
            <w:pPr>
              <w:rPr>
                <w:rFonts w:ascii="Arial" w:hAnsi="Arial" w:cs="Arial"/>
              </w:rPr>
            </w:pPr>
            <w:r w:rsidRPr="00086293">
              <w:rPr>
                <w:rFonts w:ascii="Arial" w:hAnsi="Arial" w:cs="Arial"/>
              </w:rPr>
              <w:t>Administrative enforcement, license conditions</w:t>
            </w:r>
          </w:p>
        </w:tc>
      </w:tr>
      <w:tr w:rsidR="00BF3D01" w:rsidRPr="00086293" w14:paraId="672BE646"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4A7068D3" w14:textId="77777777" w:rsidR="00BF3D01" w:rsidRPr="00086293" w:rsidRDefault="00BF3D01" w:rsidP="00BF3D01">
            <w:pPr>
              <w:rPr>
                <w:rFonts w:ascii="Arial" w:hAnsi="Arial" w:cs="Arial"/>
                <w:b/>
                <w:bCs/>
              </w:rPr>
            </w:pPr>
            <w:r w:rsidRPr="00086293">
              <w:rPr>
                <w:rFonts w:ascii="Arial" w:hAnsi="Arial" w:cs="Arial"/>
                <w:b/>
                <w:bCs/>
              </w:rPr>
              <w:t>Competition and Consumer Act 2010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5723B3F" w14:textId="77777777" w:rsidR="00BF3D01" w:rsidRPr="00086293" w:rsidRDefault="00BF3D01" w:rsidP="00BF3D01">
            <w:pPr>
              <w:rPr>
                <w:rFonts w:ascii="Arial" w:hAnsi="Arial" w:cs="Arial"/>
              </w:rPr>
            </w:pPr>
            <w:r w:rsidRPr="00086293">
              <w:rPr>
                <w:rFonts w:ascii="Arial" w:hAnsi="Arial" w:cs="Arial"/>
              </w:rPr>
              <w:t>Australian Competition and Consumer Commission (ACCC)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A57BC80" w14:textId="77777777" w:rsidR="00BF3D01" w:rsidRPr="00086293" w:rsidRDefault="00BF3D01" w:rsidP="00BF3D01">
            <w:pPr>
              <w:rPr>
                <w:rFonts w:ascii="Arial" w:hAnsi="Arial" w:cs="Arial"/>
              </w:rPr>
            </w:pPr>
            <w:r w:rsidRPr="00086293">
              <w:rPr>
                <w:rFonts w:ascii="Arial" w:hAnsi="Arial" w:cs="Arial"/>
              </w:rPr>
              <w:t>Planning: Ensures providers cannot abuse market power, which directly affects pricing and investment decisions.</w:t>
            </w:r>
            <w:r w:rsidRPr="00086293">
              <w:rPr>
                <w:rFonts w:ascii="Arial" w:hAnsi="Arial" w:cs="Arial"/>
              </w:rPr>
              <w:br/>
              <w:t>Accessibility: Encourages innovation (especially during COVID-19) and drives competition for faster, higher-quality services, including 5G. Prevents monopolies that could block rural access or environmentally sustainable investments.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2E74175" w14:textId="77777777" w:rsidR="00BF3D01" w:rsidRPr="00086293" w:rsidRDefault="00BF3D01" w:rsidP="00BF3D01">
            <w:pPr>
              <w:rPr>
                <w:rFonts w:ascii="Arial" w:hAnsi="Arial" w:cs="Arial"/>
              </w:rPr>
            </w:pPr>
            <w:r w:rsidRPr="00086293">
              <w:rPr>
                <w:rFonts w:ascii="Arial" w:hAnsi="Arial" w:cs="Arial"/>
              </w:rPr>
              <w:t>Applies to large companies to regulate competition. The ACCC uses its powers under this Act to prevent anti-competitive conduct, regulate access to essential network infrastructure, and oversee compliance with consumer protection laws.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CC6FFDD" w14:textId="77777777" w:rsidR="00BF3D01" w:rsidRPr="00086293" w:rsidRDefault="00BF3D01" w:rsidP="00BF3D01">
            <w:pPr>
              <w:rPr>
                <w:rFonts w:ascii="Arial" w:hAnsi="Arial" w:cs="Arial"/>
              </w:rPr>
            </w:pPr>
            <w:r w:rsidRPr="00086293">
              <w:rPr>
                <w:rFonts w:ascii="Arial" w:hAnsi="Arial" w:cs="Arial"/>
              </w:rPr>
              <w:t>Anti-competitive conducts, Part XIB/XIC regulation of telecom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52C3BD" w14:textId="77777777" w:rsidR="00BF3D01" w:rsidRPr="00086293" w:rsidRDefault="00BF3D01" w:rsidP="00BF3D01">
            <w:pPr>
              <w:rPr>
                <w:rFonts w:ascii="Arial" w:hAnsi="Arial" w:cs="Arial"/>
              </w:rPr>
            </w:pPr>
            <w:r w:rsidRPr="00086293">
              <w:rPr>
                <w:rFonts w:ascii="Arial" w:hAnsi="Arial" w:cs="Arial"/>
              </w:rPr>
              <w:t>Large fines (up to $50m or % turnover), enforceable undertakings</w:t>
            </w:r>
          </w:p>
        </w:tc>
      </w:tr>
      <w:tr w:rsidR="00BF3D01" w:rsidRPr="00086293" w14:paraId="5258274D"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1A2E099D" w14:textId="77777777" w:rsidR="00BF3D01" w:rsidRPr="00086293" w:rsidRDefault="00BF3D01" w:rsidP="00BF3D01">
            <w:pPr>
              <w:rPr>
                <w:rFonts w:ascii="Arial" w:hAnsi="Arial" w:cs="Arial"/>
                <w:b/>
                <w:bCs/>
              </w:rPr>
            </w:pPr>
            <w:r w:rsidRPr="00086293">
              <w:rPr>
                <w:rFonts w:ascii="Arial" w:hAnsi="Arial" w:cs="Arial"/>
                <w:b/>
                <w:bCs/>
              </w:rPr>
              <w:t>Broadcasting Services Act 1992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3337B03" w14:textId="77777777" w:rsidR="00BF3D01" w:rsidRPr="00086293" w:rsidRDefault="00BF3D01" w:rsidP="00BF3D01">
            <w:pPr>
              <w:rPr>
                <w:rFonts w:ascii="Arial" w:hAnsi="Arial" w:cs="Arial"/>
              </w:rPr>
            </w:pPr>
            <w:r w:rsidRPr="00086293">
              <w:rPr>
                <w:rFonts w:ascii="Arial" w:hAnsi="Arial" w:cs="Arial"/>
              </w:rPr>
              <w:t>Australian Communications and Media Authority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9031E06" w14:textId="77777777" w:rsidR="00BF3D01" w:rsidRPr="00086293" w:rsidRDefault="00BF3D01" w:rsidP="00BF3D01">
            <w:pPr>
              <w:rPr>
                <w:rFonts w:ascii="Arial" w:hAnsi="Arial" w:cs="Arial"/>
              </w:rPr>
            </w:pPr>
            <w:r w:rsidRPr="00086293">
              <w:rPr>
                <w:rFonts w:ascii="Arial" w:hAnsi="Arial" w:cs="Arial"/>
              </w:rPr>
              <w:t xml:space="preserve">Planning: Media convergence with internet services requires future-oriented regulation. Networks must adapt to new streaming demand while complying </w:t>
            </w:r>
            <w:r w:rsidRPr="00086293">
              <w:rPr>
                <w:rFonts w:ascii="Arial" w:hAnsi="Arial" w:cs="Arial"/>
              </w:rPr>
              <w:lastRenderedPageBreak/>
              <w:t>with broadcast standards.</w:t>
            </w:r>
            <w:r w:rsidRPr="00086293">
              <w:rPr>
                <w:rFonts w:ascii="Arial" w:hAnsi="Arial" w:cs="Arial"/>
              </w:rPr>
              <w:br/>
              <w:t>Accessibility: Guarantees diverse content, but network growth (e.g., video streaming post-COVID-19) puts pressure on quality of service. Environmental concerns also affect spectrum use and broadcasting facilities.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7A39071" w14:textId="77777777" w:rsidR="00BF3D01" w:rsidRPr="00086293" w:rsidRDefault="00BF3D01" w:rsidP="00BF3D01">
            <w:pPr>
              <w:rPr>
                <w:rFonts w:ascii="Arial" w:hAnsi="Arial" w:cs="Arial"/>
              </w:rPr>
            </w:pPr>
            <w:r w:rsidRPr="00086293">
              <w:rPr>
                <w:rFonts w:ascii="Arial" w:hAnsi="Arial" w:cs="Arial"/>
              </w:rPr>
              <w:lastRenderedPageBreak/>
              <w:t>Imposes obligations on large companies that also operate broadcasting or subscription television services, such as rules on media ownership and content diversity.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8E904BC" w14:textId="77777777" w:rsidR="00BF3D01" w:rsidRPr="00086293" w:rsidRDefault="00BF3D01" w:rsidP="00BF3D01">
            <w:pPr>
              <w:rPr>
                <w:rFonts w:ascii="Arial" w:hAnsi="Arial" w:cs="Arial"/>
              </w:rPr>
            </w:pPr>
            <w:r w:rsidRPr="00086293">
              <w:rPr>
                <w:rFonts w:ascii="Arial" w:hAnsi="Arial" w:cs="Arial"/>
              </w:rPr>
              <w:t>Content regulation, advertising standards, complaints handling, co-regulation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E67774A" w14:textId="77777777" w:rsidR="00BF3D01" w:rsidRPr="00086293" w:rsidRDefault="00BF3D01" w:rsidP="00BF3D01">
            <w:pPr>
              <w:rPr>
                <w:rFonts w:ascii="Arial" w:hAnsi="Arial" w:cs="Arial"/>
              </w:rPr>
            </w:pPr>
            <w:r w:rsidRPr="00086293">
              <w:rPr>
                <w:rFonts w:ascii="Arial" w:hAnsi="Arial" w:cs="Arial"/>
              </w:rPr>
              <w:t>Directions to remove or block content, enforceable notices</w:t>
            </w:r>
          </w:p>
        </w:tc>
      </w:tr>
      <w:tr w:rsidR="00BF3D01" w:rsidRPr="00086293" w14:paraId="018FDFFE"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1AE89183" w14:textId="77777777" w:rsidR="00BF3D01" w:rsidRPr="00086293" w:rsidRDefault="00BF3D01" w:rsidP="00BF3D01">
            <w:pPr>
              <w:rPr>
                <w:rFonts w:ascii="Arial" w:hAnsi="Arial" w:cs="Arial"/>
                <w:b/>
                <w:bCs/>
              </w:rPr>
            </w:pPr>
            <w:r w:rsidRPr="00086293">
              <w:rPr>
                <w:rFonts w:ascii="Arial" w:hAnsi="Arial" w:cs="Arial"/>
                <w:b/>
                <w:bCs/>
              </w:rPr>
              <w:t>Radiocommunications Act 1992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7230E94" w14:textId="77777777" w:rsidR="00BF3D01" w:rsidRPr="00086293" w:rsidRDefault="00BF3D01" w:rsidP="00BF3D01">
            <w:pPr>
              <w:rPr>
                <w:rFonts w:ascii="Arial" w:hAnsi="Arial" w:cs="Arial"/>
              </w:rPr>
            </w:pPr>
            <w:r w:rsidRPr="00086293">
              <w:rPr>
                <w:rFonts w:ascii="Arial" w:hAnsi="Arial" w:cs="Arial"/>
              </w:rPr>
              <w:t>Australian Communications and Media Authority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6F32240" w14:textId="77777777" w:rsidR="00BF3D01" w:rsidRPr="00086293" w:rsidRDefault="00BF3D01" w:rsidP="00BF3D01">
            <w:pPr>
              <w:rPr>
                <w:rFonts w:ascii="Arial" w:hAnsi="Arial" w:cs="Arial"/>
              </w:rPr>
            </w:pPr>
            <w:r w:rsidRPr="00086293">
              <w:rPr>
                <w:rFonts w:ascii="Arial" w:hAnsi="Arial" w:cs="Arial"/>
              </w:rPr>
              <w:t>Planning: Central for 5G implementation and spectrum allocation. Regulates how spectrum is shared, balancing regulation with flexibility for innovation.</w:t>
            </w:r>
            <w:r w:rsidRPr="00086293">
              <w:rPr>
                <w:rFonts w:ascii="Arial" w:hAnsi="Arial" w:cs="Arial"/>
              </w:rPr>
              <w:br/>
              <w:t>Accessibility: Provides opportunities for new services (IoT, faster broadband). COVID-19 accelerated demand for wireless solutions, pushing spectrum efficiency. Environmental factors (e.g., tower placement, radiation concerns) must be managed.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875CCF6" w14:textId="77777777" w:rsidR="00BF3D01" w:rsidRPr="00086293" w:rsidRDefault="00BF3D01" w:rsidP="00BF3D01">
            <w:pPr>
              <w:rPr>
                <w:rFonts w:ascii="Arial" w:hAnsi="Arial" w:cs="Arial"/>
              </w:rPr>
            </w:pPr>
            <w:r w:rsidRPr="00086293">
              <w:rPr>
                <w:rFonts w:ascii="Arial" w:hAnsi="Arial" w:cs="Arial"/>
              </w:rPr>
              <w:t>Governs how large telcos obtain and use radiofrequency spectrum licences for wireless services like 4G and 5G. The ACMA administers this licensing process.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A44DFCB" w14:textId="77777777" w:rsidR="00BF3D01" w:rsidRPr="00086293" w:rsidRDefault="00BF3D01" w:rsidP="00BF3D01">
            <w:pPr>
              <w:rPr>
                <w:rFonts w:ascii="Arial" w:hAnsi="Arial" w:cs="Arial"/>
              </w:rPr>
            </w:pPr>
            <w:r w:rsidRPr="00086293">
              <w:rPr>
                <w:rFonts w:ascii="Arial" w:hAnsi="Arial" w:cs="Arial"/>
              </w:rPr>
              <w:t>Licensing of spectrum, technical standards, interference control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F4A5447" w14:textId="77777777" w:rsidR="00BF3D01" w:rsidRPr="00086293" w:rsidRDefault="00BF3D01" w:rsidP="00BF3D01">
            <w:pPr>
              <w:rPr>
                <w:rFonts w:ascii="Arial" w:hAnsi="Arial" w:cs="Arial"/>
              </w:rPr>
            </w:pPr>
            <w:r w:rsidRPr="00086293">
              <w:rPr>
                <w:rFonts w:ascii="Arial" w:hAnsi="Arial" w:cs="Arial"/>
              </w:rPr>
              <w:t>Licence cancellation/suspension, infringement notices</w:t>
            </w:r>
          </w:p>
        </w:tc>
      </w:tr>
      <w:tr w:rsidR="00BF3D01" w:rsidRPr="00086293" w14:paraId="42DD2E69"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0790CF98" w14:textId="77777777" w:rsidR="00BF3D01" w:rsidRPr="00086293" w:rsidRDefault="00BF3D01" w:rsidP="00BF3D01">
            <w:pPr>
              <w:rPr>
                <w:rFonts w:ascii="Arial" w:hAnsi="Arial" w:cs="Arial"/>
                <w:b/>
                <w:bCs/>
              </w:rPr>
            </w:pPr>
            <w:r w:rsidRPr="00086293">
              <w:rPr>
                <w:rFonts w:ascii="Arial" w:hAnsi="Arial" w:cs="Arial"/>
                <w:b/>
                <w:bCs/>
              </w:rPr>
              <w:t>Privacy Act 1988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978B629" w14:textId="77777777" w:rsidR="00BF3D01" w:rsidRPr="00086293" w:rsidRDefault="00BF3D01" w:rsidP="00BF3D01">
            <w:pPr>
              <w:rPr>
                <w:rFonts w:ascii="Arial" w:hAnsi="Arial" w:cs="Arial"/>
              </w:rPr>
            </w:pPr>
            <w:r w:rsidRPr="00086293">
              <w:rPr>
                <w:rFonts w:ascii="Arial" w:hAnsi="Arial" w:cs="Arial"/>
              </w:rPr>
              <w:t>OAIC (Office of the Australian Information Commissioner)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6F1343A" w14:textId="77777777" w:rsidR="00BF3D01" w:rsidRPr="00086293" w:rsidRDefault="00BF3D01" w:rsidP="00BF3D01">
            <w:pPr>
              <w:rPr>
                <w:rFonts w:ascii="Arial" w:hAnsi="Arial" w:cs="Arial"/>
              </w:rPr>
            </w:pPr>
            <w:r w:rsidRPr="00086293">
              <w:rPr>
                <w:rFonts w:ascii="Arial" w:hAnsi="Arial" w:cs="Arial"/>
              </w:rPr>
              <w:t>Planning: Shapes data handling policies, requiring robust cybersecurity measures in network growth and innovation.</w:t>
            </w:r>
            <w:r w:rsidRPr="00086293">
              <w:rPr>
                <w:rFonts w:ascii="Arial" w:hAnsi="Arial" w:cs="Arial"/>
              </w:rPr>
              <w:br/>
              <w:t>Accessibility: Increases consumer trust, but compliance can raise costs for providers. Privacy concerns are central to 5G and cloud-based services accelerated by COVID-19.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E6D5176" w14:textId="77777777" w:rsidR="00BF3D01" w:rsidRPr="00086293" w:rsidRDefault="00BF3D01" w:rsidP="00BF3D01">
            <w:pPr>
              <w:rPr>
                <w:rFonts w:ascii="Arial" w:hAnsi="Arial" w:cs="Arial"/>
              </w:rPr>
            </w:pPr>
            <w:r w:rsidRPr="00086293">
              <w:rPr>
                <w:rFonts w:ascii="Arial" w:hAnsi="Arial" w:cs="Arial"/>
              </w:rPr>
              <w:t>Requires large companies handling personal data to comply with the Australian Privacy Principles (APPs). This includes a mandatory data breach notification scheme and taking reasonable steps to secure personal information.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2DB0523" w14:textId="77777777" w:rsidR="00BF3D01" w:rsidRPr="00086293" w:rsidRDefault="00BF3D01" w:rsidP="00BF3D01">
            <w:pPr>
              <w:rPr>
                <w:rFonts w:ascii="Arial" w:hAnsi="Arial" w:cs="Arial"/>
              </w:rPr>
            </w:pPr>
            <w:r w:rsidRPr="00086293">
              <w:rPr>
                <w:rFonts w:ascii="Arial" w:hAnsi="Arial" w:cs="Arial"/>
              </w:rPr>
              <w:t>Australian Privacy Principles, investigation of breaches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76117DC" w14:textId="77777777" w:rsidR="00BF3D01" w:rsidRPr="00086293" w:rsidRDefault="00BF3D01" w:rsidP="00BF3D01">
            <w:pPr>
              <w:rPr>
                <w:rFonts w:ascii="Arial" w:hAnsi="Arial" w:cs="Arial"/>
              </w:rPr>
            </w:pPr>
            <w:r w:rsidRPr="00086293">
              <w:rPr>
                <w:rFonts w:ascii="Arial" w:hAnsi="Arial" w:cs="Arial"/>
              </w:rPr>
              <w:t>Civil penalties, enforceable undertakings, criminal penalty for non-compliance</w:t>
            </w:r>
          </w:p>
        </w:tc>
      </w:tr>
      <w:tr w:rsidR="00BF3D01" w:rsidRPr="00086293" w14:paraId="26BDE2B6"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A4A43AB" w14:textId="77777777" w:rsidR="00BF3D01" w:rsidRPr="00086293" w:rsidRDefault="00BF3D01" w:rsidP="00BF3D01">
            <w:pPr>
              <w:rPr>
                <w:rFonts w:ascii="Arial" w:hAnsi="Arial" w:cs="Arial"/>
                <w:b/>
                <w:bCs/>
              </w:rPr>
            </w:pPr>
            <w:r w:rsidRPr="00086293">
              <w:rPr>
                <w:rFonts w:ascii="Arial" w:hAnsi="Arial" w:cs="Arial"/>
                <w:b/>
                <w:bCs/>
              </w:rPr>
              <w:t>Online Safety Act 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E12C293" w14:textId="77777777" w:rsidR="00BF3D01" w:rsidRPr="00086293" w:rsidRDefault="00BF3D01" w:rsidP="00BF3D01">
            <w:pPr>
              <w:rPr>
                <w:rFonts w:ascii="Arial" w:hAnsi="Arial" w:cs="Arial"/>
                <w:b/>
                <w:bCs/>
              </w:rPr>
            </w:pPr>
            <w:r w:rsidRPr="00086293">
              <w:rPr>
                <w:rFonts w:ascii="Arial" w:hAnsi="Arial" w:cs="Arial"/>
                <w:b/>
                <w:bCs/>
              </w:rPr>
              <w:t>eSafety Commissioner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0BF57DF" w14:textId="77777777" w:rsidR="00BF3D01" w:rsidRPr="00086293" w:rsidRDefault="00BF3D01" w:rsidP="00BF3D01">
            <w:pPr>
              <w:rPr>
                <w:rFonts w:ascii="Arial" w:hAnsi="Arial" w:cs="Arial"/>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79AD105" w14:textId="77777777" w:rsidR="00BF3D01" w:rsidRPr="00086293" w:rsidRDefault="00BF3D01" w:rsidP="00BF3D01">
            <w:pPr>
              <w:rPr>
                <w:rFonts w:ascii="Arial" w:hAnsi="Arial" w:cs="Arial"/>
              </w:rPr>
            </w:pPr>
            <w:r w:rsidRPr="00086293">
              <w:rPr>
                <w:rFonts w:ascii="Arial" w:hAnsi="Arial" w:cs="Arial"/>
              </w:rPr>
              <w:t>Imposes obligations on large social media platforms and internet service providers to address cyberbullying and harmful content. The eSafety Commissioner can issue removal notices to these companies.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9515979" w14:textId="77777777" w:rsidR="00BF3D01" w:rsidRPr="00086293" w:rsidRDefault="00BF3D01" w:rsidP="00BF3D01">
            <w:pPr>
              <w:rPr>
                <w:rFonts w:ascii="Arial" w:hAnsi="Arial" w:cs="Arial"/>
              </w:rPr>
            </w:pPr>
            <w:r w:rsidRPr="00086293">
              <w:rPr>
                <w:rFonts w:ascii="Arial" w:hAnsi="Arial" w:cs="Arial"/>
              </w:rPr>
              <w:t>Online content scheme, online safety codes, investigation of harmful content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0E25AB0" w14:textId="77777777" w:rsidR="00BF3D01" w:rsidRPr="00086293" w:rsidRDefault="00BF3D01" w:rsidP="00BF3D01">
            <w:pPr>
              <w:rPr>
                <w:rFonts w:ascii="Arial" w:hAnsi="Arial" w:cs="Arial"/>
              </w:rPr>
            </w:pPr>
            <w:r w:rsidRPr="00086293">
              <w:rPr>
                <w:rFonts w:ascii="Arial" w:hAnsi="Arial" w:cs="Arial"/>
              </w:rPr>
              <w:t>Infringement notices, substantial fines, court orders, daily penalties</w:t>
            </w:r>
          </w:p>
        </w:tc>
      </w:tr>
      <w:tr w:rsidR="00BF3D01" w:rsidRPr="00086293" w14:paraId="6B5E3208"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DAF329D" w14:textId="77777777" w:rsidR="00BF3D01" w:rsidRPr="00086293" w:rsidRDefault="00BF3D01" w:rsidP="00BF3D01">
            <w:pPr>
              <w:rPr>
                <w:rFonts w:ascii="Arial" w:hAnsi="Arial" w:cs="Arial"/>
                <w:b/>
                <w:bCs/>
              </w:rPr>
            </w:pPr>
            <w:r w:rsidRPr="00086293">
              <w:rPr>
                <w:rFonts w:ascii="Arial" w:hAnsi="Arial" w:cs="Arial"/>
                <w:b/>
                <w:bCs/>
              </w:rPr>
              <w:t>Criminal Code Act 1995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5358A5A" w14:textId="77777777" w:rsidR="00BF3D01" w:rsidRPr="00086293" w:rsidRDefault="00BF3D01" w:rsidP="00BF3D01">
            <w:pPr>
              <w:rPr>
                <w:rFonts w:ascii="Arial" w:hAnsi="Arial" w:cs="Arial"/>
              </w:rPr>
            </w:pPr>
            <w:r w:rsidRPr="00086293">
              <w:rPr>
                <w:rFonts w:ascii="Arial" w:hAnsi="Arial" w:cs="Arial"/>
              </w:rPr>
              <w:t>Attorney-General's Department (AGD), Australian Federal Police (AFP)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20965F5" w14:textId="77777777" w:rsidR="00BF3D01" w:rsidRPr="00086293" w:rsidRDefault="00BF3D01" w:rsidP="00BF3D01">
            <w:pPr>
              <w:rPr>
                <w:rFonts w:ascii="Arial" w:hAnsi="Arial" w:cs="Arial"/>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D991185" w14:textId="77777777" w:rsidR="00BF3D01" w:rsidRPr="00086293" w:rsidRDefault="00BF3D01" w:rsidP="00BF3D01">
            <w:pPr>
              <w:rPr>
                <w:rFonts w:ascii="Arial" w:hAnsi="Arial" w:cs="Arial"/>
              </w:rPr>
            </w:pPr>
            <w:r w:rsidRPr="00086293">
              <w:rPr>
                <w:rFonts w:ascii="Arial" w:hAnsi="Arial" w:cs="Arial"/>
              </w:rPr>
              <w:t>Establishes federal offences related to cybercrime (e.g., hacking and electronic fraud) that apply to large companies. It's used to prosecute individuals or corporations if their actions breach these criminal laws.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441C08E" w14:textId="77777777" w:rsidR="00BF3D01" w:rsidRPr="00086293" w:rsidRDefault="00BF3D01" w:rsidP="00BF3D01">
            <w:pPr>
              <w:rPr>
                <w:rFonts w:ascii="Arial" w:hAnsi="Arial" w:cs="Arial"/>
              </w:rPr>
            </w:pPr>
            <w:r w:rsidRPr="00086293">
              <w:rPr>
                <w:rFonts w:ascii="Arial" w:hAnsi="Arial" w:cs="Arial"/>
              </w:rPr>
              <w:t>General criminal offences, defines penalties applicable across statutes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84EBFE" w14:textId="77777777" w:rsidR="00BF3D01" w:rsidRPr="00086293" w:rsidRDefault="00BF3D01" w:rsidP="00BF3D01">
            <w:pPr>
              <w:rPr>
                <w:rFonts w:ascii="Arial" w:hAnsi="Arial" w:cs="Arial"/>
              </w:rPr>
            </w:pPr>
            <w:r w:rsidRPr="00086293">
              <w:rPr>
                <w:rFonts w:ascii="Arial" w:hAnsi="Arial" w:cs="Arial"/>
              </w:rPr>
              <w:t>Criminal sanctions (imprisonment, fines)</w:t>
            </w:r>
          </w:p>
        </w:tc>
      </w:tr>
      <w:tr w:rsidR="00BF3D01" w:rsidRPr="00086293" w14:paraId="36AC995C"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7B2570B" w14:textId="77777777" w:rsidR="00BF3D01" w:rsidRPr="00086293" w:rsidRDefault="00BF3D01" w:rsidP="00BF3D01">
            <w:pPr>
              <w:rPr>
                <w:rFonts w:ascii="Arial" w:hAnsi="Arial" w:cs="Arial"/>
                <w:b/>
                <w:bCs/>
              </w:rPr>
            </w:pPr>
            <w:r w:rsidRPr="00086293">
              <w:rPr>
                <w:rFonts w:ascii="Arial" w:hAnsi="Arial" w:cs="Arial"/>
                <w:b/>
                <w:bCs/>
              </w:rPr>
              <w:t>Telecommunications and Other Legislation Amendment (Assistance and Access) Act 2018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FC1F778" w14:textId="77777777" w:rsidR="00BF3D01" w:rsidRPr="00086293" w:rsidRDefault="00BF3D01" w:rsidP="00BF3D01">
            <w:pPr>
              <w:rPr>
                <w:rFonts w:ascii="Arial" w:hAnsi="Arial" w:cs="Arial"/>
              </w:rPr>
            </w:pPr>
            <w:r w:rsidRPr="00086293">
              <w:rPr>
                <w:rFonts w:ascii="Arial" w:hAnsi="Arial" w:cs="Arial"/>
              </w:rPr>
              <w:t>Attorney-General's Department (AGD), Australian Security Intelligence Organisation (ASIO), Australian Federal Police (AFP)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F3F9275" w14:textId="77777777" w:rsidR="00BF3D01" w:rsidRPr="00086293" w:rsidRDefault="00BF3D01" w:rsidP="00BF3D01">
            <w:pPr>
              <w:rPr>
                <w:rFonts w:ascii="Arial" w:hAnsi="Arial" w:cs="Arial"/>
              </w:rPr>
            </w:pPr>
            <w:r w:rsidRPr="00086293">
              <w:rPr>
                <w:rFonts w:ascii="Arial" w:hAnsi="Arial" w:cs="Arial"/>
              </w:rPr>
              <w:t>Planning: Forces companies to plan infrastructure with lawful interception, adding complexity to future network design.</w:t>
            </w:r>
            <w:r w:rsidRPr="00086293">
              <w:rPr>
                <w:rFonts w:ascii="Arial" w:hAnsi="Arial" w:cs="Arial"/>
              </w:rPr>
              <w:br/>
              <w:t>Accessibility: Security needs versus consumer rights impact trust. In a world of rising cyberattacks and data breaches, encryption standards are vital for 5G adoption and remote work innovation post-</w:t>
            </w:r>
            <w:r w:rsidRPr="00086293">
              <w:rPr>
                <w:rFonts w:ascii="Arial" w:hAnsi="Arial" w:cs="Arial"/>
              </w:rPr>
              <w:lastRenderedPageBreak/>
              <w:t>COVID-19.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4E26082" w14:textId="77777777" w:rsidR="00BF3D01" w:rsidRPr="00086293" w:rsidRDefault="00BF3D01" w:rsidP="00BF3D01">
            <w:pPr>
              <w:rPr>
                <w:rFonts w:ascii="Arial" w:hAnsi="Arial" w:cs="Arial"/>
              </w:rPr>
            </w:pPr>
            <w:r w:rsidRPr="00086293">
              <w:rPr>
                <w:rFonts w:ascii="Arial" w:hAnsi="Arial" w:cs="Arial"/>
              </w:rPr>
              <w:lastRenderedPageBreak/>
              <w:t>Compels companies to provide technical assistance to security agencies to access encrypted data. Agencies can issue mandatory notices to companies to provide such assistance, provided a "systemic weakness" is not created.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B9D1212" w14:textId="77777777" w:rsidR="00BF3D01" w:rsidRPr="00086293" w:rsidRDefault="00BF3D01" w:rsidP="00BF3D01">
            <w:pPr>
              <w:rPr>
                <w:rFonts w:ascii="Arial" w:hAnsi="Arial" w:cs="Arial"/>
              </w:rPr>
            </w:pPr>
            <w:r w:rsidRPr="00086293">
              <w:rPr>
                <w:rFonts w:ascii="Arial" w:hAnsi="Arial" w:cs="Arial"/>
              </w:rPr>
              <w:t>Access to encrypted communications by law enforcement with warrants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3CB3B3E" w14:textId="77777777" w:rsidR="00BF3D01" w:rsidRPr="00086293" w:rsidRDefault="00BF3D01" w:rsidP="00BF3D01">
            <w:pPr>
              <w:rPr>
                <w:rFonts w:ascii="Arial" w:hAnsi="Arial" w:cs="Arial"/>
              </w:rPr>
            </w:pPr>
            <w:r w:rsidRPr="00086293">
              <w:rPr>
                <w:rFonts w:ascii="Arial" w:hAnsi="Arial" w:cs="Arial"/>
              </w:rPr>
              <w:t>Criminal penalties for failing to comply</w:t>
            </w:r>
          </w:p>
        </w:tc>
      </w:tr>
      <w:tr w:rsidR="00BF3D01" w:rsidRPr="00086293" w14:paraId="1FF800E3"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6841E1D" w14:textId="77777777" w:rsidR="00BF3D01" w:rsidRPr="00086293" w:rsidRDefault="00BF3D01" w:rsidP="00BF3D01">
            <w:pPr>
              <w:rPr>
                <w:rFonts w:ascii="Arial" w:hAnsi="Arial" w:cs="Arial"/>
                <w:b/>
                <w:bCs/>
              </w:rPr>
            </w:pPr>
            <w:r w:rsidRPr="00086293">
              <w:rPr>
                <w:rFonts w:ascii="Arial" w:hAnsi="Arial" w:cs="Arial"/>
                <w:b/>
                <w:bCs/>
              </w:rPr>
              <w:t>Copyright Act 1968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5840125" w14:textId="77777777" w:rsidR="00BF3D01" w:rsidRPr="00086293" w:rsidRDefault="00BF3D01" w:rsidP="00BF3D01">
            <w:pPr>
              <w:rPr>
                <w:rFonts w:ascii="Arial" w:hAnsi="Arial" w:cs="Arial"/>
              </w:rPr>
            </w:pPr>
            <w:r w:rsidRPr="00086293">
              <w:rPr>
                <w:rFonts w:ascii="Arial" w:hAnsi="Arial" w:cs="Arial"/>
              </w:rPr>
              <w:t>Attorney-General's Department (AGD), Australian Federal Police (AFP)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42CD4A4" w14:textId="77777777" w:rsidR="00BF3D01" w:rsidRPr="00086293" w:rsidRDefault="00BF3D01" w:rsidP="00BF3D01">
            <w:pPr>
              <w:rPr>
                <w:rFonts w:ascii="Arial" w:hAnsi="Arial" w:cs="Arial"/>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6E65625" w14:textId="77777777" w:rsidR="00BF3D01" w:rsidRPr="00086293" w:rsidRDefault="00BF3D01" w:rsidP="00BF3D01">
            <w:pPr>
              <w:rPr>
                <w:rFonts w:ascii="Arial" w:hAnsi="Arial" w:cs="Arial"/>
              </w:rPr>
            </w:pPr>
            <w:r w:rsidRPr="00086293">
              <w:rPr>
                <w:rFonts w:ascii="Arial" w:hAnsi="Arial" w:cs="Arial"/>
              </w:rPr>
              <w:t>Imposes responsibilities on telecommunications companies to combat copyright infringement. It is often used to issue court orders to block websites that facilitate piracy.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D83969F" w14:textId="77777777" w:rsidR="00BF3D01" w:rsidRPr="00086293" w:rsidRDefault="00BF3D01" w:rsidP="00BF3D01">
            <w:pPr>
              <w:rPr>
                <w:rFonts w:ascii="Arial" w:hAnsi="Arial" w:cs="Arial"/>
              </w:rPr>
            </w:pPr>
            <w:r w:rsidRPr="00086293">
              <w:rPr>
                <w:rFonts w:ascii="Arial" w:hAnsi="Arial" w:cs="Arial"/>
              </w:rPr>
              <w:t>Copyright protection for content broadcast, infringement provisions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C3608AF" w14:textId="77777777" w:rsidR="00BF3D01" w:rsidRPr="00086293" w:rsidRDefault="00BF3D01" w:rsidP="00BF3D01">
            <w:pPr>
              <w:rPr>
                <w:rFonts w:ascii="Arial" w:hAnsi="Arial" w:cs="Arial"/>
              </w:rPr>
            </w:pPr>
            <w:r w:rsidRPr="00086293">
              <w:rPr>
                <w:rFonts w:ascii="Arial" w:hAnsi="Arial" w:cs="Arial"/>
              </w:rPr>
              <w:t>Injunctions, damages, criminal fines for wilful breach</w:t>
            </w:r>
          </w:p>
        </w:tc>
      </w:tr>
    </w:tbl>
    <w:p w14:paraId="003C25DC" w14:textId="77777777" w:rsidR="00BF3D01" w:rsidRPr="00086293" w:rsidRDefault="00BF3D01" w:rsidP="00123C81">
      <w:pPr>
        <w:rPr>
          <w:rFonts w:ascii="Arial" w:hAnsi="Arial" w:cs="Arial"/>
        </w:rPr>
      </w:pPr>
    </w:p>
    <w:p w14:paraId="1F3CDA65" w14:textId="77777777" w:rsidR="00123C81" w:rsidRPr="00086293" w:rsidRDefault="00123C81" w:rsidP="00123C81">
      <w:pPr>
        <w:rPr>
          <w:rFonts w:ascii="Arial" w:hAnsi="Arial" w:cs="Arial"/>
        </w:rPr>
      </w:pPr>
    </w:p>
    <w:p w14:paraId="7C93289C" w14:textId="77777777" w:rsidR="00123C81" w:rsidRPr="00086293" w:rsidRDefault="00123C81" w:rsidP="00123C81">
      <w:pPr>
        <w:rPr>
          <w:rFonts w:ascii="Arial" w:hAnsi="Arial" w:cs="Arial"/>
        </w:rPr>
      </w:pPr>
    </w:p>
    <w:p w14:paraId="3489D34C" w14:textId="77777777" w:rsidR="00123C81" w:rsidRPr="00086293" w:rsidRDefault="00123C81" w:rsidP="00123C81">
      <w:pPr>
        <w:rPr>
          <w:rFonts w:ascii="Arial" w:hAnsi="Arial" w:cs="Arial"/>
        </w:rPr>
      </w:pPr>
      <w:r w:rsidRPr="00086293">
        <w:rPr>
          <w:rFonts w:ascii="Arial" w:hAnsi="Arial" w:cs="Arial"/>
        </w:rPr>
        <w:t>In summary, large corporations must comply with stricter legislation, acquire special licenses and permits, comply with a special tax regime, comply with employee regulations, intellectual property regulations, and have mandatory insurance.</w:t>
      </w:r>
    </w:p>
    <w:p w14:paraId="267BD05F" w14:textId="77777777" w:rsidR="00123C81" w:rsidRPr="00086293" w:rsidRDefault="00123C81" w:rsidP="00123C81">
      <w:pPr>
        <w:rPr>
          <w:rFonts w:ascii="Arial" w:hAnsi="Arial" w:cs="Arial"/>
        </w:rPr>
      </w:pPr>
    </w:p>
    <w:p w14:paraId="76F5841B" w14:textId="77777777" w:rsidR="00123C81" w:rsidRPr="00086293" w:rsidRDefault="00123C81" w:rsidP="00123C81">
      <w:pPr>
        <w:rPr>
          <w:rFonts w:ascii="Arial" w:hAnsi="Arial" w:cs="Arial"/>
        </w:rPr>
      </w:pPr>
      <w:r w:rsidRPr="00086293">
        <w:rPr>
          <w:rFonts w:ascii="Arial" w:hAnsi="Arial" w:cs="Arial"/>
        </w:rPr>
        <w:t>Large corporations must comply with laws, standards, and initiatives that apply to the media and telecommunications industries, primarily imposed by the ACMA and ACCC.</w:t>
      </w:r>
    </w:p>
    <w:p w14:paraId="43D9F778" w14:textId="77777777" w:rsidR="00123C81" w:rsidRPr="00086293" w:rsidRDefault="00123C81" w:rsidP="00123C81">
      <w:pPr>
        <w:rPr>
          <w:rFonts w:ascii="Arial" w:hAnsi="Arial" w:cs="Arial"/>
        </w:rPr>
      </w:pPr>
    </w:p>
    <w:p w14:paraId="1BF79395" w14:textId="77777777" w:rsidR="00123C81" w:rsidRPr="00086293" w:rsidRDefault="00123C81" w:rsidP="00123C81">
      <w:pPr>
        <w:rPr>
          <w:rFonts w:ascii="Arial" w:hAnsi="Arial" w:cs="Arial"/>
        </w:rPr>
      </w:pPr>
      <w:r w:rsidRPr="00086293">
        <w:rPr>
          <w:rFonts w:ascii="Arial" w:hAnsi="Arial" w:cs="Arial"/>
        </w:rPr>
        <w:t>They must also acquire licenses and permits to operate. These are some of the industries:</w:t>
      </w:r>
    </w:p>
    <w:p w14:paraId="03E57E92" w14:textId="77777777" w:rsidR="00123C81" w:rsidRPr="00086293" w:rsidRDefault="00123C81" w:rsidP="00123C81">
      <w:pPr>
        <w:rPr>
          <w:rFonts w:ascii="Arial" w:hAnsi="Arial" w:cs="Arial"/>
        </w:rPr>
      </w:pPr>
      <w:r w:rsidRPr="00086293">
        <w:rPr>
          <w:rFonts w:ascii="Arial" w:hAnsi="Arial" w:cs="Arial"/>
        </w:rPr>
        <w:t>- Television license</w:t>
      </w:r>
    </w:p>
    <w:p w14:paraId="16354670" w14:textId="77777777" w:rsidR="00123C81" w:rsidRPr="00086293" w:rsidRDefault="00123C81" w:rsidP="00123C81">
      <w:pPr>
        <w:rPr>
          <w:rFonts w:ascii="Arial" w:hAnsi="Arial" w:cs="Arial"/>
        </w:rPr>
      </w:pPr>
      <w:r w:rsidRPr="00086293">
        <w:rPr>
          <w:rFonts w:ascii="Arial" w:hAnsi="Arial" w:cs="Arial"/>
        </w:rPr>
        <w:t>- Radio license</w:t>
      </w:r>
    </w:p>
    <w:p w14:paraId="14DBEE4A" w14:textId="77777777" w:rsidR="00123C81" w:rsidRPr="00086293" w:rsidRDefault="00123C81" w:rsidP="00123C81">
      <w:pPr>
        <w:rPr>
          <w:rFonts w:ascii="Arial" w:hAnsi="Arial" w:cs="Arial"/>
        </w:rPr>
      </w:pPr>
      <w:r w:rsidRPr="00086293">
        <w:rPr>
          <w:rFonts w:ascii="Arial" w:hAnsi="Arial" w:cs="Arial"/>
        </w:rPr>
        <w:t>- Commercial filming licensing</w:t>
      </w:r>
    </w:p>
    <w:p w14:paraId="545137D1" w14:textId="77777777" w:rsidR="00123C81" w:rsidRPr="00086293" w:rsidRDefault="00123C81" w:rsidP="00123C81">
      <w:pPr>
        <w:rPr>
          <w:rFonts w:ascii="Arial" w:hAnsi="Arial" w:cs="Arial"/>
        </w:rPr>
      </w:pPr>
      <w:r w:rsidRPr="00086293">
        <w:rPr>
          <w:rFonts w:ascii="Arial" w:hAnsi="Arial" w:cs="Arial"/>
        </w:rPr>
        <w:t>- Broadcast of copyright material</w:t>
      </w:r>
    </w:p>
    <w:p w14:paraId="4AD729D6" w14:textId="77777777" w:rsidR="00123C81" w:rsidRPr="00086293" w:rsidRDefault="00123C81" w:rsidP="00123C81">
      <w:pPr>
        <w:rPr>
          <w:rFonts w:ascii="Arial" w:hAnsi="Arial" w:cs="Arial"/>
        </w:rPr>
      </w:pPr>
      <w:r w:rsidRPr="00086293">
        <w:rPr>
          <w:rFonts w:ascii="Arial" w:hAnsi="Arial" w:cs="Arial"/>
        </w:rPr>
        <w:t>- Filming and photography permits</w:t>
      </w:r>
    </w:p>
    <w:p w14:paraId="3B6CD993" w14:textId="77777777" w:rsidR="00123C81" w:rsidRPr="00086293" w:rsidRDefault="00123C81" w:rsidP="00123C81">
      <w:pPr>
        <w:rPr>
          <w:rFonts w:ascii="Arial" w:hAnsi="Arial" w:cs="Arial"/>
        </w:rPr>
      </w:pPr>
    </w:p>
    <w:p w14:paraId="59E3A648" w14:textId="77777777" w:rsidR="00123C81" w:rsidRPr="00086293" w:rsidRDefault="00123C81" w:rsidP="00123C81">
      <w:pPr>
        <w:rPr>
          <w:rFonts w:ascii="Arial" w:hAnsi="Arial" w:cs="Arial"/>
        </w:rPr>
      </w:pPr>
      <w:r w:rsidRPr="00086293">
        <w:rPr>
          <w:rFonts w:ascii="Arial" w:hAnsi="Arial" w:cs="Arial"/>
        </w:rPr>
        <w:t>These licenses are granted by ABLIS (Australian Business License and Information Service).</w:t>
      </w:r>
    </w:p>
    <w:p w14:paraId="0D6EF5BF" w14:textId="77777777" w:rsidR="00123C81" w:rsidRPr="00086293" w:rsidRDefault="00123C81" w:rsidP="00123C81">
      <w:pPr>
        <w:rPr>
          <w:rFonts w:ascii="Arial" w:hAnsi="Arial" w:cs="Arial"/>
        </w:rPr>
      </w:pPr>
    </w:p>
    <w:p w14:paraId="74D64ED7" w14:textId="77777777" w:rsidR="00123C81" w:rsidRPr="00086293" w:rsidRDefault="00123C81" w:rsidP="00123C81">
      <w:pPr>
        <w:rPr>
          <w:rFonts w:ascii="Arial" w:hAnsi="Arial" w:cs="Arial"/>
        </w:rPr>
      </w:pPr>
      <w:r w:rsidRPr="00086293">
        <w:rPr>
          <w:rFonts w:ascii="Arial" w:hAnsi="Arial" w:cs="Arial"/>
        </w:rPr>
        <w:t>Regarding taxes, large industries comply with different obligations under GST (Goods and Services Tax).</w:t>
      </w:r>
    </w:p>
    <w:p w14:paraId="5C9B7F9F" w14:textId="77777777" w:rsidR="00123C81" w:rsidRPr="00086293" w:rsidRDefault="00123C81" w:rsidP="00123C81">
      <w:pPr>
        <w:rPr>
          <w:rFonts w:ascii="Arial" w:hAnsi="Arial" w:cs="Arial"/>
        </w:rPr>
      </w:pPr>
    </w:p>
    <w:p w14:paraId="547BD7CB" w14:textId="77777777" w:rsidR="00123C81" w:rsidRPr="00086293" w:rsidRDefault="00123C81" w:rsidP="00123C81">
      <w:pPr>
        <w:rPr>
          <w:rFonts w:ascii="Arial" w:hAnsi="Arial" w:cs="Arial"/>
        </w:rPr>
      </w:pPr>
      <w:r w:rsidRPr="00086293">
        <w:rPr>
          <w:rFonts w:ascii="Arial" w:hAnsi="Arial" w:cs="Arial"/>
        </w:rPr>
        <w:t>Finally, large industries have specific insurance policies that they must purchase, for example:</w:t>
      </w:r>
    </w:p>
    <w:p w14:paraId="2E126934" w14:textId="77777777" w:rsidR="00123C81" w:rsidRPr="00086293" w:rsidRDefault="00123C81" w:rsidP="00123C81">
      <w:pPr>
        <w:rPr>
          <w:rFonts w:ascii="Arial" w:hAnsi="Arial" w:cs="Arial"/>
        </w:rPr>
      </w:pPr>
      <w:r w:rsidRPr="00086293">
        <w:rPr>
          <w:rFonts w:ascii="Arial" w:hAnsi="Arial" w:cs="Arial"/>
        </w:rPr>
        <w:t>- Business interruption</w:t>
      </w:r>
    </w:p>
    <w:p w14:paraId="135ABD4B" w14:textId="77777777" w:rsidR="00123C81" w:rsidRPr="00086293" w:rsidRDefault="00123C81" w:rsidP="00123C81">
      <w:pPr>
        <w:rPr>
          <w:rFonts w:ascii="Arial" w:hAnsi="Arial" w:cs="Arial"/>
        </w:rPr>
      </w:pPr>
      <w:r w:rsidRPr="00086293">
        <w:rPr>
          <w:rFonts w:ascii="Arial" w:hAnsi="Arial" w:cs="Arial"/>
        </w:rPr>
        <w:t>- Professional indemnity</w:t>
      </w:r>
    </w:p>
    <w:p w14:paraId="1B1CB213" w14:textId="77777777" w:rsidR="00123C81" w:rsidRPr="00086293" w:rsidRDefault="00123C81" w:rsidP="00123C81">
      <w:pPr>
        <w:rPr>
          <w:rFonts w:ascii="Arial" w:hAnsi="Arial" w:cs="Arial"/>
        </w:rPr>
      </w:pPr>
      <w:r w:rsidRPr="00086293">
        <w:rPr>
          <w:rFonts w:ascii="Arial" w:hAnsi="Arial" w:cs="Arial"/>
        </w:rPr>
        <w:t>- Public liability</w:t>
      </w:r>
    </w:p>
    <w:p w14:paraId="36E855D9" w14:textId="77777777" w:rsidR="00123C81" w:rsidRPr="00086293" w:rsidRDefault="00123C81" w:rsidP="00123C81">
      <w:pPr>
        <w:rPr>
          <w:rFonts w:ascii="Arial" w:hAnsi="Arial" w:cs="Arial"/>
        </w:rPr>
      </w:pPr>
      <w:r w:rsidRPr="00086293">
        <w:rPr>
          <w:rFonts w:ascii="Arial" w:hAnsi="Arial" w:cs="Arial"/>
        </w:rPr>
        <w:t>- Telecommunications</w:t>
      </w:r>
    </w:p>
    <w:p w14:paraId="0A324299" w14:textId="77777777" w:rsidR="00123C81" w:rsidRPr="00086293" w:rsidRDefault="00123C81" w:rsidP="00123C81">
      <w:pPr>
        <w:rPr>
          <w:rFonts w:ascii="Arial" w:hAnsi="Arial" w:cs="Arial"/>
        </w:rPr>
      </w:pPr>
    </w:p>
    <w:p w14:paraId="4531961D" w14:textId="77777777" w:rsidR="00123C81" w:rsidRPr="00086293" w:rsidRDefault="00123C81" w:rsidP="00123C81">
      <w:pPr>
        <w:rPr>
          <w:rFonts w:ascii="Arial" w:hAnsi="Arial" w:cs="Arial"/>
        </w:rPr>
      </w:pPr>
      <w:r w:rsidRPr="00086293">
        <w:rPr>
          <w:rFonts w:ascii="Arial" w:hAnsi="Arial" w:cs="Arial"/>
        </w:rPr>
        <w:t>These are some laws that apply:</w:t>
      </w:r>
    </w:p>
    <w:p w14:paraId="1A58A8A9" w14:textId="77777777" w:rsidR="00123C81" w:rsidRPr="00086293" w:rsidRDefault="00123C81" w:rsidP="00123C81">
      <w:pPr>
        <w:rPr>
          <w:rFonts w:ascii="Arial" w:hAnsi="Arial" w:cs="Arial"/>
        </w:rPr>
      </w:pPr>
    </w:p>
    <w:p w14:paraId="564B11DE" w14:textId="77777777" w:rsidR="00123C81" w:rsidRPr="00086293" w:rsidRDefault="00123C81" w:rsidP="00123C81">
      <w:pPr>
        <w:rPr>
          <w:rFonts w:ascii="Arial" w:hAnsi="Arial" w:cs="Arial"/>
        </w:rPr>
      </w:pPr>
      <w:r w:rsidRPr="00086293">
        <w:rPr>
          <w:rFonts w:ascii="Arial" w:hAnsi="Arial" w:cs="Arial"/>
        </w:rPr>
        <w:t>- Compliance with business indrustry legislation:</w:t>
      </w:r>
    </w:p>
    <w:p w14:paraId="18F94D83" w14:textId="77777777" w:rsidR="00123C81" w:rsidRPr="00086293" w:rsidRDefault="00123C81" w:rsidP="00123C81">
      <w:pPr>
        <w:rPr>
          <w:rFonts w:ascii="Arial" w:hAnsi="Arial" w:cs="Arial"/>
        </w:rPr>
      </w:pPr>
      <w:r w:rsidRPr="00086293">
        <w:rPr>
          <w:rFonts w:ascii="Arial" w:hAnsi="Arial" w:cs="Arial"/>
        </w:rPr>
        <w:tab/>
        <w:t>- Competition and Consumer Act 2010</w:t>
      </w:r>
    </w:p>
    <w:p w14:paraId="2F1F6897" w14:textId="77777777" w:rsidR="00123C81" w:rsidRPr="00086293" w:rsidRDefault="00123C81" w:rsidP="00123C81">
      <w:pPr>
        <w:rPr>
          <w:rFonts w:ascii="Arial" w:hAnsi="Arial" w:cs="Arial"/>
        </w:rPr>
      </w:pPr>
      <w:r w:rsidRPr="00086293">
        <w:rPr>
          <w:rFonts w:ascii="Arial" w:hAnsi="Arial" w:cs="Arial"/>
        </w:rPr>
        <w:tab/>
        <w:t>- Australian Consumer Law (ACL)</w:t>
      </w:r>
    </w:p>
    <w:p w14:paraId="62FC4611" w14:textId="77777777" w:rsidR="00123C81" w:rsidRPr="00086293" w:rsidRDefault="00123C81" w:rsidP="00123C81">
      <w:pPr>
        <w:rPr>
          <w:rFonts w:ascii="Arial" w:hAnsi="Arial" w:cs="Arial"/>
        </w:rPr>
      </w:pPr>
      <w:r w:rsidRPr="00086293">
        <w:rPr>
          <w:rFonts w:ascii="Arial" w:hAnsi="Arial" w:cs="Arial"/>
        </w:rPr>
        <w:tab/>
        <w:t>- Copyright Act 1968</w:t>
      </w:r>
    </w:p>
    <w:p w14:paraId="0318D285" w14:textId="77777777" w:rsidR="00123C81" w:rsidRPr="00086293" w:rsidRDefault="00123C81" w:rsidP="00123C81">
      <w:pPr>
        <w:rPr>
          <w:rFonts w:ascii="Arial" w:hAnsi="Arial" w:cs="Arial"/>
        </w:rPr>
      </w:pPr>
      <w:r w:rsidRPr="00086293">
        <w:rPr>
          <w:rFonts w:ascii="Arial" w:hAnsi="Arial" w:cs="Arial"/>
        </w:rPr>
        <w:tab/>
        <w:t>- Broadcasting Services Act 1992</w:t>
      </w:r>
    </w:p>
    <w:p w14:paraId="6A50F1B6" w14:textId="77777777" w:rsidR="00123C81" w:rsidRPr="00086293" w:rsidRDefault="00123C81" w:rsidP="00123C81">
      <w:pPr>
        <w:rPr>
          <w:rFonts w:ascii="Arial" w:hAnsi="Arial" w:cs="Arial"/>
        </w:rPr>
      </w:pPr>
      <w:r w:rsidRPr="00086293">
        <w:rPr>
          <w:rFonts w:ascii="Arial" w:hAnsi="Arial" w:cs="Arial"/>
        </w:rPr>
        <w:tab/>
        <w:t>- Radiocommunications Act 1992</w:t>
      </w:r>
    </w:p>
    <w:p w14:paraId="3E55B234" w14:textId="77777777" w:rsidR="00123C81" w:rsidRPr="00086293" w:rsidRDefault="00123C81" w:rsidP="00123C81">
      <w:pPr>
        <w:rPr>
          <w:rFonts w:ascii="Arial" w:hAnsi="Arial" w:cs="Arial"/>
        </w:rPr>
      </w:pPr>
      <w:r w:rsidRPr="00086293">
        <w:rPr>
          <w:rFonts w:ascii="Arial" w:hAnsi="Arial" w:cs="Arial"/>
        </w:rPr>
        <w:tab/>
        <w:t>- Telecommunications Act 1997</w:t>
      </w:r>
    </w:p>
    <w:p w14:paraId="78A2529F" w14:textId="77777777" w:rsidR="00123C81" w:rsidRPr="00086293" w:rsidRDefault="00123C81" w:rsidP="00123C81">
      <w:pPr>
        <w:rPr>
          <w:rFonts w:ascii="Arial" w:hAnsi="Arial" w:cs="Arial"/>
        </w:rPr>
      </w:pPr>
      <w:r w:rsidRPr="00086293">
        <w:rPr>
          <w:rFonts w:ascii="Arial" w:hAnsi="Arial" w:cs="Arial"/>
        </w:rPr>
        <w:tab/>
        <w:t>- Telecommunications (Consumer Protection and Service Standards) Act 1999</w:t>
      </w:r>
    </w:p>
    <w:p w14:paraId="0648A6E2" w14:textId="77777777" w:rsidR="00123C81" w:rsidRPr="00086293" w:rsidRDefault="00123C81" w:rsidP="00123C81">
      <w:pPr>
        <w:rPr>
          <w:rFonts w:ascii="Arial" w:hAnsi="Arial" w:cs="Arial"/>
        </w:rPr>
      </w:pPr>
      <w:r w:rsidRPr="00086293">
        <w:rPr>
          <w:rFonts w:ascii="Arial" w:hAnsi="Arial" w:cs="Arial"/>
        </w:rPr>
        <w:lastRenderedPageBreak/>
        <w:tab/>
        <w:t>- Do Not Call Register Act 2006</w:t>
      </w:r>
    </w:p>
    <w:p w14:paraId="2C36EF2A" w14:textId="77777777" w:rsidR="00123C81" w:rsidRPr="00086293" w:rsidRDefault="00123C81" w:rsidP="00123C81">
      <w:pPr>
        <w:rPr>
          <w:rFonts w:ascii="Arial" w:hAnsi="Arial" w:cs="Arial"/>
        </w:rPr>
      </w:pPr>
      <w:r w:rsidRPr="00086293">
        <w:rPr>
          <w:rFonts w:ascii="Arial" w:hAnsi="Arial" w:cs="Arial"/>
        </w:rPr>
        <w:tab/>
        <w:t>- Spam Act 2003</w:t>
      </w:r>
    </w:p>
    <w:p w14:paraId="5281E789" w14:textId="77777777" w:rsidR="00123C81" w:rsidRPr="00086293" w:rsidRDefault="00123C81" w:rsidP="00123C81">
      <w:pPr>
        <w:rPr>
          <w:rFonts w:ascii="Arial" w:hAnsi="Arial" w:cs="Arial"/>
        </w:rPr>
      </w:pPr>
      <w:r w:rsidRPr="00086293">
        <w:rPr>
          <w:rFonts w:ascii="Arial" w:hAnsi="Arial" w:cs="Arial"/>
        </w:rPr>
        <w:tab/>
        <w:t>- Privacy Act 1988</w:t>
      </w:r>
    </w:p>
    <w:p w14:paraId="5C9C6555" w14:textId="77777777" w:rsidR="00123C81" w:rsidRPr="00086293" w:rsidRDefault="00123C81" w:rsidP="00123C81">
      <w:pPr>
        <w:rPr>
          <w:rFonts w:ascii="Arial" w:hAnsi="Arial" w:cs="Arial"/>
        </w:rPr>
      </w:pPr>
      <w:r w:rsidRPr="00086293">
        <w:rPr>
          <w:rFonts w:ascii="Arial" w:hAnsi="Arial" w:cs="Arial"/>
        </w:rPr>
        <w:tab/>
        <w:t>- Disability Discrimination Act 1992: World Wide Web Access</w:t>
      </w:r>
    </w:p>
    <w:p w14:paraId="76E863AA" w14:textId="77777777" w:rsidR="00123C81" w:rsidRPr="00086293" w:rsidRDefault="00123C81" w:rsidP="00123C81">
      <w:pPr>
        <w:rPr>
          <w:rFonts w:ascii="Arial" w:hAnsi="Arial" w:cs="Arial"/>
        </w:rPr>
      </w:pPr>
      <w:r w:rsidRPr="00086293">
        <w:rPr>
          <w:rFonts w:ascii="Arial" w:hAnsi="Arial" w:cs="Arial"/>
        </w:rPr>
        <w:tab/>
        <w:t>- Public Lending Right Act 1985</w:t>
      </w:r>
    </w:p>
    <w:p w14:paraId="4B0163A6" w14:textId="77777777" w:rsidR="00123C81" w:rsidRPr="00086293" w:rsidRDefault="00123C81" w:rsidP="00123C81">
      <w:pPr>
        <w:rPr>
          <w:rFonts w:ascii="Arial" w:hAnsi="Arial" w:cs="Arial"/>
        </w:rPr>
      </w:pPr>
    </w:p>
    <w:p w14:paraId="4C445F47" w14:textId="77777777" w:rsidR="00123C81" w:rsidRPr="00086293" w:rsidRDefault="00123C81" w:rsidP="00123C81">
      <w:pPr>
        <w:rPr>
          <w:rFonts w:ascii="Arial" w:hAnsi="Arial" w:cs="Arial"/>
        </w:rPr>
      </w:pPr>
      <w:r w:rsidRPr="00086293">
        <w:rPr>
          <w:rFonts w:ascii="Arial" w:hAnsi="Arial" w:cs="Arial"/>
        </w:rPr>
        <w:t>- Compliance with business indrustry schemes, standards and conde</w:t>
      </w:r>
    </w:p>
    <w:p w14:paraId="7607FDA2" w14:textId="77777777" w:rsidR="00123C81" w:rsidRPr="00086293" w:rsidRDefault="00123C81" w:rsidP="00123C81">
      <w:pPr>
        <w:rPr>
          <w:rFonts w:ascii="Arial" w:hAnsi="Arial" w:cs="Arial"/>
        </w:rPr>
      </w:pPr>
      <w:r w:rsidRPr="00086293">
        <w:rPr>
          <w:rFonts w:ascii="Arial" w:hAnsi="Arial" w:cs="Arial"/>
        </w:rPr>
        <w:tab/>
        <w:t>- National Classification Scheme</w:t>
      </w:r>
    </w:p>
    <w:p w14:paraId="2B9A1DB3" w14:textId="77777777" w:rsidR="00123C81" w:rsidRPr="00086293" w:rsidRDefault="00123C81" w:rsidP="00123C81">
      <w:pPr>
        <w:rPr>
          <w:rFonts w:ascii="Arial" w:hAnsi="Arial" w:cs="Arial"/>
        </w:rPr>
      </w:pPr>
      <w:r w:rsidRPr="00086293">
        <w:rPr>
          <w:rFonts w:ascii="Arial" w:hAnsi="Arial" w:cs="Arial"/>
        </w:rPr>
        <w:tab/>
        <w:t>- Broadcasting codes &amp; schemes</w:t>
      </w:r>
    </w:p>
    <w:p w14:paraId="52721A97" w14:textId="77777777" w:rsidR="00123C81" w:rsidRPr="00086293" w:rsidRDefault="00123C81" w:rsidP="00123C81">
      <w:pPr>
        <w:rPr>
          <w:rFonts w:ascii="Arial" w:hAnsi="Arial" w:cs="Arial"/>
        </w:rPr>
      </w:pPr>
      <w:r w:rsidRPr="00086293">
        <w:rPr>
          <w:rFonts w:ascii="Arial" w:hAnsi="Arial" w:cs="Arial"/>
        </w:rPr>
        <w:tab/>
        <w:t>- Telecommunications Consumer Protections (TCP) Code</w:t>
      </w:r>
    </w:p>
    <w:p w14:paraId="57E711BE" w14:textId="77777777" w:rsidR="00123C81" w:rsidRPr="00086293" w:rsidRDefault="00123C81" w:rsidP="00123C81">
      <w:pPr>
        <w:rPr>
          <w:rFonts w:ascii="Arial" w:hAnsi="Arial" w:cs="Arial"/>
        </w:rPr>
      </w:pPr>
    </w:p>
    <w:p w14:paraId="7E730664" w14:textId="77777777" w:rsidR="00123C81" w:rsidRPr="00086293" w:rsidRDefault="00123C81" w:rsidP="00123C81">
      <w:pPr>
        <w:rPr>
          <w:rFonts w:ascii="Arial" w:hAnsi="Arial" w:cs="Arial"/>
        </w:rPr>
      </w:pPr>
      <w:r w:rsidRPr="00086293">
        <w:rPr>
          <w:rFonts w:ascii="Arial" w:hAnsi="Arial" w:cs="Arial"/>
        </w:rPr>
        <w:t>- Compliance with ACCC guides (Australian Competition &amp; Consumer Commission)</w:t>
      </w:r>
    </w:p>
    <w:p w14:paraId="1DC92DFB" w14:textId="77777777" w:rsidR="00123C81" w:rsidRPr="00086293" w:rsidRDefault="00123C81" w:rsidP="00123C81">
      <w:pPr>
        <w:rPr>
          <w:rFonts w:ascii="Arial" w:hAnsi="Arial" w:cs="Arial"/>
        </w:rPr>
      </w:pPr>
      <w:r w:rsidRPr="00086293">
        <w:rPr>
          <w:rFonts w:ascii="Arial" w:hAnsi="Arial" w:cs="Arial"/>
        </w:rPr>
        <w:tab/>
        <w:t>- Telecommunications Competition Notice Guidelines</w:t>
      </w:r>
    </w:p>
    <w:p w14:paraId="49F5AF34" w14:textId="77777777" w:rsidR="00123C81" w:rsidRPr="00086293" w:rsidRDefault="00123C81" w:rsidP="00123C81">
      <w:pPr>
        <w:rPr>
          <w:rFonts w:ascii="Arial" w:hAnsi="Arial" w:cs="Arial"/>
        </w:rPr>
      </w:pPr>
      <w:r w:rsidRPr="00086293">
        <w:rPr>
          <w:rFonts w:ascii="Arial" w:hAnsi="Arial" w:cs="Arial"/>
        </w:rPr>
        <w:tab/>
        <w:t>- Review of transmission regulation</w:t>
      </w:r>
    </w:p>
    <w:p w14:paraId="5A18601B" w14:textId="77777777" w:rsidR="00BF3D01" w:rsidRPr="00086293" w:rsidRDefault="00BF3D01" w:rsidP="00123C81">
      <w:pPr>
        <w:rPr>
          <w:rFonts w:ascii="Arial" w:hAnsi="Arial" w:cs="Arial"/>
        </w:rPr>
      </w:pPr>
    </w:p>
    <w:p w14:paraId="505E0B0D" w14:textId="77777777" w:rsidR="00BF3D01" w:rsidRPr="00086293" w:rsidRDefault="00BF3D01" w:rsidP="00123C81">
      <w:pPr>
        <w:rPr>
          <w:rFonts w:ascii="Arial" w:hAnsi="Arial" w:cs="Arial"/>
        </w:rPr>
      </w:pPr>
    </w:p>
    <w:p w14:paraId="5F6C9D39" w14:textId="64D88260" w:rsidR="00BF3D01" w:rsidRPr="00086293" w:rsidRDefault="00BF3D01" w:rsidP="00123C81">
      <w:pPr>
        <w:rPr>
          <w:rFonts w:ascii="Arial" w:hAnsi="Arial" w:cs="Arial"/>
        </w:rPr>
      </w:pPr>
      <w:r w:rsidRPr="00086293">
        <w:rPr>
          <w:rFonts w:ascii="Arial" w:hAnsi="Arial" w:cs="Arial"/>
        </w:rPr>
        <w:tab/>
      </w:r>
    </w:p>
    <w:p w14:paraId="714F407E" w14:textId="77777777" w:rsidR="00123C81" w:rsidRPr="00086293" w:rsidRDefault="00123C81" w:rsidP="00123C81">
      <w:pPr>
        <w:rPr>
          <w:rFonts w:ascii="Arial" w:hAnsi="Arial" w:cs="Arial"/>
        </w:rPr>
      </w:pPr>
    </w:p>
    <w:p w14:paraId="086A237A" w14:textId="77777777" w:rsidR="00123C81" w:rsidRPr="00086293" w:rsidRDefault="00123C81" w:rsidP="00123C81">
      <w:pPr>
        <w:pStyle w:val="Heading3"/>
      </w:pPr>
      <w:r w:rsidRPr="00086293">
        <w:t xml:space="preserve">4. What are the rights of carriers and service providers in installing facilities in Australia? </w:t>
      </w:r>
    </w:p>
    <w:p w14:paraId="6ADFC2FA" w14:textId="09BC23F7" w:rsidR="00123C81" w:rsidRPr="00086293" w:rsidRDefault="00F24A35" w:rsidP="00123C81">
      <w:pPr>
        <w:rPr>
          <w:rFonts w:ascii="Arial" w:hAnsi="Arial" w:cs="Arial"/>
        </w:rPr>
      </w:pPr>
      <w:hyperlink r:id="rId11" w:anchor="low-impact" w:history="1">
        <w:r w:rsidRPr="00086293">
          <w:rPr>
            <w:rStyle w:val="Hyperlink"/>
            <w:rFonts w:ascii="Arial" w:hAnsi="Arial" w:cs="Arial"/>
          </w:rPr>
          <w:t>https://www.acma.gov.au/local-councils-and-network-facilities#low-impact</w:t>
        </w:r>
      </w:hyperlink>
      <w:r w:rsidRPr="00086293">
        <w:rPr>
          <w:rFonts w:ascii="Arial" w:hAnsi="Arial" w:cs="Arial"/>
        </w:rPr>
        <w:t xml:space="preserve"> </w:t>
      </w:r>
    </w:p>
    <w:p w14:paraId="2547F1D9" w14:textId="77777777" w:rsidR="00123C81" w:rsidRPr="00086293" w:rsidRDefault="00123C81" w:rsidP="00123C81">
      <w:pPr>
        <w:rPr>
          <w:rFonts w:ascii="Arial" w:hAnsi="Arial" w:cs="Arial"/>
        </w:rPr>
      </w:pPr>
    </w:p>
    <w:p w14:paraId="5415E394" w14:textId="77777777" w:rsidR="00123C81" w:rsidRPr="00086293" w:rsidRDefault="00123C81" w:rsidP="00123C81">
      <w:pPr>
        <w:rPr>
          <w:rFonts w:ascii="Arial" w:hAnsi="Arial" w:cs="Arial"/>
        </w:rPr>
      </w:pPr>
      <w:r w:rsidRPr="00086293">
        <w:rPr>
          <w:rFonts w:ascii="Arial" w:hAnsi="Arial" w:cs="Arial"/>
        </w:rPr>
        <w:t>The rights of carriers and service providers at facility sites are known as "powers and immunities," which allow companies certain freedoms depending on the impact as long as they follow the law (Telecommunications Act 1997). Carriers decide whether a facility falls into one of the two categories.</w:t>
      </w:r>
    </w:p>
    <w:p w14:paraId="66C8851F" w14:textId="77777777" w:rsidR="00123C81" w:rsidRPr="00086293" w:rsidRDefault="00123C81" w:rsidP="00123C81">
      <w:pPr>
        <w:rPr>
          <w:rFonts w:ascii="Arial" w:hAnsi="Arial" w:cs="Arial"/>
        </w:rPr>
      </w:pPr>
      <w:r w:rsidRPr="00086293">
        <w:rPr>
          <w:rFonts w:ascii="Arial" w:hAnsi="Arial" w:cs="Arial"/>
        </w:rPr>
        <w:t>- Low-impact: These are telephone networks and internet network structures</w:t>
      </w:r>
    </w:p>
    <w:p w14:paraId="35A7E6BB" w14:textId="77777777" w:rsidR="00123C81" w:rsidRPr="00086293" w:rsidRDefault="00123C81" w:rsidP="00123C81">
      <w:pPr>
        <w:rPr>
          <w:rFonts w:ascii="Arial" w:hAnsi="Arial" w:cs="Arial"/>
        </w:rPr>
      </w:pPr>
      <w:r w:rsidRPr="00086293">
        <w:rPr>
          <w:rFonts w:ascii="Arial" w:hAnsi="Arial" w:cs="Arial"/>
        </w:rPr>
        <w:t>- Not-low-impact: These are primarily networks or infrastructure that can affect a large area, for example, communication towers and overhead lines</w:t>
      </w:r>
    </w:p>
    <w:p w14:paraId="054B6011" w14:textId="77777777" w:rsidR="00123C81" w:rsidRPr="00086293" w:rsidRDefault="00123C81" w:rsidP="00123C81">
      <w:pPr>
        <w:rPr>
          <w:rFonts w:ascii="Arial" w:hAnsi="Arial" w:cs="Arial"/>
        </w:rPr>
      </w:pPr>
    </w:p>
    <w:p w14:paraId="37B10E45" w14:textId="77777777" w:rsidR="00123C81" w:rsidRPr="00086293" w:rsidRDefault="00123C81" w:rsidP="00123C81">
      <w:pPr>
        <w:rPr>
          <w:rFonts w:ascii="Arial" w:hAnsi="Arial" w:cs="Arial"/>
        </w:rPr>
      </w:pPr>
      <w:r w:rsidRPr="00086293">
        <w:rPr>
          <w:rFonts w:ascii="Arial" w:hAnsi="Arial" w:cs="Arial"/>
        </w:rPr>
        <w:t>These are some rights that the law grants companies when they are low-impact facilities:</w:t>
      </w:r>
    </w:p>
    <w:p w14:paraId="1E7D3959" w14:textId="77777777" w:rsidR="00123C81" w:rsidRPr="00086293" w:rsidRDefault="00123C81" w:rsidP="00123C81">
      <w:pPr>
        <w:rPr>
          <w:rFonts w:ascii="Arial" w:hAnsi="Arial" w:cs="Arial"/>
        </w:rPr>
      </w:pPr>
      <w:r w:rsidRPr="00086293">
        <w:rPr>
          <w:rFonts w:ascii="Arial" w:hAnsi="Arial" w:cs="Arial"/>
        </w:rPr>
        <w:t>- A company can enter the property to inspect it</w:t>
      </w:r>
    </w:p>
    <w:p w14:paraId="450DBB5C" w14:textId="77777777" w:rsidR="00123C81" w:rsidRPr="00086293" w:rsidRDefault="00123C81" w:rsidP="00123C81">
      <w:pPr>
        <w:rPr>
          <w:rFonts w:ascii="Arial" w:hAnsi="Arial" w:cs="Arial"/>
        </w:rPr>
      </w:pPr>
      <w:r w:rsidRPr="00086293">
        <w:rPr>
          <w:rFonts w:ascii="Arial" w:hAnsi="Arial" w:cs="Arial"/>
        </w:rPr>
        <w:t>- Install</w:t>
      </w:r>
    </w:p>
    <w:p w14:paraId="3AD9A2D2" w14:textId="77777777" w:rsidR="00123C81" w:rsidRPr="00086293" w:rsidRDefault="00123C81" w:rsidP="00123C81">
      <w:pPr>
        <w:rPr>
          <w:rFonts w:ascii="Arial" w:hAnsi="Arial" w:cs="Arial"/>
        </w:rPr>
      </w:pPr>
      <w:r w:rsidRPr="00086293">
        <w:rPr>
          <w:rFonts w:ascii="Arial" w:hAnsi="Arial" w:cs="Arial"/>
        </w:rPr>
        <w:t>- Maintain</w:t>
      </w:r>
    </w:p>
    <w:p w14:paraId="4A48296E" w14:textId="77777777" w:rsidR="00123C81" w:rsidRPr="00086293" w:rsidRDefault="00123C81" w:rsidP="00123C81">
      <w:pPr>
        <w:rPr>
          <w:rFonts w:ascii="Arial" w:hAnsi="Arial" w:cs="Arial"/>
        </w:rPr>
      </w:pPr>
    </w:p>
    <w:p w14:paraId="4D6A4451" w14:textId="77777777" w:rsidR="00123C81" w:rsidRPr="00086293" w:rsidRDefault="00123C81" w:rsidP="00123C81">
      <w:pPr>
        <w:rPr>
          <w:rFonts w:ascii="Arial" w:hAnsi="Arial" w:cs="Arial"/>
        </w:rPr>
      </w:pPr>
      <w:r w:rsidRPr="00086293">
        <w:rPr>
          <w:rFonts w:ascii="Arial" w:hAnsi="Arial" w:cs="Arial"/>
        </w:rPr>
        <w:t>Companies must request approval from the local or state government to work on not-low-impact facilities:</w:t>
      </w:r>
    </w:p>
    <w:p w14:paraId="4F4004A9" w14:textId="77777777" w:rsidR="00BF3D01" w:rsidRPr="00086293" w:rsidRDefault="00BF3D01" w:rsidP="00123C81">
      <w:pPr>
        <w:rPr>
          <w:rFonts w:ascii="Arial" w:hAnsi="Arial" w:cs="Arial"/>
        </w:rPr>
      </w:pPr>
    </w:p>
    <w:tbl>
      <w:tblPr>
        <w:tblW w:w="0" w:type="dxa"/>
        <w:tblCellMar>
          <w:left w:w="0" w:type="dxa"/>
          <w:right w:w="0" w:type="dxa"/>
        </w:tblCellMar>
        <w:tblLook w:val="04A0" w:firstRow="1" w:lastRow="0" w:firstColumn="1" w:lastColumn="0" w:noHBand="0" w:noVBand="1"/>
      </w:tblPr>
      <w:tblGrid>
        <w:gridCol w:w="3805"/>
        <w:gridCol w:w="2116"/>
        <w:gridCol w:w="21385"/>
      </w:tblGrid>
      <w:tr w:rsidR="00E30845" w:rsidRPr="00086293" w14:paraId="62A11F4E"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45958BC7" w14:textId="77777777" w:rsidR="00E30845" w:rsidRPr="00086293" w:rsidRDefault="00E30845" w:rsidP="00E30845">
            <w:pPr>
              <w:rPr>
                <w:rFonts w:ascii="Arial" w:hAnsi="Arial" w:cs="Arial"/>
              </w:rPr>
            </w:pP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vAlign w:val="center"/>
            <w:hideMark/>
          </w:tcPr>
          <w:p w14:paraId="152032DA" w14:textId="77777777" w:rsidR="00E30845" w:rsidRPr="00086293" w:rsidRDefault="00E30845" w:rsidP="00E30845">
            <w:pPr>
              <w:rPr>
                <w:rFonts w:ascii="Arial" w:hAnsi="Arial" w:cs="Arial"/>
                <w:b/>
                <w:bCs/>
              </w:rPr>
            </w:pPr>
            <w:r w:rsidRPr="00086293">
              <w:rPr>
                <w:rFonts w:ascii="Arial" w:hAnsi="Arial" w:cs="Arial"/>
                <w:b/>
                <w:bCs/>
              </w:rPr>
              <w:t>Carriers</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hideMark/>
          </w:tcPr>
          <w:p w14:paraId="0F4B9BB5" w14:textId="77777777" w:rsidR="00E30845" w:rsidRPr="00086293" w:rsidRDefault="00E30845" w:rsidP="00E30845">
            <w:pPr>
              <w:rPr>
                <w:rFonts w:ascii="Arial" w:hAnsi="Arial" w:cs="Arial"/>
              </w:rPr>
            </w:pPr>
            <w:r w:rsidRPr="00086293">
              <w:rPr>
                <w:rFonts w:ascii="Arial" w:hAnsi="Arial" w:cs="Arial"/>
              </w:rPr>
              <w:t>Telecommunications Act 1997</w:t>
            </w:r>
          </w:p>
        </w:tc>
      </w:tr>
      <w:tr w:rsidR="00E30845" w:rsidRPr="00086293" w14:paraId="65062E79"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5A3AE826" w14:textId="77777777" w:rsidR="00E30845" w:rsidRPr="00086293" w:rsidRDefault="00E30845" w:rsidP="00E30845">
            <w:pPr>
              <w:rPr>
                <w:rFonts w:ascii="Arial" w:hAnsi="Arial" w:cs="Arial"/>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20E8DA77" w14:textId="77777777" w:rsidR="00E30845" w:rsidRPr="00086293" w:rsidRDefault="00E30845" w:rsidP="00E30845">
            <w:pPr>
              <w:rPr>
                <w:rFonts w:ascii="Arial" w:hAnsi="Arial" w:cs="Arial"/>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011C6D9" w14:textId="77777777" w:rsidR="00E30845" w:rsidRPr="00086293" w:rsidRDefault="00E30845" w:rsidP="00E30845">
            <w:pPr>
              <w:rPr>
                <w:rFonts w:ascii="Arial" w:hAnsi="Arial" w:cs="Arial"/>
              </w:rPr>
            </w:pPr>
            <w:r w:rsidRPr="00086293">
              <w:rPr>
                <w:rFonts w:ascii="Arial" w:hAnsi="Arial" w:cs="Arial"/>
              </w:rPr>
              <w:t>Have the power to enter and inspect land to determine its suitability for a facility.</w:t>
            </w:r>
          </w:p>
        </w:tc>
      </w:tr>
      <w:tr w:rsidR="00E30845" w:rsidRPr="00086293" w14:paraId="3F9F116A"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3931C846" w14:textId="77777777" w:rsidR="00E30845" w:rsidRPr="00086293" w:rsidRDefault="00E30845" w:rsidP="00E30845">
            <w:pPr>
              <w:rPr>
                <w:rFonts w:ascii="Arial" w:hAnsi="Arial" w:cs="Arial"/>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45DD09FC" w14:textId="77777777" w:rsidR="00E30845" w:rsidRPr="00086293" w:rsidRDefault="00E30845" w:rsidP="00E30845">
            <w:pPr>
              <w:rPr>
                <w:rFonts w:ascii="Arial" w:hAnsi="Arial" w:cs="Arial"/>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BD4D93F" w14:textId="77777777" w:rsidR="00E30845" w:rsidRPr="00086293" w:rsidRDefault="00E30845" w:rsidP="00E30845">
            <w:pPr>
              <w:rPr>
                <w:rFonts w:ascii="Arial" w:hAnsi="Arial" w:cs="Arial"/>
              </w:rPr>
            </w:pPr>
            <w:r w:rsidRPr="00086293">
              <w:rPr>
                <w:rFonts w:ascii="Arial" w:hAnsi="Arial" w:cs="Arial"/>
              </w:rPr>
              <w:t>Can install "low-impact facilities" on land without needing state, territory, or local government planning approvals, and often without landowner consent.</w:t>
            </w:r>
          </w:p>
        </w:tc>
      </w:tr>
      <w:tr w:rsidR="00E30845" w:rsidRPr="00086293" w14:paraId="69405C12"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546BECF1" w14:textId="77777777" w:rsidR="00E30845" w:rsidRPr="00086293" w:rsidRDefault="00E30845" w:rsidP="00E30845">
            <w:pPr>
              <w:rPr>
                <w:rFonts w:ascii="Arial" w:hAnsi="Arial" w:cs="Arial"/>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4B6DC6CC" w14:textId="77777777" w:rsidR="00E30845" w:rsidRPr="00086293" w:rsidRDefault="00E30845" w:rsidP="00E30845">
            <w:pPr>
              <w:rPr>
                <w:rFonts w:ascii="Arial" w:hAnsi="Arial" w:cs="Arial"/>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D705381" w14:textId="77777777" w:rsidR="00E30845" w:rsidRPr="00086293" w:rsidRDefault="00E30845" w:rsidP="00E30845">
            <w:pPr>
              <w:rPr>
                <w:rFonts w:ascii="Arial" w:hAnsi="Arial" w:cs="Arial"/>
              </w:rPr>
            </w:pPr>
            <w:r w:rsidRPr="00086293">
              <w:rPr>
                <w:rFonts w:ascii="Arial" w:hAnsi="Arial" w:cs="Arial"/>
              </w:rPr>
              <w:t>Defined in the Telecommunications (Low-impact Facilities) Determination 2018. Includes things like underground cables, pits, small antennae on existing structures, and public payphones. .</w:t>
            </w:r>
          </w:p>
        </w:tc>
      </w:tr>
      <w:tr w:rsidR="00E30845" w:rsidRPr="00086293" w14:paraId="143D3505"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65190111" w14:textId="77777777" w:rsidR="00E30845" w:rsidRPr="00086293" w:rsidRDefault="00E30845" w:rsidP="00E30845">
            <w:pPr>
              <w:rPr>
                <w:rFonts w:ascii="Arial" w:hAnsi="Arial" w:cs="Arial"/>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0B4AE3E9" w14:textId="77777777" w:rsidR="00E30845" w:rsidRPr="00086293" w:rsidRDefault="00E30845" w:rsidP="00E30845">
            <w:pPr>
              <w:rPr>
                <w:rFonts w:ascii="Arial" w:hAnsi="Arial" w:cs="Arial"/>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316295A" w14:textId="77777777" w:rsidR="00E30845" w:rsidRPr="00086293" w:rsidRDefault="00E30845" w:rsidP="00E30845">
            <w:pPr>
              <w:rPr>
                <w:rFonts w:ascii="Arial" w:hAnsi="Arial" w:cs="Arial"/>
              </w:rPr>
            </w:pPr>
            <w:r w:rsidRPr="00086293">
              <w:rPr>
                <w:rFonts w:ascii="Arial" w:hAnsi="Arial" w:cs="Arial"/>
              </w:rPr>
              <w:t>Must provide a minimum 10 business days' written notice to the landowner and occupier before starting work. They must also restore the land to its original condition.</w:t>
            </w:r>
          </w:p>
        </w:tc>
      </w:tr>
      <w:tr w:rsidR="00E30845" w:rsidRPr="00086293" w14:paraId="163CD772"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0B27B3B2" w14:textId="77777777" w:rsidR="00E30845" w:rsidRPr="00086293" w:rsidRDefault="00E30845" w:rsidP="00E30845">
            <w:pPr>
              <w:rPr>
                <w:rFonts w:ascii="Arial" w:hAnsi="Arial" w:cs="Arial"/>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0D2573F5" w14:textId="77777777" w:rsidR="00E30845" w:rsidRPr="00086293" w:rsidRDefault="00E30845" w:rsidP="00E30845">
            <w:pPr>
              <w:rPr>
                <w:rFonts w:ascii="Arial" w:hAnsi="Arial" w:cs="Arial"/>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0DE2BA2" w14:textId="77777777" w:rsidR="00E30845" w:rsidRPr="00086293" w:rsidRDefault="00E30845" w:rsidP="00E30845">
            <w:pPr>
              <w:rPr>
                <w:rFonts w:ascii="Arial" w:hAnsi="Arial" w:cs="Arial"/>
              </w:rPr>
            </w:pPr>
            <w:r w:rsidRPr="00086293">
              <w:rPr>
                <w:rFonts w:ascii="Arial" w:hAnsi="Arial" w:cs="Arial"/>
              </w:rPr>
              <w:t>Landowners can object to a proposed installation on certain grounds. If an objection can't be resolved, the matter can be referred to the Telecommunications Industry Ombudsman (TIO).</w:t>
            </w:r>
          </w:p>
        </w:tc>
      </w:tr>
      <w:tr w:rsidR="00E30845" w:rsidRPr="00086293" w14:paraId="54D7B52C"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3721F1FA" w14:textId="77777777" w:rsidR="00E30845" w:rsidRPr="00086293" w:rsidRDefault="00E30845" w:rsidP="00E30845">
            <w:pPr>
              <w:rPr>
                <w:rFonts w:ascii="Arial" w:hAnsi="Arial" w:cs="Arial"/>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2C4CDB30" w14:textId="77777777" w:rsidR="00E30845" w:rsidRPr="00086293" w:rsidRDefault="00E30845" w:rsidP="00E30845">
            <w:pPr>
              <w:rPr>
                <w:rFonts w:ascii="Arial" w:hAnsi="Arial" w:cs="Arial"/>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B819256" w14:textId="77777777" w:rsidR="00E30845" w:rsidRPr="00086293" w:rsidRDefault="00E30845" w:rsidP="00E30845">
            <w:pPr>
              <w:rPr>
                <w:rFonts w:ascii="Arial" w:hAnsi="Arial" w:cs="Arial"/>
              </w:rPr>
            </w:pPr>
            <w:r w:rsidRPr="00086293">
              <w:rPr>
                <w:rFonts w:ascii="Arial" w:hAnsi="Arial" w:cs="Arial"/>
              </w:rPr>
              <w:t>Can access land without notice to address an emergency to protect health, safety, property, or maintain adequate service levels.</w:t>
            </w:r>
          </w:p>
        </w:tc>
      </w:tr>
      <w:tr w:rsidR="00E30845" w:rsidRPr="00086293" w14:paraId="6A93F864" w14:textId="77777777">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hideMark/>
          </w:tcPr>
          <w:p w14:paraId="724E4135" w14:textId="77777777" w:rsidR="00E30845" w:rsidRPr="00086293" w:rsidRDefault="00E30845" w:rsidP="00E30845">
            <w:pPr>
              <w:rPr>
                <w:rFonts w:ascii="Arial" w:hAnsi="Arial" w:cs="Arial"/>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F28817E" w14:textId="77777777" w:rsidR="00E30845" w:rsidRPr="00086293" w:rsidRDefault="00E30845" w:rsidP="00E30845">
            <w:pPr>
              <w:rPr>
                <w:rFonts w:ascii="Arial" w:hAnsi="Arial" w:cs="Arial"/>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FFCA6B4" w14:textId="77777777" w:rsidR="00E30845" w:rsidRPr="00086293" w:rsidRDefault="00E30845" w:rsidP="00E30845">
            <w:pPr>
              <w:rPr>
                <w:rFonts w:ascii="Arial" w:hAnsi="Arial" w:cs="Arial"/>
              </w:rPr>
            </w:pPr>
          </w:p>
        </w:tc>
      </w:tr>
      <w:tr w:rsidR="00E30845" w:rsidRPr="00086293" w14:paraId="6D17ACC3"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49AD0C96" w14:textId="77777777" w:rsidR="00E30845" w:rsidRPr="00086293" w:rsidRDefault="00E30845" w:rsidP="00E30845">
            <w:pPr>
              <w:rPr>
                <w:rFonts w:ascii="Arial" w:hAnsi="Arial" w:cs="Arial"/>
                <w:b/>
                <w:bCs/>
              </w:rPr>
            </w:pPr>
            <w:r w:rsidRPr="00086293">
              <w:rPr>
                <w:rFonts w:ascii="Arial" w:hAnsi="Arial" w:cs="Arial"/>
                <w:b/>
                <w:bCs/>
              </w:rPr>
              <w:t>Aspect of Right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EC8C4CA" w14:textId="77777777" w:rsidR="00E30845" w:rsidRPr="00086293" w:rsidRDefault="00E30845" w:rsidP="00E30845">
            <w:pPr>
              <w:rPr>
                <w:rFonts w:ascii="Arial" w:hAnsi="Arial" w:cs="Arial"/>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7323B3F" w14:textId="77777777" w:rsidR="00E30845" w:rsidRPr="00086293" w:rsidRDefault="00E30845" w:rsidP="00E30845">
            <w:pPr>
              <w:rPr>
                <w:rFonts w:ascii="Arial" w:hAnsi="Arial" w:cs="Arial"/>
              </w:rPr>
            </w:pPr>
          </w:p>
        </w:tc>
      </w:tr>
      <w:tr w:rsidR="00E30845" w:rsidRPr="00086293" w14:paraId="3441A49B" w14:textId="7777777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04B9C9E" w14:textId="77777777" w:rsidR="00E30845" w:rsidRPr="00086293" w:rsidRDefault="00E30845" w:rsidP="00E30845">
            <w:pPr>
              <w:rPr>
                <w:rFonts w:ascii="Arial" w:hAnsi="Arial" w:cs="Arial"/>
                <w:b/>
                <w:bCs/>
              </w:rPr>
            </w:pPr>
            <w:r w:rsidRPr="00086293">
              <w:rPr>
                <w:rFonts w:ascii="Arial" w:hAnsi="Arial" w:cs="Arial"/>
                <w:b/>
                <w:bCs/>
              </w:rPr>
              <w:t>Legal Basis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C422E8" w14:textId="77777777" w:rsidR="00E30845" w:rsidRPr="00086293" w:rsidRDefault="00E30845" w:rsidP="00E30845">
            <w:pPr>
              <w:rPr>
                <w:rFonts w:ascii="Arial" w:hAnsi="Arial" w:cs="Arial"/>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7BD907" w14:textId="77777777" w:rsidR="00E30845" w:rsidRPr="00086293" w:rsidRDefault="00E30845" w:rsidP="00E30845">
            <w:pPr>
              <w:rPr>
                <w:rFonts w:ascii="Arial" w:hAnsi="Arial" w:cs="Arial"/>
              </w:rPr>
            </w:pPr>
          </w:p>
        </w:tc>
      </w:tr>
      <w:tr w:rsidR="00E30845" w:rsidRPr="00086293" w14:paraId="2AA2F788" w14:textId="7777777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5549796" w14:textId="77777777" w:rsidR="00E30845" w:rsidRPr="00086293" w:rsidRDefault="00E30845" w:rsidP="00E30845">
            <w:pPr>
              <w:rPr>
                <w:rFonts w:ascii="Arial" w:hAnsi="Arial" w:cs="Arial"/>
                <w:b/>
                <w:bCs/>
              </w:rPr>
            </w:pPr>
            <w:r w:rsidRPr="00086293">
              <w:rPr>
                <w:rFonts w:ascii="Arial" w:hAnsi="Arial" w:cs="Arial"/>
                <w:b/>
                <w:bCs/>
              </w:rPr>
              <w:t>Land Access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948480F" w14:textId="77777777" w:rsidR="00E30845" w:rsidRPr="00086293" w:rsidRDefault="00E30845" w:rsidP="00E30845">
            <w:pPr>
              <w:rPr>
                <w:rFonts w:ascii="Arial" w:hAnsi="Arial" w:cs="Arial"/>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0136DF" w14:textId="77777777" w:rsidR="00E30845" w:rsidRPr="00086293" w:rsidRDefault="00E30845" w:rsidP="00E30845">
            <w:pPr>
              <w:rPr>
                <w:rFonts w:ascii="Arial" w:hAnsi="Arial" w:cs="Arial"/>
              </w:rPr>
            </w:pPr>
          </w:p>
        </w:tc>
      </w:tr>
      <w:tr w:rsidR="00E30845" w:rsidRPr="00086293" w14:paraId="563D6A84" w14:textId="7777777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8FEF32C" w14:textId="77777777" w:rsidR="00E30845" w:rsidRPr="00086293" w:rsidRDefault="00E30845" w:rsidP="00E30845">
            <w:pPr>
              <w:rPr>
                <w:rFonts w:ascii="Arial" w:hAnsi="Arial" w:cs="Arial"/>
                <w:b/>
                <w:bCs/>
              </w:rPr>
            </w:pPr>
            <w:r w:rsidRPr="00086293">
              <w:rPr>
                <w:rFonts w:ascii="Arial" w:hAnsi="Arial" w:cs="Arial"/>
                <w:b/>
                <w:bCs/>
              </w:rPr>
              <w:t>Facility Installation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C3C5DC" w14:textId="77777777" w:rsidR="00E30845" w:rsidRPr="00086293" w:rsidRDefault="00E30845" w:rsidP="00E30845">
            <w:pPr>
              <w:rPr>
                <w:rFonts w:ascii="Arial" w:hAnsi="Arial" w:cs="Arial"/>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C8A71D3" w14:textId="77777777" w:rsidR="00E30845" w:rsidRPr="00086293" w:rsidRDefault="00E30845" w:rsidP="00E30845">
            <w:pPr>
              <w:rPr>
                <w:rFonts w:ascii="Arial" w:hAnsi="Arial" w:cs="Arial"/>
              </w:rPr>
            </w:pPr>
          </w:p>
        </w:tc>
      </w:tr>
      <w:tr w:rsidR="00E30845" w:rsidRPr="00086293" w14:paraId="35D51FBA" w14:textId="7777777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D2C3302" w14:textId="77777777" w:rsidR="00E30845" w:rsidRPr="00086293" w:rsidRDefault="00E30845" w:rsidP="00E30845">
            <w:pPr>
              <w:rPr>
                <w:rFonts w:ascii="Arial" w:hAnsi="Arial" w:cs="Arial"/>
                <w:b/>
                <w:bCs/>
              </w:rPr>
            </w:pPr>
            <w:r w:rsidRPr="00086293">
              <w:rPr>
                <w:rFonts w:ascii="Arial" w:hAnsi="Arial" w:cs="Arial"/>
                <w:b/>
                <w:bCs/>
              </w:rPr>
              <w:t>What is a "Low-Impact Facility"?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AD7A29" w14:textId="77777777" w:rsidR="00E30845" w:rsidRPr="00086293" w:rsidRDefault="00E30845" w:rsidP="00E30845">
            <w:pPr>
              <w:rPr>
                <w:rFonts w:ascii="Arial" w:hAnsi="Arial" w:cs="Arial"/>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1347E10" w14:textId="77777777" w:rsidR="00E30845" w:rsidRPr="00086293" w:rsidRDefault="00E30845" w:rsidP="00E30845">
            <w:pPr>
              <w:rPr>
                <w:rFonts w:ascii="Arial" w:hAnsi="Arial" w:cs="Arial"/>
              </w:rPr>
            </w:pPr>
          </w:p>
        </w:tc>
      </w:tr>
      <w:tr w:rsidR="00E30845" w:rsidRPr="00086293" w14:paraId="7B88E172" w14:textId="7777777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C2EFC56" w14:textId="77777777" w:rsidR="00E30845" w:rsidRPr="00086293" w:rsidRDefault="00E30845" w:rsidP="00E30845">
            <w:pPr>
              <w:rPr>
                <w:rFonts w:ascii="Arial" w:hAnsi="Arial" w:cs="Arial"/>
                <w:b/>
                <w:bCs/>
              </w:rPr>
            </w:pPr>
            <w:r w:rsidRPr="00086293">
              <w:rPr>
                <w:rFonts w:ascii="Arial" w:hAnsi="Arial" w:cs="Arial"/>
                <w:b/>
                <w:bCs/>
              </w:rPr>
              <w:t>Mandatory Obligations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9339F2" w14:textId="77777777" w:rsidR="00E30845" w:rsidRPr="00086293" w:rsidRDefault="00E30845" w:rsidP="00E30845">
            <w:pPr>
              <w:rPr>
                <w:rFonts w:ascii="Arial" w:hAnsi="Arial" w:cs="Arial"/>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822D66D" w14:textId="77777777" w:rsidR="00E30845" w:rsidRPr="00086293" w:rsidRDefault="00E30845" w:rsidP="00E30845">
            <w:pPr>
              <w:rPr>
                <w:rFonts w:ascii="Arial" w:hAnsi="Arial" w:cs="Arial"/>
              </w:rPr>
            </w:pPr>
          </w:p>
        </w:tc>
      </w:tr>
      <w:tr w:rsidR="00E30845" w:rsidRPr="00086293" w14:paraId="30AC6FE1" w14:textId="7777777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D3DC80D" w14:textId="77777777" w:rsidR="00E30845" w:rsidRPr="00086293" w:rsidRDefault="00E30845" w:rsidP="00E30845">
            <w:pPr>
              <w:rPr>
                <w:rFonts w:ascii="Arial" w:hAnsi="Arial" w:cs="Arial"/>
                <w:b/>
                <w:bCs/>
              </w:rPr>
            </w:pPr>
            <w:r w:rsidRPr="00086293">
              <w:rPr>
                <w:rFonts w:ascii="Arial" w:hAnsi="Arial" w:cs="Arial"/>
                <w:b/>
                <w:bCs/>
              </w:rPr>
              <w:t>Dispute Resolution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6307B74" w14:textId="77777777" w:rsidR="00E30845" w:rsidRPr="00086293" w:rsidRDefault="00E30845" w:rsidP="00E30845">
            <w:pPr>
              <w:rPr>
                <w:rFonts w:ascii="Arial" w:hAnsi="Arial" w:cs="Arial"/>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FCFE17" w14:textId="77777777" w:rsidR="00E30845" w:rsidRPr="00086293" w:rsidRDefault="00E30845" w:rsidP="00E30845">
            <w:pPr>
              <w:rPr>
                <w:rFonts w:ascii="Arial" w:hAnsi="Arial" w:cs="Arial"/>
              </w:rPr>
            </w:pPr>
          </w:p>
        </w:tc>
      </w:tr>
      <w:tr w:rsidR="00E30845" w:rsidRPr="00086293" w14:paraId="7F887884" w14:textId="7777777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24CD511" w14:textId="77777777" w:rsidR="00E30845" w:rsidRPr="00086293" w:rsidRDefault="00E30845" w:rsidP="00E30845">
            <w:pPr>
              <w:rPr>
                <w:rFonts w:ascii="Arial" w:hAnsi="Arial" w:cs="Arial"/>
                <w:b/>
                <w:bCs/>
              </w:rPr>
            </w:pPr>
            <w:r w:rsidRPr="00086293">
              <w:rPr>
                <w:rFonts w:ascii="Arial" w:hAnsi="Arial" w:cs="Arial"/>
                <w:b/>
                <w:bCs/>
              </w:rPr>
              <w:t>Emergency Situations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896CE35" w14:textId="77777777" w:rsidR="00E30845" w:rsidRPr="00086293" w:rsidRDefault="00E30845" w:rsidP="00E30845">
            <w:pPr>
              <w:rPr>
                <w:rFonts w:ascii="Arial" w:hAnsi="Arial" w:cs="Arial"/>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71A9B7" w14:textId="77777777" w:rsidR="00E30845" w:rsidRPr="00086293" w:rsidRDefault="00E30845" w:rsidP="00E30845">
            <w:pPr>
              <w:rPr>
                <w:rFonts w:ascii="Arial" w:hAnsi="Arial" w:cs="Arial"/>
              </w:rPr>
            </w:pPr>
          </w:p>
        </w:tc>
      </w:tr>
      <w:tr w:rsidR="00E30845" w:rsidRPr="00086293" w14:paraId="711BC676" w14:textId="7777777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845225" w14:textId="77777777" w:rsidR="00E30845" w:rsidRPr="00086293" w:rsidRDefault="00E30845" w:rsidP="00E30845">
            <w:pPr>
              <w:rPr>
                <w:rFonts w:ascii="Arial" w:hAnsi="Arial" w:cs="Arial"/>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3C502863" w14:textId="77777777" w:rsidR="00E30845" w:rsidRPr="00086293" w:rsidRDefault="00E30845" w:rsidP="00E30845">
            <w:pPr>
              <w:rPr>
                <w:rFonts w:ascii="Arial" w:hAnsi="Arial" w:cs="Arial"/>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6A2A3AB9" w14:textId="77777777" w:rsidR="00E30845" w:rsidRPr="00086293" w:rsidRDefault="00E30845" w:rsidP="00E30845">
            <w:pPr>
              <w:rPr>
                <w:rFonts w:ascii="Arial" w:hAnsi="Arial" w:cs="Arial"/>
              </w:rPr>
            </w:pPr>
          </w:p>
        </w:tc>
      </w:tr>
      <w:tr w:rsidR="00E30845" w:rsidRPr="00086293" w14:paraId="6B051811"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199955A" w14:textId="77777777" w:rsidR="00E30845" w:rsidRPr="00086293" w:rsidRDefault="00E30845" w:rsidP="00E30845">
            <w:pPr>
              <w:rPr>
                <w:rFonts w:ascii="Arial" w:hAnsi="Arial" w:cs="Arial"/>
              </w:rPr>
            </w:pP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C9DAF8"/>
            <w:tcMar>
              <w:top w:w="0" w:type="dxa"/>
              <w:left w:w="45" w:type="dxa"/>
              <w:bottom w:w="0" w:type="dxa"/>
              <w:right w:w="45" w:type="dxa"/>
            </w:tcMar>
            <w:vAlign w:val="center"/>
            <w:hideMark/>
          </w:tcPr>
          <w:p w14:paraId="0C037A89" w14:textId="77777777" w:rsidR="00E30845" w:rsidRPr="00086293" w:rsidRDefault="00E30845" w:rsidP="00E30845">
            <w:pPr>
              <w:rPr>
                <w:rFonts w:ascii="Arial" w:hAnsi="Arial" w:cs="Arial"/>
                <w:b/>
                <w:bCs/>
              </w:rPr>
            </w:pPr>
            <w:r w:rsidRPr="00086293">
              <w:rPr>
                <w:rFonts w:ascii="Arial" w:hAnsi="Arial" w:cs="Arial"/>
                <w:b/>
                <w:bCs/>
              </w:rPr>
              <w:t>Service Providers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C808F44" w14:textId="77777777" w:rsidR="00E30845" w:rsidRPr="00086293" w:rsidRDefault="00E30845" w:rsidP="00E30845">
            <w:pPr>
              <w:rPr>
                <w:rFonts w:ascii="Arial" w:hAnsi="Arial" w:cs="Arial"/>
              </w:rPr>
            </w:pPr>
            <w:r w:rsidRPr="00086293">
              <w:rPr>
                <w:rFonts w:ascii="Arial" w:hAnsi="Arial" w:cs="Arial"/>
              </w:rPr>
              <w:t>Generally, they do not have the same statutory powers and must rely on commercial agreements with property owners or carriers.</w:t>
            </w:r>
          </w:p>
        </w:tc>
      </w:tr>
      <w:tr w:rsidR="00E30845" w:rsidRPr="00086293" w14:paraId="1C46C4E6"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D792176" w14:textId="77777777" w:rsidR="00E30845" w:rsidRPr="00086293" w:rsidRDefault="00E30845" w:rsidP="00E30845">
            <w:pPr>
              <w:rPr>
                <w:rFonts w:ascii="Arial" w:hAnsi="Arial" w:cs="Arial"/>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058B40" w14:textId="77777777" w:rsidR="00E30845" w:rsidRPr="00086293" w:rsidRDefault="00E30845" w:rsidP="00E30845">
            <w:pPr>
              <w:rPr>
                <w:rFonts w:ascii="Arial" w:hAnsi="Arial" w:cs="Arial"/>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EBBF8DB" w14:textId="77777777" w:rsidR="00E30845" w:rsidRPr="00086293" w:rsidRDefault="00E30845" w:rsidP="00E30845">
            <w:pPr>
              <w:rPr>
                <w:rFonts w:ascii="Arial" w:hAnsi="Arial" w:cs="Arial"/>
              </w:rPr>
            </w:pPr>
            <w:r w:rsidRPr="00086293">
              <w:rPr>
                <w:rFonts w:ascii="Arial" w:hAnsi="Arial" w:cs="Arial"/>
              </w:rPr>
              <w:t>Do not have a statutory right of access. They must obtain permission from the property owner.</w:t>
            </w:r>
          </w:p>
        </w:tc>
      </w:tr>
      <w:tr w:rsidR="00E30845" w:rsidRPr="00086293" w14:paraId="6308B259"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1FC6F23" w14:textId="77777777" w:rsidR="00E30845" w:rsidRPr="00086293" w:rsidRDefault="00E30845" w:rsidP="00E30845">
            <w:pPr>
              <w:rPr>
                <w:rFonts w:ascii="Arial" w:hAnsi="Arial" w:cs="Arial"/>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C408BC6" w14:textId="77777777" w:rsidR="00E30845" w:rsidRPr="00086293" w:rsidRDefault="00E30845" w:rsidP="00E30845">
            <w:pPr>
              <w:rPr>
                <w:rFonts w:ascii="Arial" w:hAnsi="Arial" w:cs="Arial"/>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33F00A6" w14:textId="77777777" w:rsidR="00E30845" w:rsidRPr="00086293" w:rsidRDefault="00E30845" w:rsidP="00E30845">
            <w:pPr>
              <w:rPr>
                <w:rFonts w:ascii="Arial" w:hAnsi="Arial" w:cs="Arial"/>
              </w:rPr>
            </w:pPr>
            <w:r w:rsidRPr="00086293">
              <w:rPr>
                <w:rFonts w:ascii="Arial" w:hAnsi="Arial" w:cs="Arial"/>
              </w:rPr>
              <w:t>Do not have the right to install facilities on private land without a pre-existing commercial agreement or a specific arrangement with the carrier that owns the network.</w:t>
            </w:r>
          </w:p>
        </w:tc>
      </w:tr>
      <w:tr w:rsidR="00E30845" w:rsidRPr="00086293" w14:paraId="1B21AB88"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FAEFC90" w14:textId="77777777" w:rsidR="00E30845" w:rsidRPr="00086293" w:rsidRDefault="00E30845" w:rsidP="00E30845">
            <w:pPr>
              <w:rPr>
                <w:rFonts w:ascii="Arial" w:hAnsi="Arial" w:cs="Arial"/>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71C004B" w14:textId="77777777" w:rsidR="00E30845" w:rsidRPr="00086293" w:rsidRDefault="00E30845" w:rsidP="00E30845">
            <w:pPr>
              <w:rPr>
                <w:rFonts w:ascii="Arial" w:hAnsi="Arial" w:cs="Arial"/>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844313C" w14:textId="77777777" w:rsidR="00E30845" w:rsidRPr="00086293" w:rsidRDefault="00E30845" w:rsidP="00E30845">
            <w:pPr>
              <w:rPr>
                <w:rFonts w:ascii="Arial" w:hAnsi="Arial" w:cs="Arial"/>
              </w:rPr>
            </w:pPr>
            <w:r w:rsidRPr="00086293">
              <w:rPr>
                <w:rFonts w:ascii="Arial" w:hAnsi="Arial" w:cs="Arial"/>
              </w:rPr>
              <w:t>This classification of facility is not relevant to their rights, as they generally don't have the power to install them.</w:t>
            </w:r>
          </w:p>
        </w:tc>
      </w:tr>
      <w:tr w:rsidR="00E30845" w:rsidRPr="00086293" w14:paraId="5FB99297"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5BE46FC" w14:textId="77777777" w:rsidR="00E30845" w:rsidRPr="00086293" w:rsidRDefault="00E30845" w:rsidP="00E30845">
            <w:pPr>
              <w:rPr>
                <w:rFonts w:ascii="Arial" w:hAnsi="Arial" w:cs="Arial"/>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FB635CC" w14:textId="77777777" w:rsidR="00E30845" w:rsidRPr="00086293" w:rsidRDefault="00E30845" w:rsidP="00E30845">
            <w:pPr>
              <w:rPr>
                <w:rFonts w:ascii="Arial" w:hAnsi="Arial" w:cs="Arial"/>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C3A9D84" w14:textId="77777777" w:rsidR="00E30845" w:rsidRPr="00086293" w:rsidRDefault="00E30845" w:rsidP="00E30845">
            <w:pPr>
              <w:rPr>
                <w:rFonts w:ascii="Arial" w:hAnsi="Arial" w:cs="Arial"/>
              </w:rPr>
            </w:pPr>
            <w:r w:rsidRPr="00086293">
              <w:rPr>
                <w:rFonts w:ascii="Arial" w:hAnsi="Arial" w:cs="Arial"/>
              </w:rPr>
              <w:t>There are no mandatory obligations to provide notice under a legal framework. Any obligations are based on their commercial agreement with the customer.</w:t>
            </w:r>
          </w:p>
        </w:tc>
      </w:tr>
      <w:tr w:rsidR="00E30845" w:rsidRPr="00086293" w14:paraId="64966EFB"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D398930" w14:textId="77777777" w:rsidR="00E30845" w:rsidRPr="00086293" w:rsidRDefault="00E30845" w:rsidP="00E30845">
            <w:pPr>
              <w:rPr>
                <w:rFonts w:ascii="Arial" w:hAnsi="Arial" w:cs="Arial"/>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50EA93" w14:textId="77777777" w:rsidR="00E30845" w:rsidRPr="00086293" w:rsidRDefault="00E30845" w:rsidP="00E30845">
            <w:pPr>
              <w:rPr>
                <w:rFonts w:ascii="Arial" w:hAnsi="Arial" w:cs="Arial"/>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243F838" w14:textId="77777777" w:rsidR="00E30845" w:rsidRPr="00086293" w:rsidRDefault="00E30845" w:rsidP="00E30845">
            <w:pPr>
              <w:rPr>
                <w:rFonts w:ascii="Arial" w:hAnsi="Arial" w:cs="Arial"/>
              </w:rPr>
            </w:pPr>
            <w:r w:rsidRPr="00086293">
              <w:rPr>
                <w:rFonts w:ascii="Arial" w:hAnsi="Arial" w:cs="Arial"/>
              </w:rPr>
              <w:t>If a dispute arises, it is handled according to the terms of their contract with the customer or through general consumer law. It does not fall under the specific land access dispute mechanisms of the TIO.</w:t>
            </w:r>
          </w:p>
        </w:tc>
      </w:tr>
      <w:tr w:rsidR="00E30845" w:rsidRPr="00086293" w14:paraId="13140B36"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A2C8FF0" w14:textId="77777777" w:rsidR="00E30845" w:rsidRPr="00086293" w:rsidRDefault="00E30845" w:rsidP="00E30845">
            <w:pPr>
              <w:rPr>
                <w:rFonts w:ascii="Arial" w:hAnsi="Arial" w:cs="Arial"/>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9AD497" w14:textId="77777777" w:rsidR="00E30845" w:rsidRPr="00086293" w:rsidRDefault="00E30845" w:rsidP="00E30845">
            <w:pPr>
              <w:rPr>
                <w:rFonts w:ascii="Arial" w:hAnsi="Arial" w:cs="Arial"/>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0DA55A2" w14:textId="77777777" w:rsidR="00E30845" w:rsidRPr="00086293" w:rsidRDefault="00E30845" w:rsidP="00E30845">
            <w:pPr>
              <w:rPr>
                <w:rFonts w:ascii="Arial" w:hAnsi="Arial" w:cs="Arial"/>
              </w:rPr>
            </w:pPr>
            <w:r w:rsidRPr="00086293">
              <w:rPr>
                <w:rFonts w:ascii="Arial" w:hAnsi="Arial" w:cs="Arial"/>
              </w:rPr>
              <w:t>Do not have the right to access land for emergencies. This power is reserved for carriers.</w:t>
            </w:r>
          </w:p>
        </w:tc>
      </w:tr>
    </w:tbl>
    <w:p w14:paraId="18F66233" w14:textId="77777777" w:rsidR="00BF3D01" w:rsidRPr="00086293" w:rsidRDefault="00BF3D01" w:rsidP="00123C81">
      <w:pPr>
        <w:rPr>
          <w:rFonts w:ascii="Arial" w:hAnsi="Arial" w:cs="Arial"/>
        </w:rPr>
      </w:pPr>
    </w:p>
    <w:p w14:paraId="14819FB6" w14:textId="77777777" w:rsidR="00BF3D01" w:rsidRPr="00086293" w:rsidRDefault="00BF3D01" w:rsidP="00123C81">
      <w:pPr>
        <w:rPr>
          <w:rFonts w:ascii="Arial" w:hAnsi="Arial" w:cs="Arial"/>
        </w:rPr>
      </w:pPr>
    </w:p>
    <w:p w14:paraId="00CBABB9" w14:textId="77777777" w:rsidR="00123C81" w:rsidRPr="00086293" w:rsidRDefault="00123C81" w:rsidP="00123C81">
      <w:pPr>
        <w:rPr>
          <w:rFonts w:ascii="Arial" w:hAnsi="Arial" w:cs="Arial"/>
        </w:rPr>
      </w:pPr>
    </w:p>
    <w:p w14:paraId="208798F3" w14:textId="77777777" w:rsidR="00123C81" w:rsidRPr="00086293" w:rsidRDefault="00123C81" w:rsidP="00123C81">
      <w:pPr>
        <w:rPr>
          <w:rFonts w:ascii="Arial" w:hAnsi="Arial" w:cs="Arial"/>
        </w:rPr>
      </w:pPr>
    </w:p>
    <w:p w14:paraId="0D03535C" w14:textId="77777777" w:rsidR="00123C81" w:rsidRPr="00086293" w:rsidRDefault="00123C81" w:rsidP="00123C81">
      <w:pPr>
        <w:pStyle w:val="Heading3"/>
      </w:pPr>
      <w:r w:rsidRPr="00086293">
        <w:t>5. What is the impact of legislation on planning processes and accessibility to networks?</w:t>
      </w:r>
    </w:p>
    <w:p w14:paraId="53A1AE6D" w14:textId="77777777" w:rsidR="00123C81" w:rsidRPr="00086293" w:rsidRDefault="00123C81" w:rsidP="00123C81">
      <w:pPr>
        <w:rPr>
          <w:rFonts w:ascii="Arial" w:hAnsi="Arial" w:cs="Arial"/>
        </w:rPr>
      </w:pPr>
    </w:p>
    <w:p w14:paraId="7CAD5E0E" w14:textId="5F35FFF4" w:rsidR="00123C81" w:rsidRPr="00086293" w:rsidRDefault="00123C81" w:rsidP="00123C81">
      <w:pPr>
        <w:rPr>
          <w:rFonts w:ascii="Arial" w:hAnsi="Arial" w:cs="Arial"/>
        </w:rPr>
      </w:pPr>
      <w:r w:rsidRPr="00086293">
        <w:rPr>
          <w:rFonts w:ascii="Arial" w:hAnsi="Arial" w:cs="Arial"/>
        </w:rPr>
        <w:t xml:space="preserve">The impact of legislation on network planning and access processes is fundamental, as it defines the rules of the game for all companies, promoting competition. It also guarantees (by ACCC) essential access to infrastructure. It also investigates and intervenes in anti-competitive </w:t>
      </w:r>
      <w:r w:rsidR="007B106F" w:rsidRPr="00086293">
        <w:rPr>
          <w:rFonts w:ascii="Arial" w:hAnsi="Arial" w:cs="Arial"/>
        </w:rPr>
        <w:t>behaviour</w:t>
      </w:r>
      <w:r w:rsidRPr="00086293">
        <w:rPr>
          <w:rFonts w:ascii="Arial" w:hAnsi="Arial" w:cs="Arial"/>
        </w:rPr>
        <w:t>.</w:t>
      </w:r>
    </w:p>
    <w:p w14:paraId="21FE2823" w14:textId="77777777" w:rsidR="00123C81" w:rsidRPr="00086293" w:rsidRDefault="00123C81" w:rsidP="00123C81">
      <w:pPr>
        <w:rPr>
          <w:rFonts w:ascii="Arial" w:hAnsi="Arial" w:cs="Arial"/>
        </w:rPr>
      </w:pPr>
    </w:p>
    <w:tbl>
      <w:tblPr>
        <w:tblW w:w="0" w:type="dxa"/>
        <w:tblCellMar>
          <w:left w:w="0" w:type="dxa"/>
          <w:right w:w="0" w:type="dxa"/>
        </w:tblCellMar>
        <w:tblLook w:val="04A0" w:firstRow="1" w:lastRow="0" w:firstColumn="1" w:lastColumn="0" w:noHBand="0" w:noVBand="1"/>
      </w:tblPr>
      <w:tblGrid>
        <w:gridCol w:w="2591"/>
        <w:gridCol w:w="3379"/>
        <w:gridCol w:w="3807"/>
        <w:gridCol w:w="3985"/>
        <w:gridCol w:w="3055"/>
        <w:gridCol w:w="3270"/>
        <w:gridCol w:w="4032"/>
        <w:gridCol w:w="3187"/>
      </w:tblGrid>
      <w:tr w:rsidR="00C134C1" w:rsidRPr="00086293" w14:paraId="6AF31AAC" w14:textId="77777777">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7BDF6E06" w14:textId="77777777" w:rsidR="00C134C1" w:rsidRPr="00086293" w:rsidRDefault="00C134C1" w:rsidP="00C134C1">
            <w:pPr>
              <w:rPr>
                <w:rFonts w:ascii="Arial" w:hAnsi="Arial" w:cs="Arial"/>
                <w:b/>
                <w:bCs/>
              </w:rPr>
            </w:pPr>
            <w:r w:rsidRPr="00086293">
              <w:rPr>
                <w:rFonts w:ascii="Arial" w:hAnsi="Arial" w:cs="Arial"/>
                <w:b/>
                <w:bCs/>
              </w:rPr>
              <w:t>Regulator</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458CD57D" w14:textId="77777777" w:rsidR="00C134C1" w:rsidRPr="00086293" w:rsidRDefault="00C134C1" w:rsidP="00C134C1">
            <w:pPr>
              <w:rPr>
                <w:rFonts w:ascii="Arial" w:hAnsi="Arial" w:cs="Arial"/>
                <w:b/>
                <w:bCs/>
              </w:rPr>
            </w:pPr>
            <w:r w:rsidRPr="00086293">
              <w:rPr>
                <w:rFonts w:ascii="Arial" w:hAnsi="Arial" w:cs="Arial"/>
                <w:b/>
                <w:bCs/>
              </w:rPr>
              <w:t>Summary</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46E6F93F" w14:textId="77777777" w:rsidR="00C134C1" w:rsidRPr="00086293" w:rsidRDefault="00C134C1" w:rsidP="00C134C1">
            <w:pPr>
              <w:rPr>
                <w:rFonts w:ascii="Arial" w:hAnsi="Arial" w:cs="Arial"/>
                <w:b/>
                <w:bCs/>
              </w:rPr>
            </w:pPr>
            <w:r w:rsidRPr="00086293">
              <w:rPr>
                <w:rFonts w:ascii="Arial" w:hAnsi="Arial" w:cs="Arial"/>
                <w:b/>
                <w:bCs/>
              </w:rPr>
              <w:t>Main functions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25F4C1C0" w14:textId="77777777" w:rsidR="00C134C1" w:rsidRPr="00086293" w:rsidRDefault="00C134C1" w:rsidP="00C134C1">
            <w:pPr>
              <w:rPr>
                <w:rFonts w:ascii="Arial" w:hAnsi="Arial" w:cs="Arial"/>
                <w:b/>
                <w:bCs/>
              </w:rPr>
            </w:pPr>
            <w:r w:rsidRPr="00086293">
              <w:rPr>
                <w:rFonts w:ascii="Arial" w:hAnsi="Arial" w:cs="Arial"/>
                <w:b/>
                <w:bCs/>
              </w:rPr>
              <w:t>Legal Basis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39B9B0C0" w14:textId="77777777" w:rsidR="00C134C1" w:rsidRPr="00086293" w:rsidRDefault="00C134C1" w:rsidP="00C134C1">
            <w:pPr>
              <w:rPr>
                <w:rFonts w:ascii="Arial" w:hAnsi="Arial" w:cs="Arial"/>
                <w:b/>
                <w:bCs/>
              </w:rPr>
            </w:pPr>
            <w:r w:rsidRPr="00086293">
              <w:rPr>
                <w:rFonts w:ascii="Arial" w:hAnsi="Arial" w:cs="Arial"/>
                <w:b/>
                <w:bCs/>
              </w:rPr>
              <w:t>Legal Actions / Enforcement Powers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23BE92F6" w14:textId="77777777" w:rsidR="00C134C1" w:rsidRPr="00086293" w:rsidRDefault="00C134C1" w:rsidP="00C134C1">
            <w:pPr>
              <w:rPr>
                <w:rFonts w:ascii="Arial" w:hAnsi="Arial" w:cs="Arial"/>
                <w:b/>
                <w:bCs/>
              </w:rPr>
            </w:pPr>
            <w:r w:rsidRPr="00086293">
              <w:rPr>
                <w:rFonts w:ascii="Arial" w:hAnsi="Arial" w:cs="Arial"/>
                <w:b/>
                <w:bCs/>
              </w:rPr>
              <w:t>Examples of Enforcement</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6118BFB5" w14:textId="77777777" w:rsidR="00C134C1" w:rsidRPr="00086293" w:rsidRDefault="00C134C1" w:rsidP="00C134C1">
            <w:pPr>
              <w:rPr>
                <w:rFonts w:ascii="Arial" w:hAnsi="Arial" w:cs="Arial"/>
                <w:b/>
                <w:bCs/>
              </w:rPr>
            </w:pPr>
            <w:r w:rsidRPr="00086293">
              <w:rPr>
                <w:rFonts w:ascii="Arial" w:hAnsi="Arial" w:cs="Arial"/>
                <w:b/>
                <w:bCs/>
              </w:rPr>
              <w:t>Collaborator(s)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0D7F6284" w14:textId="77777777" w:rsidR="00C134C1" w:rsidRPr="00086293" w:rsidRDefault="00C134C1" w:rsidP="00C134C1">
            <w:pPr>
              <w:rPr>
                <w:rFonts w:ascii="Arial" w:hAnsi="Arial" w:cs="Arial"/>
                <w:b/>
                <w:bCs/>
              </w:rPr>
            </w:pPr>
            <w:r w:rsidRPr="00086293">
              <w:rPr>
                <w:rFonts w:ascii="Arial" w:hAnsi="Arial" w:cs="Arial"/>
                <w:b/>
                <w:bCs/>
              </w:rPr>
              <w:t>Type of Collaboration</w:t>
            </w:r>
          </w:p>
        </w:tc>
      </w:tr>
      <w:tr w:rsidR="00C134C1" w:rsidRPr="00086293" w14:paraId="05DD04BF"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B532595" w14:textId="77777777" w:rsidR="00C134C1" w:rsidRPr="00086293" w:rsidRDefault="00C134C1" w:rsidP="00C134C1">
            <w:pPr>
              <w:rPr>
                <w:rFonts w:ascii="Arial" w:hAnsi="Arial" w:cs="Arial"/>
                <w:b/>
                <w:bCs/>
              </w:rPr>
            </w:pPr>
            <w:r w:rsidRPr="00086293">
              <w:rPr>
                <w:rFonts w:ascii="Arial" w:hAnsi="Arial" w:cs="Arial"/>
                <w:b/>
                <w:bCs/>
              </w:rPr>
              <w:t xml:space="preserve">Australian Communications and </w:t>
            </w:r>
            <w:r w:rsidRPr="00086293">
              <w:rPr>
                <w:rFonts w:ascii="Arial" w:hAnsi="Arial" w:cs="Arial"/>
                <w:b/>
                <w:bCs/>
              </w:rPr>
              <w:lastRenderedPageBreak/>
              <w:t>Media Authority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FD58A97" w14:textId="77777777" w:rsidR="00C134C1" w:rsidRPr="00086293" w:rsidRDefault="00C134C1" w:rsidP="00C134C1">
            <w:pPr>
              <w:rPr>
                <w:rFonts w:ascii="Arial" w:hAnsi="Arial" w:cs="Arial"/>
              </w:rPr>
            </w:pPr>
            <w:r w:rsidRPr="00086293">
              <w:rPr>
                <w:rFonts w:ascii="Arial" w:hAnsi="Arial" w:cs="Arial"/>
              </w:rPr>
              <w:lastRenderedPageBreak/>
              <w:t xml:space="preserve">Independent statutory authority regulating </w:t>
            </w:r>
            <w:r w:rsidRPr="00086293">
              <w:rPr>
                <w:rFonts w:ascii="Arial" w:hAnsi="Arial" w:cs="Arial"/>
              </w:rPr>
              <w:lastRenderedPageBreak/>
              <w:t>communications and media, including telecommunications.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E3284F2" w14:textId="77777777" w:rsidR="00C134C1" w:rsidRPr="00086293" w:rsidRDefault="00C134C1" w:rsidP="00C134C1">
            <w:pPr>
              <w:rPr>
                <w:rFonts w:ascii="Arial" w:hAnsi="Arial" w:cs="Arial"/>
              </w:rPr>
            </w:pPr>
            <w:r w:rsidRPr="00086293">
              <w:rPr>
                <w:rFonts w:ascii="Arial" w:hAnsi="Arial" w:cs="Arial"/>
              </w:rPr>
              <w:lastRenderedPageBreak/>
              <w:t xml:space="preserve">Issues carrier and service provider licences; manages spectrum; </w:t>
            </w:r>
            <w:r w:rsidRPr="00086293">
              <w:rPr>
                <w:rFonts w:ascii="Arial" w:hAnsi="Arial" w:cs="Arial"/>
              </w:rPr>
              <w:lastRenderedPageBreak/>
              <w:t>enforces spam and Do Not Call laws; ensures telco compliance with service standards.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322F355" w14:textId="77777777" w:rsidR="00C134C1" w:rsidRPr="00086293" w:rsidRDefault="00C134C1" w:rsidP="00C134C1">
            <w:pPr>
              <w:rPr>
                <w:rFonts w:ascii="Arial" w:hAnsi="Arial" w:cs="Arial"/>
              </w:rPr>
            </w:pPr>
            <w:r w:rsidRPr="00086293">
              <w:rPr>
                <w:rFonts w:ascii="Arial" w:hAnsi="Arial" w:cs="Arial"/>
              </w:rPr>
              <w:lastRenderedPageBreak/>
              <w:t xml:space="preserve">Telecommunications Act 1997, Radiocommunications Act 1992, </w:t>
            </w:r>
            <w:r w:rsidRPr="00086293">
              <w:rPr>
                <w:rFonts w:ascii="Arial" w:hAnsi="Arial" w:cs="Arial"/>
              </w:rPr>
              <w:lastRenderedPageBreak/>
              <w:t>Broadcasting Services Act 1992, Spam Act 2003.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EDDDF4B" w14:textId="77777777" w:rsidR="00C134C1" w:rsidRPr="00086293" w:rsidRDefault="00C134C1" w:rsidP="00C134C1">
            <w:pPr>
              <w:rPr>
                <w:rFonts w:ascii="Arial" w:hAnsi="Arial" w:cs="Arial"/>
              </w:rPr>
            </w:pPr>
            <w:r w:rsidRPr="00086293">
              <w:rPr>
                <w:rFonts w:ascii="Arial" w:hAnsi="Arial" w:cs="Arial"/>
              </w:rPr>
              <w:lastRenderedPageBreak/>
              <w:t xml:space="preserve">Can issue infringement notices, financial penalties, </w:t>
            </w:r>
            <w:r w:rsidRPr="00086293">
              <w:rPr>
                <w:rFonts w:ascii="Arial" w:hAnsi="Arial" w:cs="Arial"/>
              </w:rPr>
              <w:lastRenderedPageBreak/>
              <w:t>suspend or cancel licences, and impose enforceable undertakings.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0CC0ACE" w14:textId="77777777" w:rsidR="00C134C1" w:rsidRPr="00086293" w:rsidRDefault="00C134C1" w:rsidP="00C134C1">
            <w:pPr>
              <w:rPr>
                <w:rFonts w:ascii="Arial" w:hAnsi="Arial" w:cs="Arial"/>
              </w:rPr>
            </w:pPr>
            <w:r w:rsidRPr="00086293">
              <w:rPr>
                <w:rFonts w:ascii="Arial" w:hAnsi="Arial" w:cs="Arial"/>
              </w:rPr>
              <w:lastRenderedPageBreak/>
              <w:t xml:space="preserve">2022: Optus fined $504,000 for breaching Spam Act 2003 </w:t>
            </w:r>
            <w:r w:rsidRPr="00086293">
              <w:rPr>
                <w:rFonts w:ascii="Arial" w:hAnsi="Arial" w:cs="Arial"/>
              </w:rPr>
              <w:lastRenderedPageBreak/>
              <w:t>rules by sending marketing without proper consent.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EC72A0B" w14:textId="77777777" w:rsidR="00C134C1" w:rsidRPr="00086293" w:rsidRDefault="00C134C1" w:rsidP="00C134C1">
            <w:pPr>
              <w:rPr>
                <w:rFonts w:ascii="Arial" w:hAnsi="Arial" w:cs="Arial"/>
              </w:rPr>
            </w:pPr>
            <w:r w:rsidRPr="00086293">
              <w:rPr>
                <w:rFonts w:ascii="Arial" w:hAnsi="Arial" w:cs="Arial"/>
              </w:rPr>
              <w:lastRenderedPageBreak/>
              <w:t xml:space="preserve">ACCC, OAIC, eSafety Commissioner, Department of </w:t>
            </w:r>
            <w:r w:rsidRPr="00086293">
              <w:rPr>
                <w:rFonts w:ascii="Arial" w:hAnsi="Arial" w:cs="Arial"/>
              </w:rPr>
              <w:lastRenderedPageBreak/>
              <w:t>Infrastructure, Transport, Regional Development, Communications and the Arts; international regulators such as Ofcom (UK) and FCC (USA).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9A4E474" w14:textId="77777777" w:rsidR="00C134C1" w:rsidRPr="00086293" w:rsidRDefault="00C134C1" w:rsidP="00C134C1">
            <w:pPr>
              <w:rPr>
                <w:rFonts w:ascii="Arial" w:hAnsi="Arial" w:cs="Arial"/>
              </w:rPr>
            </w:pPr>
            <w:r w:rsidRPr="00086293">
              <w:rPr>
                <w:rFonts w:ascii="Arial" w:hAnsi="Arial" w:cs="Arial"/>
              </w:rPr>
              <w:lastRenderedPageBreak/>
              <w:t xml:space="preserve">Co-regulation of telecoms and media, spectrum </w:t>
            </w:r>
            <w:r w:rsidRPr="00086293">
              <w:rPr>
                <w:rFonts w:ascii="Arial" w:hAnsi="Arial" w:cs="Arial"/>
              </w:rPr>
              <w:lastRenderedPageBreak/>
              <w:t>management, consumer protection, spam enforcement, and international regulatory alignment.</w:t>
            </w:r>
          </w:p>
        </w:tc>
      </w:tr>
      <w:tr w:rsidR="00C134C1" w:rsidRPr="00086293" w14:paraId="58CB5AEC"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9900"/>
            <w:tcMar>
              <w:top w:w="0" w:type="dxa"/>
              <w:left w:w="45" w:type="dxa"/>
              <w:bottom w:w="0" w:type="dxa"/>
              <w:right w:w="45" w:type="dxa"/>
            </w:tcMar>
            <w:hideMark/>
          </w:tcPr>
          <w:p w14:paraId="0B0BB542" w14:textId="77777777" w:rsidR="00C134C1" w:rsidRPr="00086293" w:rsidRDefault="00C134C1" w:rsidP="00C134C1">
            <w:pPr>
              <w:rPr>
                <w:rFonts w:ascii="Arial" w:hAnsi="Arial" w:cs="Arial"/>
                <w:b/>
                <w:bCs/>
              </w:rPr>
            </w:pPr>
            <w:r w:rsidRPr="00086293">
              <w:rPr>
                <w:rFonts w:ascii="Arial" w:hAnsi="Arial" w:cs="Arial"/>
                <w:b/>
                <w:bCs/>
              </w:rPr>
              <w:lastRenderedPageBreak/>
              <w:t>Australian Competition and Consumer Commission (ACCC)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B355C59" w14:textId="77777777" w:rsidR="00C134C1" w:rsidRPr="00086293" w:rsidRDefault="00C134C1" w:rsidP="00C134C1">
            <w:pPr>
              <w:rPr>
                <w:rFonts w:ascii="Arial" w:hAnsi="Arial" w:cs="Arial"/>
              </w:rPr>
            </w:pPr>
            <w:r w:rsidRPr="00086293">
              <w:rPr>
                <w:rFonts w:ascii="Arial" w:hAnsi="Arial" w:cs="Arial"/>
              </w:rPr>
              <w:t>National competition and consumer regulator overseeing fair trading in telecommunications markets.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24A517" w14:textId="77777777" w:rsidR="00C134C1" w:rsidRPr="00086293" w:rsidRDefault="00C134C1" w:rsidP="00C134C1">
            <w:pPr>
              <w:rPr>
                <w:rFonts w:ascii="Arial" w:hAnsi="Arial" w:cs="Arial"/>
              </w:rPr>
            </w:pPr>
            <w:r w:rsidRPr="00086293">
              <w:rPr>
                <w:rFonts w:ascii="Arial" w:hAnsi="Arial" w:cs="Arial"/>
              </w:rPr>
              <w:t>Promotes competition; enforces consumer protection; monitors telco pricing; regulates wholesale access to networks (e.g., NBN).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DDE2643" w14:textId="77777777" w:rsidR="00C134C1" w:rsidRPr="00086293" w:rsidRDefault="00C134C1" w:rsidP="00C134C1">
            <w:pPr>
              <w:rPr>
                <w:rFonts w:ascii="Arial" w:hAnsi="Arial" w:cs="Arial"/>
              </w:rPr>
            </w:pPr>
            <w:r w:rsidRPr="00086293">
              <w:rPr>
                <w:rFonts w:ascii="Arial" w:hAnsi="Arial" w:cs="Arial"/>
              </w:rPr>
              <w:t>Competition and Consumer Act 2010, Telecommunications Act 1997.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E6EE069" w14:textId="77777777" w:rsidR="00C134C1" w:rsidRPr="00086293" w:rsidRDefault="00C134C1" w:rsidP="00C134C1">
            <w:pPr>
              <w:rPr>
                <w:rFonts w:ascii="Arial" w:hAnsi="Arial" w:cs="Arial"/>
              </w:rPr>
            </w:pPr>
            <w:r w:rsidRPr="00086293">
              <w:rPr>
                <w:rFonts w:ascii="Arial" w:hAnsi="Arial" w:cs="Arial"/>
              </w:rPr>
              <w:t>Can launch court proceedings, impose penalties, accept undertakings, and enforce consumer redress.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EA3F098" w14:textId="77777777" w:rsidR="00C134C1" w:rsidRPr="00086293" w:rsidRDefault="00C134C1" w:rsidP="00C134C1">
            <w:pPr>
              <w:rPr>
                <w:rFonts w:ascii="Arial" w:hAnsi="Arial" w:cs="Arial"/>
              </w:rPr>
            </w:pPr>
            <w:r w:rsidRPr="00086293">
              <w:rPr>
                <w:rFonts w:ascii="Arial" w:hAnsi="Arial" w:cs="Arial"/>
              </w:rPr>
              <w:t>2021: Telstra fined $50m for unconscionable conduct towards Indigenous customers in telco sales.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2519F88" w14:textId="77777777" w:rsidR="00C134C1" w:rsidRPr="00086293" w:rsidRDefault="00C134C1" w:rsidP="00C134C1">
            <w:pPr>
              <w:rPr>
                <w:rFonts w:ascii="Arial" w:hAnsi="Arial" w:cs="Arial"/>
              </w:rPr>
            </w:pPr>
            <w:r w:rsidRPr="00086293">
              <w:rPr>
                <w:rFonts w:ascii="Arial" w:hAnsi="Arial" w:cs="Arial"/>
              </w:rPr>
              <w:t>ACMA, OAIC, Treasury, Federal Court of Australia, Consumer advocacy groups; international: OECD Competition Committee, International Competition Network (ICN).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061F39B" w14:textId="77777777" w:rsidR="00C134C1" w:rsidRPr="00086293" w:rsidRDefault="00C134C1" w:rsidP="00C134C1">
            <w:pPr>
              <w:rPr>
                <w:rFonts w:ascii="Arial" w:hAnsi="Arial" w:cs="Arial"/>
              </w:rPr>
            </w:pPr>
            <w:r w:rsidRPr="00086293">
              <w:rPr>
                <w:rFonts w:ascii="Arial" w:hAnsi="Arial" w:cs="Arial"/>
              </w:rPr>
              <w:t>Market regulation, consumer law enforcement, litigation, and international competition policy cooperation.</w:t>
            </w:r>
          </w:p>
        </w:tc>
      </w:tr>
      <w:tr w:rsidR="00C134C1" w:rsidRPr="00086293" w14:paraId="191700CF"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C6BF2DE" w14:textId="77777777" w:rsidR="00C134C1" w:rsidRPr="00086293" w:rsidRDefault="00C134C1" w:rsidP="00C134C1">
            <w:pPr>
              <w:rPr>
                <w:rFonts w:ascii="Arial" w:hAnsi="Arial" w:cs="Arial"/>
                <w:b/>
                <w:bCs/>
              </w:rPr>
            </w:pPr>
            <w:r w:rsidRPr="00086293">
              <w:rPr>
                <w:rFonts w:ascii="Arial" w:hAnsi="Arial" w:cs="Arial"/>
                <w:b/>
                <w:bCs/>
              </w:rPr>
              <w:t>Attorney-General's Department (AGD)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450EE0A" w14:textId="77777777" w:rsidR="00C134C1" w:rsidRPr="00086293" w:rsidRDefault="00C134C1" w:rsidP="00C134C1">
            <w:pPr>
              <w:rPr>
                <w:rFonts w:ascii="Arial" w:hAnsi="Arial" w:cs="Arial"/>
              </w:rPr>
            </w:pPr>
            <w:r w:rsidRPr="00086293">
              <w:rPr>
                <w:rFonts w:ascii="Arial" w:hAnsi="Arial" w:cs="Arial"/>
              </w:rPr>
              <w:t>Policy agency advising on national security, law enforcement, and telecommunications interception frameworks.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FC8C2BC" w14:textId="77777777" w:rsidR="00C134C1" w:rsidRPr="00086293" w:rsidRDefault="00C134C1" w:rsidP="00C134C1">
            <w:pPr>
              <w:rPr>
                <w:rFonts w:ascii="Arial" w:hAnsi="Arial" w:cs="Arial"/>
              </w:rPr>
            </w:pPr>
            <w:r w:rsidRPr="00086293">
              <w:rPr>
                <w:rFonts w:ascii="Arial" w:hAnsi="Arial" w:cs="Arial"/>
              </w:rPr>
              <w:t>Develops and administers laws on lawful interception, surveillance, and data retention.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3E37C9D" w14:textId="77777777" w:rsidR="00C134C1" w:rsidRPr="00086293" w:rsidRDefault="00C134C1" w:rsidP="00C134C1">
            <w:pPr>
              <w:rPr>
                <w:rFonts w:ascii="Arial" w:hAnsi="Arial" w:cs="Arial"/>
              </w:rPr>
            </w:pPr>
            <w:r w:rsidRPr="00086293">
              <w:rPr>
                <w:rFonts w:ascii="Arial" w:hAnsi="Arial" w:cs="Arial"/>
              </w:rPr>
              <w:t>Telecommunications (Interception and Access) Act 1979, Telecommunications and Other Legislation Amendment (Assistance and Access) Act 2018.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307677" w14:textId="77777777" w:rsidR="00C134C1" w:rsidRPr="00086293" w:rsidRDefault="00C134C1" w:rsidP="00C134C1">
            <w:pPr>
              <w:rPr>
                <w:rFonts w:ascii="Arial" w:hAnsi="Arial" w:cs="Arial"/>
              </w:rPr>
            </w:pPr>
            <w:r w:rsidRPr="00086293">
              <w:rPr>
                <w:rFonts w:ascii="Arial" w:hAnsi="Arial" w:cs="Arial"/>
              </w:rPr>
              <w:t>Sets policy direction; authorises frameworks for interception; provides oversight mechanisms.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33D8E7E" w14:textId="77777777" w:rsidR="00C134C1" w:rsidRPr="00086293" w:rsidRDefault="00C134C1" w:rsidP="00C134C1">
            <w:pPr>
              <w:rPr>
                <w:rFonts w:ascii="Arial" w:hAnsi="Arial" w:cs="Arial"/>
              </w:rPr>
            </w:pPr>
            <w:r w:rsidRPr="00086293">
              <w:rPr>
                <w:rFonts w:ascii="Arial" w:hAnsi="Arial" w:cs="Arial"/>
              </w:rPr>
              <w:t>Drafted and oversaw implementation of the 2018 Assistance and Access Act (“anti-encryption” laws).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905AC1" w14:textId="77777777" w:rsidR="00C134C1" w:rsidRPr="00086293" w:rsidRDefault="00C134C1" w:rsidP="00C134C1">
            <w:pPr>
              <w:rPr>
                <w:rFonts w:ascii="Arial" w:hAnsi="Arial" w:cs="Arial"/>
              </w:rPr>
            </w:pPr>
            <w:r w:rsidRPr="00086293">
              <w:rPr>
                <w:rFonts w:ascii="Arial" w:hAnsi="Arial" w:cs="Arial"/>
              </w:rPr>
              <w:t>AFP, ASIO, ACMA, state and territory police, international security agencies (e.g., Five Eyes: US, UK, Canada, NZ).</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BF675EE" w14:textId="77777777" w:rsidR="00C134C1" w:rsidRPr="00086293" w:rsidRDefault="00C134C1" w:rsidP="00C134C1">
            <w:pPr>
              <w:rPr>
                <w:rFonts w:ascii="Arial" w:hAnsi="Arial" w:cs="Arial"/>
              </w:rPr>
            </w:pPr>
            <w:r w:rsidRPr="00086293">
              <w:rPr>
                <w:rFonts w:ascii="Arial" w:hAnsi="Arial" w:cs="Arial"/>
              </w:rPr>
              <w:t>Policy development, legislative frameworks, lawful interception, and international security/legal cooperation.</w:t>
            </w:r>
          </w:p>
        </w:tc>
      </w:tr>
      <w:tr w:rsidR="00C134C1" w:rsidRPr="00086293" w14:paraId="0B0CB6C1"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286B468" w14:textId="77777777" w:rsidR="00C134C1" w:rsidRPr="00086293" w:rsidRDefault="00C134C1" w:rsidP="00C134C1">
            <w:pPr>
              <w:rPr>
                <w:rFonts w:ascii="Arial" w:hAnsi="Arial" w:cs="Arial"/>
                <w:b/>
                <w:bCs/>
              </w:rPr>
            </w:pPr>
            <w:r w:rsidRPr="00086293">
              <w:rPr>
                <w:rFonts w:ascii="Arial" w:hAnsi="Arial" w:cs="Arial"/>
                <w:b/>
                <w:bCs/>
              </w:rPr>
              <w:t>Australian Federal Police (AFP)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4C3BDE5" w14:textId="77777777" w:rsidR="00C134C1" w:rsidRPr="00086293" w:rsidRDefault="00C134C1" w:rsidP="00C134C1">
            <w:pPr>
              <w:rPr>
                <w:rFonts w:ascii="Arial" w:hAnsi="Arial" w:cs="Arial"/>
              </w:rPr>
            </w:pPr>
            <w:r w:rsidRPr="00086293">
              <w:rPr>
                <w:rFonts w:ascii="Arial" w:hAnsi="Arial" w:cs="Arial"/>
              </w:rPr>
              <w:t>Federal law enforcement agency with jurisdiction over cybercrime and serious telecommunications offences.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458B1F1" w14:textId="77777777" w:rsidR="00C134C1" w:rsidRPr="00086293" w:rsidRDefault="00C134C1" w:rsidP="00C134C1">
            <w:pPr>
              <w:rPr>
                <w:rFonts w:ascii="Arial" w:hAnsi="Arial" w:cs="Arial"/>
              </w:rPr>
            </w:pPr>
            <w:r w:rsidRPr="00086293">
              <w:rPr>
                <w:rFonts w:ascii="Arial" w:hAnsi="Arial" w:cs="Arial"/>
              </w:rPr>
              <w:t>Investigates offences involving carriage services (fraud, child exploitation, terrorism communications); works with telcos on lawful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9AF236C" w14:textId="77777777" w:rsidR="00C134C1" w:rsidRPr="00086293" w:rsidRDefault="00C134C1" w:rsidP="00C134C1">
            <w:pPr>
              <w:rPr>
                <w:rFonts w:ascii="Arial" w:hAnsi="Arial" w:cs="Arial"/>
              </w:rPr>
            </w:pPr>
            <w:r w:rsidRPr="00086293">
              <w:rPr>
                <w:rFonts w:ascii="Arial" w:hAnsi="Arial" w:cs="Arial"/>
              </w:rPr>
              <w:t>Criminal Code Act 1995, Telecommunications (Interception and Access) Act 1979.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EEEBAE8" w14:textId="77777777" w:rsidR="00C134C1" w:rsidRPr="00086293" w:rsidRDefault="00C134C1" w:rsidP="00C134C1">
            <w:pPr>
              <w:rPr>
                <w:rFonts w:ascii="Arial" w:hAnsi="Arial" w:cs="Arial"/>
              </w:rPr>
            </w:pPr>
            <w:r w:rsidRPr="00086293">
              <w:rPr>
                <w:rFonts w:ascii="Arial" w:hAnsi="Arial" w:cs="Arial"/>
              </w:rPr>
              <w:t>Executes search warrants, arrests, seizes assets, collaborates with telcos for lawful interception.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7851380" w14:textId="77777777" w:rsidR="00C134C1" w:rsidRPr="00086293" w:rsidRDefault="00C134C1" w:rsidP="00C134C1">
            <w:pPr>
              <w:rPr>
                <w:rFonts w:ascii="Arial" w:hAnsi="Arial" w:cs="Arial"/>
              </w:rPr>
            </w:pPr>
            <w:r w:rsidRPr="00086293">
              <w:rPr>
                <w:rFonts w:ascii="Arial" w:hAnsi="Arial" w:cs="Arial"/>
              </w:rPr>
              <w:t>2023: AFP charged individuals over large-scale SMS phishing scams exploiting telco networks.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749D855" w14:textId="77777777" w:rsidR="00C134C1" w:rsidRPr="00086293" w:rsidRDefault="00C134C1" w:rsidP="00C134C1">
            <w:pPr>
              <w:rPr>
                <w:rFonts w:ascii="Arial" w:hAnsi="Arial" w:cs="Arial"/>
              </w:rPr>
            </w:pPr>
            <w:r w:rsidRPr="00086293">
              <w:rPr>
                <w:rFonts w:ascii="Arial" w:hAnsi="Arial" w:cs="Arial"/>
              </w:rPr>
              <w:t>AGD, ASIO, ACMA, state and territory police, Australian Signals Directorate (ASD); international: INTERPOL, Europol, FBI (USA).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6FD35FC" w14:textId="77777777" w:rsidR="00C134C1" w:rsidRPr="00086293" w:rsidRDefault="00C134C1" w:rsidP="00C134C1">
            <w:pPr>
              <w:rPr>
                <w:rFonts w:ascii="Arial" w:hAnsi="Arial" w:cs="Arial"/>
              </w:rPr>
            </w:pPr>
            <w:r w:rsidRPr="00086293">
              <w:rPr>
                <w:rFonts w:ascii="Arial" w:hAnsi="Arial" w:cs="Arial"/>
              </w:rPr>
              <w:t>Criminal investigations, cybercrime enforcement, intelligence sharing, operational taskforces, and joint investigations.</w:t>
            </w:r>
          </w:p>
        </w:tc>
      </w:tr>
      <w:tr w:rsidR="00C134C1" w:rsidRPr="00086293" w14:paraId="546367CD"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1CBB20E" w14:textId="77777777" w:rsidR="00C134C1" w:rsidRPr="00086293" w:rsidRDefault="00C134C1" w:rsidP="00C134C1">
            <w:pPr>
              <w:rPr>
                <w:rFonts w:ascii="Arial" w:hAnsi="Arial" w:cs="Arial"/>
                <w:b/>
                <w:bCs/>
              </w:rPr>
            </w:pPr>
            <w:r w:rsidRPr="00086293">
              <w:rPr>
                <w:rFonts w:ascii="Arial" w:hAnsi="Arial" w:cs="Arial"/>
                <w:b/>
                <w:bCs/>
              </w:rPr>
              <w:t>Australian Security Intelligence Organisation (ASIO)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E7A6F71" w14:textId="77777777" w:rsidR="00C134C1" w:rsidRPr="00086293" w:rsidRDefault="00C134C1" w:rsidP="00C134C1">
            <w:pPr>
              <w:rPr>
                <w:rFonts w:ascii="Arial" w:hAnsi="Arial" w:cs="Arial"/>
              </w:rPr>
            </w:pPr>
            <w:r w:rsidRPr="00086293">
              <w:rPr>
                <w:rFonts w:ascii="Arial" w:hAnsi="Arial" w:cs="Arial"/>
              </w:rPr>
              <w:t>Australia’s domestic security intelligence agency, focused on counter-terrorism and counter-espionage.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A123046" w14:textId="77777777" w:rsidR="00C134C1" w:rsidRPr="00086293" w:rsidRDefault="00C134C1" w:rsidP="00C134C1">
            <w:pPr>
              <w:rPr>
                <w:rFonts w:ascii="Arial" w:hAnsi="Arial" w:cs="Arial"/>
              </w:rPr>
            </w:pPr>
            <w:r w:rsidRPr="00086293">
              <w:rPr>
                <w:rFonts w:ascii="Arial" w:hAnsi="Arial" w:cs="Arial"/>
              </w:rPr>
              <w:t>Uses telecommunications data for intelligence gathering; advises government on national security risks involving telcos.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6D2BF53" w14:textId="77777777" w:rsidR="00C134C1" w:rsidRPr="00086293" w:rsidRDefault="00C134C1" w:rsidP="00C134C1">
            <w:pPr>
              <w:rPr>
                <w:rFonts w:ascii="Arial" w:hAnsi="Arial" w:cs="Arial"/>
              </w:rPr>
            </w:pPr>
            <w:r w:rsidRPr="00086293">
              <w:rPr>
                <w:rFonts w:ascii="Arial" w:hAnsi="Arial" w:cs="Arial"/>
              </w:rPr>
              <w:t>Australian Security Intelligence Organisation Act 1979, Telecommunications (Interception and Access) Act 1979.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02C172" w14:textId="77777777" w:rsidR="00C134C1" w:rsidRPr="00086293" w:rsidRDefault="00C134C1" w:rsidP="00C134C1">
            <w:pPr>
              <w:rPr>
                <w:rFonts w:ascii="Arial" w:hAnsi="Arial" w:cs="Arial"/>
              </w:rPr>
            </w:pPr>
            <w:r w:rsidRPr="00086293">
              <w:rPr>
                <w:rFonts w:ascii="Arial" w:hAnsi="Arial" w:cs="Arial"/>
              </w:rPr>
              <w:t>Authorised to conduct surveillance, use interception warrants, and collect communications data.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AC41AA5" w14:textId="77777777" w:rsidR="00C134C1" w:rsidRPr="00086293" w:rsidRDefault="00C134C1" w:rsidP="00C134C1">
            <w:pPr>
              <w:rPr>
                <w:rFonts w:ascii="Arial" w:hAnsi="Arial" w:cs="Arial"/>
              </w:rPr>
            </w:pPr>
            <w:r w:rsidRPr="00086293">
              <w:rPr>
                <w:rFonts w:ascii="Arial" w:hAnsi="Arial" w:cs="Arial"/>
              </w:rPr>
              <w:t>Used powers under TIA Act to intercept communications linked to suspected foreign interference activities.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03ED275" w14:textId="77777777" w:rsidR="00C134C1" w:rsidRPr="00086293" w:rsidRDefault="00C134C1" w:rsidP="00C134C1">
            <w:pPr>
              <w:rPr>
                <w:rFonts w:ascii="Arial" w:hAnsi="Arial" w:cs="Arial"/>
              </w:rPr>
            </w:pPr>
            <w:r w:rsidRPr="00086293">
              <w:rPr>
                <w:rFonts w:ascii="Arial" w:hAnsi="Arial" w:cs="Arial"/>
              </w:rPr>
              <w:t>AGD, AFP, ASD, Department of Home Affairs; international intelligence partners (Five Eyes).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51C93EB" w14:textId="77777777" w:rsidR="00C134C1" w:rsidRPr="00086293" w:rsidRDefault="00C134C1" w:rsidP="00C134C1">
            <w:pPr>
              <w:rPr>
                <w:rFonts w:ascii="Arial" w:hAnsi="Arial" w:cs="Arial"/>
              </w:rPr>
            </w:pPr>
            <w:r w:rsidRPr="00086293">
              <w:rPr>
                <w:rFonts w:ascii="Arial" w:hAnsi="Arial" w:cs="Arial"/>
              </w:rPr>
              <w:t>Counter-terrorism, counter-espionage, signals intelligence cooperation, and joint security operations.</w:t>
            </w:r>
          </w:p>
        </w:tc>
      </w:tr>
      <w:tr w:rsidR="00C134C1" w:rsidRPr="00086293" w14:paraId="6CE1455A"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491FD9E" w14:textId="77777777" w:rsidR="00C134C1" w:rsidRPr="00086293" w:rsidRDefault="00C134C1" w:rsidP="00C134C1">
            <w:pPr>
              <w:rPr>
                <w:rFonts w:ascii="Arial" w:hAnsi="Arial" w:cs="Arial"/>
                <w:b/>
                <w:bCs/>
              </w:rPr>
            </w:pPr>
            <w:r w:rsidRPr="00086293">
              <w:rPr>
                <w:rFonts w:ascii="Arial" w:hAnsi="Arial" w:cs="Arial"/>
                <w:b/>
                <w:bCs/>
              </w:rPr>
              <w:t>OAIC (Office of the Australian Information Commissioner)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FBB3737" w14:textId="77777777" w:rsidR="00C134C1" w:rsidRPr="00086293" w:rsidRDefault="00C134C1" w:rsidP="00C134C1">
            <w:pPr>
              <w:rPr>
                <w:rFonts w:ascii="Arial" w:hAnsi="Arial" w:cs="Arial"/>
              </w:rPr>
            </w:pPr>
            <w:r w:rsidRPr="00086293">
              <w:rPr>
                <w:rFonts w:ascii="Arial" w:hAnsi="Arial" w:cs="Arial"/>
              </w:rPr>
              <w:t>National privacy and data protection regulator.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C42283F" w14:textId="77777777" w:rsidR="00C134C1" w:rsidRPr="00086293" w:rsidRDefault="00C134C1" w:rsidP="00C134C1">
            <w:pPr>
              <w:rPr>
                <w:rFonts w:ascii="Arial" w:hAnsi="Arial" w:cs="Arial"/>
              </w:rPr>
            </w:pPr>
            <w:r w:rsidRPr="00086293">
              <w:rPr>
                <w:rFonts w:ascii="Arial" w:hAnsi="Arial" w:cs="Arial"/>
              </w:rPr>
              <w:t>Oversees the Privacy Act, including telcos’ obligations under the Notifiable Data Breaches (NDB) scheme; investigates misuse of personal information.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10EEF0D" w14:textId="77777777" w:rsidR="00C134C1" w:rsidRPr="00086293" w:rsidRDefault="00C134C1" w:rsidP="00C134C1">
            <w:pPr>
              <w:rPr>
                <w:rFonts w:ascii="Arial" w:hAnsi="Arial" w:cs="Arial"/>
              </w:rPr>
            </w:pPr>
            <w:r w:rsidRPr="00086293">
              <w:rPr>
                <w:rFonts w:ascii="Arial" w:hAnsi="Arial" w:cs="Arial"/>
              </w:rPr>
              <w:t>Privacy Act 1988, Telecommunications Act 1997.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4F58A70" w14:textId="77777777" w:rsidR="00C134C1" w:rsidRPr="00086293" w:rsidRDefault="00C134C1" w:rsidP="00C134C1">
            <w:pPr>
              <w:rPr>
                <w:rFonts w:ascii="Arial" w:hAnsi="Arial" w:cs="Arial"/>
              </w:rPr>
            </w:pPr>
            <w:r w:rsidRPr="00086293">
              <w:rPr>
                <w:rFonts w:ascii="Arial" w:hAnsi="Arial" w:cs="Arial"/>
              </w:rPr>
              <w:t>Can investigate, make determinations, issue compliance notices, and seek civil penalties.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ACC8D74" w14:textId="77777777" w:rsidR="00C134C1" w:rsidRPr="00086293" w:rsidRDefault="00C134C1" w:rsidP="00C134C1">
            <w:pPr>
              <w:rPr>
                <w:rFonts w:ascii="Arial" w:hAnsi="Arial" w:cs="Arial"/>
              </w:rPr>
            </w:pPr>
            <w:r w:rsidRPr="00086293">
              <w:rPr>
                <w:rFonts w:ascii="Arial" w:hAnsi="Arial" w:cs="Arial"/>
              </w:rPr>
              <w:t>2023: Investigated Optus and Medibank data breaches under the NDB scheme.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45B7FC4" w14:textId="77777777" w:rsidR="00C134C1" w:rsidRPr="00086293" w:rsidRDefault="00C134C1" w:rsidP="00C134C1">
            <w:pPr>
              <w:rPr>
                <w:rFonts w:ascii="Arial" w:hAnsi="Arial" w:cs="Arial"/>
              </w:rPr>
            </w:pPr>
            <w:r w:rsidRPr="00086293">
              <w:rPr>
                <w:rFonts w:ascii="Arial" w:hAnsi="Arial" w:cs="Arial"/>
              </w:rPr>
              <w:t>ACMA, ACCC, eSafety Commissioner, AGD; international: Global Privacy Assembly, Asia-Pacific Privacy Authorities Forum.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541803B" w14:textId="77777777" w:rsidR="00C134C1" w:rsidRPr="00086293" w:rsidRDefault="00C134C1" w:rsidP="00C134C1">
            <w:pPr>
              <w:rPr>
                <w:rFonts w:ascii="Arial" w:hAnsi="Arial" w:cs="Arial"/>
              </w:rPr>
            </w:pPr>
            <w:r w:rsidRPr="00086293">
              <w:rPr>
                <w:rFonts w:ascii="Arial" w:hAnsi="Arial" w:cs="Arial"/>
              </w:rPr>
              <w:t>Privacy and data protection enforcement, cross-border data governance, joint investigations, and policy development.</w:t>
            </w:r>
          </w:p>
        </w:tc>
      </w:tr>
      <w:tr w:rsidR="00C134C1" w:rsidRPr="00086293" w14:paraId="235D9610"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192E7985" w14:textId="77777777" w:rsidR="00C134C1" w:rsidRPr="00086293" w:rsidRDefault="00C134C1" w:rsidP="00C134C1">
            <w:pPr>
              <w:rPr>
                <w:rFonts w:ascii="Arial" w:hAnsi="Arial" w:cs="Arial"/>
                <w:b/>
                <w:bCs/>
              </w:rPr>
            </w:pPr>
            <w:r w:rsidRPr="00086293">
              <w:rPr>
                <w:rFonts w:ascii="Arial" w:hAnsi="Arial" w:cs="Arial"/>
                <w:b/>
                <w:bCs/>
              </w:rPr>
              <w:t>eSafety Commissioner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6F8A57B" w14:textId="77777777" w:rsidR="00C134C1" w:rsidRPr="00086293" w:rsidRDefault="00C134C1" w:rsidP="00C134C1">
            <w:pPr>
              <w:rPr>
                <w:rFonts w:ascii="Arial" w:hAnsi="Arial" w:cs="Arial"/>
              </w:rPr>
            </w:pPr>
            <w:r w:rsidRPr="00086293">
              <w:rPr>
                <w:rFonts w:ascii="Arial" w:hAnsi="Arial" w:cs="Arial"/>
              </w:rPr>
              <w:t>Independent regulator for online safety, with powers over harmful digital communications.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F12212" w14:textId="77777777" w:rsidR="00C134C1" w:rsidRPr="00086293" w:rsidRDefault="00C134C1" w:rsidP="00C134C1">
            <w:pPr>
              <w:rPr>
                <w:rFonts w:ascii="Arial" w:hAnsi="Arial" w:cs="Arial"/>
              </w:rPr>
            </w:pPr>
            <w:r w:rsidRPr="00086293">
              <w:rPr>
                <w:rFonts w:ascii="Arial" w:hAnsi="Arial" w:cs="Arial"/>
              </w:rPr>
              <w:t>Enforces rules on cyberbullying, image-based abuse, illegal and harmful online content, and telco/ISP obligations for blocking.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CB4E3D4" w14:textId="77777777" w:rsidR="00C134C1" w:rsidRPr="00086293" w:rsidRDefault="00C134C1" w:rsidP="00C134C1">
            <w:pPr>
              <w:rPr>
                <w:rFonts w:ascii="Arial" w:hAnsi="Arial" w:cs="Arial"/>
              </w:rPr>
            </w:pPr>
            <w:r w:rsidRPr="00086293">
              <w:rPr>
                <w:rFonts w:ascii="Arial" w:hAnsi="Arial" w:cs="Arial"/>
              </w:rPr>
              <w:t>Online Safety Act 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2952D4F" w14:textId="77777777" w:rsidR="00C134C1" w:rsidRPr="00086293" w:rsidRDefault="00C134C1" w:rsidP="00C134C1">
            <w:pPr>
              <w:rPr>
                <w:rFonts w:ascii="Arial" w:hAnsi="Arial" w:cs="Arial"/>
              </w:rPr>
            </w:pPr>
            <w:r w:rsidRPr="00086293">
              <w:rPr>
                <w:rFonts w:ascii="Arial" w:hAnsi="Arial" w:cs="Arial"/>
              </w:rPr>
              <w:t>Can issue takedown notices, require removal of harmful content, fine platforms, and direct ISPs to block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FF7FBC0" w14:textId="77777777" w:rsidR="00C134C1" w:rsidRPr="00086293" w:rsidRDefault="00C134C1" w:rsidP="00C134C1">
            <w:pPr>
              <w:rPr>
                <w:rFonts w:ascii="Arial" w:hAnsi="Arial" w:cs="Arial"/>
              </w:rPr>
            </w:pPr>
            <w:r w:rsidRPr="00086293">
              <w:rPr>
                <w:rFonts w:ascii="Arial" w:hAnsi="Arial" w:cs="Arial"/>
              </w:rPr>
              <w:t>2022: Ordered ISPs to block websites hosting terrorist and violent extremist material after Christchurch-related content circulated online.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781DC99" w14:textId="77777777" w:rsidR="00C134C1" w:rsidRPr="00086293" w:rsidRDefault="00C134C1" w:rsidP="00C134C1">
            <w:pPr>
              <w:rPr>
                <w:rFonts w:ascii="Arial" w:hAnsi="Arial" w:cs="Arial"/>
              </w:rPr>
            </w:pPr>
            <w:r w:rsidRPr="00086293">
              <w:rPr>
                <w:rFonts w:ascii="Arial" w:hAnsi="Arial" w:cs="Arial"/>
              </w:rPr>
              <w:t>ACMA, OAIC, AFP, Department of Home Affairs; international: Global Online Safety Regulators Network, European Commission, US Federal Trade Commission.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BF8D058" w14:textId="77777777" w:rsidR="00C134C1" w:rsidRPr="00086293" w:rsidRDefault="00C134C1" w:rsidP="00C134C1">
            <w:pPr>
              <w:rPr>
                <w:rFonts w:ascii="Arial" w:hAnsi="Arial" w:cs="Arial"/>
              </w:rPr>
            </w:pPr>
            <w:r w:rsidRPr="00086293">
              <w:rPr>
                <w:rFonts w:ascii="Arial" w:hAnsi="Arial" w:cs="Arial"/>
              </w:rPr>
              <w:t>Online harm regulation, takedown orders, cross-border enforcement of online safety standards, policy advocacy.</w:t>
            </w:r>
          </w:p>
        </w:tc>
      </w:tr>
    </w:tbl>
    <w:p w14:paraId="48333A02" w14:textId="77777777" w:rsidR="00C134C1" w:rsidRPr="00086293" w:rsidRDefault="00C134C1" w:rsidP="00123C81">
      <w:pPr>
        <w:rPr>
          <w:rFonts w:ascii="Arial" w:hAnsi="Arial" w:cs="Arial"/>
        </w:rPr>
      </w:pPr>
    </w:p>
    <w:p w14:paraId="2E5693AB" w14:textId="77777777" w:rsidR="00123C81" w:rsidRPr="00086293" w:rsidRDefault="00123C81" w:rsidP="00123C81">
      <w:pPr>
        <w:rPr>
          <w:rFonts w:ascii="Arial" w:hAnsi="Arial" w:cs="Arial"/>
        </w:rPr>
      </w:pPr>
    </w:p>
    <w:p w14:paraId="4A6BCF80" w14:textId="77777777" w:rsidR="00123C81" w:rsidRPr="00086293" w:rsidRDefault="00123C81" w:rsidP="00123C81">
      <w:pPr>
        <w:pStyle w:val="Heading3"/>
      </w:pPr>
      <w:r w:rsidRPr="00086293">
        <w:lastRenderedPageBreak/>
        <w:t>6. How does the legislation address data security and safety?</w:t>
      </w:r>
    </w:p>
    <w:p w14:paraId="25044D2D" w14:textId="77777777" w:rsidR="00123C81" w:rsidRPr="00086293" w:rsidRDefault="00123C81" w:rsidP="00123C81">
      <w:pPr>
        <w:rPr>
          <w:rFonts w:ascii="Arial" w:hAnsi="Arial" w:cs="Arial"/>
        </w:rPr>
      </w:pPr>
    </w:p>
    <w:p w14:paraId="31116B80" w14:textId="77777777" w:rsidR="00123C81" w:rsidRPr="00086293" w:rsidRDefault="00123C81" w:rsidP="00123C81">
      <w:pPr>
        <w:rPr>
          <w:rFonts w:ascii="Arial" w:hAnsi="Arial" w:cs="Arial"/>
        </w:rPr>
      </w:pPr>
      <w:r w:rsidRPr="00086293">
        <w:rPr>
          <w:rFonts w:ascii="Arial" w:hAnsi="Arial" w:cs="Arial"/>
        </w:rPr>
        <w:t>"Encryption Act, • The Privacy Act 1988, • Telecommunications (Interception and Access) Act 1979, • National Broadband Network Companies Act 2011"</w:t>
      </w:r>
    </w:p>
    <w:p w14:paraId="0455D12A" w14:textId="12FF6F9D" w:rsidR="00123C81" w:rsidRPr="00086293" w:rsidRDefault="00F24A35" w:rsidP="00123C81">
      <w:pPr>
        <w:rPr>
          <w:rFonts w:ascii="Arial" w:hAnsi="Arial" w:cs="Arial"/>
        </w:rPr>
      </w:pPr>
      <w:hyperlink r:id="rId12" w:history="1">
        <w:r w:rsidRPr="00086293">
          <w:rPr>
            <w:rStyle w:val="Hyperlink"/>
            <w:rFonts w:ascii="Arial" w:hAnsi="Arial" w:cs="Arial"/>
          </w:rPr>
          <w:t>https://www.dlapiperdataprotection.com/index.html?c=AU</w:t>
        </w:r>
      </w:hyperlink>
      <w:r w:rsidRPr="00086293">
        <w:rPr>
          <w:rFonts w:ascii="Arial" w:hAnsi="Arial" w:cs="Arial"/>
        </w:rPr>
        <w:t xml:space="preserve"> </w:t>
      </w:r>
    </w:p>
    <w:p w14:paraId="6B45EC8E" w14:textId="77777777" w:rsidR="00123C81" w:rsidRPr="00086293" w:rsidRDefault="00123C81" w:rsidP="00123C81">
      <w:pPr>
        <w:rPr>
          <w:rFonts w:ascii="Arial" w:hAnsi="Arial" w:cs="Arial"/>
        </w:rPr>
      </w:pPr>
    </w:p>
    <w:p w14:paraId="7490FB8B" w14:textId="77777777" w:rsidR="00123C81" w:rsidRPr="00086293" w:rsidRDefault="00123C81" w:rsidP="00123C81">
      <w:pPr>
        <w:rPr>
          <w:rFonts w:ascii="Arial" w:hAnsi="Arial" w:cs="Arial"/>
        </w:rPr>
      </w:pPr>
    </w:p>
    <w:p w14:paraId="790EFC5A" w14:textId="77777777" w:rsidR="00123C81" w:rsidRPr="00086293" w:rsidRDefault="00123C81" w:rsidP="00123C81">
      <w:pPr>
        <w:rPr>
          <w:rFonts w:ascii="Arial" w:hAnsi="Arial" w:cs="Arial"/>
        </w:rPr>
      </w:pPr>
      <w:r w:rsidRPr="00086293">
        <w:rPr>
          <w:rFonts w:ascii="Arial" w:hAnsi="Arial" w:cs="Arial"/>
        </w:rPr>
        <w:t>Data security and protection legislation primarily defines data retention, critical infrastructure protection, and legal access to data.</w:t>
      </w:r>
    </w:p>
    <w:p w14:paraId="4EF40873" w14:textId="77777777" w:rsidR="00123C81" w:rsidRPr="00086293" w:rsidRDefault="00123C81" w:rsidP="00123C81">
      <w:pPr>
        <w:rPr>
          <w:rFonts w:ascii="Arial" w:hAnsi="Arial" w:cs="Arial"/>
        </w:rPr>
      </w:pPr>
    </w:p>
    <w:p w14:paraId="7D270336" w14:textId="77777777" w:rsidR="00123C81" w:rsidRPr="00086293" w:rsidRDefault="00123C81" w:rsidP="00123C81">
      <w:pPr>
        <w:rPr>
          <w:rFonts w:ascii="Arial" w:hAnsi="Arial" w:cs="Arial"/>
        </w:rPr>
      </w:pPr>
      <w:r w:rsidRPr="00086293">
        <w:rPr>
          <w:rFonts w:ascii="Arial" w:hAnsi="Arial" w:cs="Arial"/>
        </w:rPr>
        <w:t>Under the legal framework for data retention known as the "Data Retention Scheme" service providers are required to retain and store certain metadata for at least two years. This scheme also stipulates that certain government agencies may be authorized to access retained data. Furthermore, through the "Encryption Act," the government can require assistance companies to intercept encrypted data or access encrypted information for investigations, for example, involving messaging applications.</w:t>
      </w:r>
    </w:p>
    <w:p w14:paraId="5CB32BE5" w14:textId="77777777" w:rsidR="00123C81" w:rsidRPr="00086293" w:rsidRDefault="00123C81" w:rsidP="00123C81">
      <w:pPr>
        <w:rPr>
          <w:rFonts w:ascii="Arial" w:hAnsi="Arial" w:cs="Arial"/>
        </w:rPr>
      </w:pPr>
    </w:p>
    <w:p w14:paraId="1E21156E" w14:textId="60A7E501" w:rsidR="00123C81" w:rsidRPr="00086293" w:rsidRDefault="00123C81" w:rsidP="00123C81">
      <w:pPr>
        <w:rPr>
          <w:rFonts w:ascii="Arial" w:hAnsi="Arial" w:cs="Arial"/>
        </w:rPr>
      </w:pPr>
      <w:r w:rsidRPr="00086293">
        <w:rPr>
          <w:rFonts w:ascii="Arial" w:hAnsi="Arial" w:cs="Arial"/>
        </w:rPr>
        <w:t>The government seeks to protect critical infrastructure, so service providers are required to report any cybersecurity incidents that have a significant impact under the "Security of Critical Infrastructure Act 2018."</w:t>
      </w:r>
    </w:p>
    <w:p w14:paraId="298196D4" w14:textId="77777777" w:rsidR="00E30845" w:rsidRPr="00086293" w:rsidRDefault="00E30845" w:rsidP="00123C81">
      <w:pPr>
        <w:rPr>
          <w:rFonts w:ascii="Arial" w:hAnsi="Arial" w:cs="Arial"/>
        </w:rPr>
      </w:pPr>
    </w:p>
    <w:tbl>
      <w:tblPr>
        <w:tblW w:w="0" w:type="dxa"/>
        <w:tblCellMar>
          <w:left w:w="0" w:type="dxa"/>
          <w:right w:w="0" w:type="dxa"/>
        </w:tblCellMar>
        <w:tblLook w:val="04A0" w:firstRow="1" w:lastRow="0" w:firstColumn="1" w:lastColumn="0" w:noHBand="0" w:noVBand="1"/>
      </w:tblPr>
      <w:tblGrid>
        <w:gridCol w:w="7516"/>
        <w:gridCol w:w="10355"/>
        <w:gridCol w:w="9435"/>
      </w:tblGrid>
      <w:tr w:rsidR="00E30845" w:rsidRPr="00086293" w14:paraId="60B9CE33" w14:textId="77777777">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5D700348" w14:textId="77777777" w:rsidR="00E30845" w:rsidRPr="00086293" w:rsidRDefault="00E30845" w:rsidP="00E30845">
            <w:pPr>
              <w:rPr>
                <w:rFonts w:ascii="Arial" w:hAnsi="Arial" w:cs="Arial"/>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2D3ADBD1" w14:textId="77777777" w:rsidR="00E30845" w:rsidRPr="00086293" w:rsidRDefault="00E30845" w:rsidP="00E30845">
            <w:pPr>
              <w:rPr>
                <w:rFonts w:ascii="Arial" w:hAnsi="Arial" w:cs="Arial"/>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460FA1AA" w14:textId="77777777" w:rsidR="00E30845" w:rsidRPr="00086293" w:rsidRDefault="00E30845" w:rsidP="00E30845">
            <w:pPr>
              <w:rPr>
                <w:rFonts w:ascii="Arial" w:hAnsi="Arial" w:cs="Arial"/>
              </w:rPr>
            </w:pPr>
          </w:p>
        </w:tc>
      </w:tr>
      <w:tr w:rsidR="00E30845" w:rsidRPr="00086293" w14:paraId="3E7A3ECD"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53285364" w14:textId="77777777" w:rsidR="00E30845" w:rsidRPr="00086293" w:rsidRDefault="00E30845" w:rsidP="00E30845">
            <w:pPr>
              <w:rPr>
                <w:rFonts w:ascii="Arial" w:hAnsi="Arial" w:cs="Arial"/>
                <w:b/>
                <w:bCs/>
              </w:rPr>
            </w:pPr>
            <w:r w:rsidRPr="00086293">
              <w:rPr>
                <w:rFonts w:ascii="Arial" w:hAnsi="Arial" w:cs="Arial"/>
                <w:b/>
                <w:bCs/>
              </w:rPr>
              <w:t>Legislation</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4D140D80" w14:textId="77777777" w:rsidR="00E30845" w:rsidRPr="00086293" w:rsidRDefault="00E30845" w:rsidP="00E30845">
            <w:pPr>
              <w:rPr>
                <w:rFonts w:ascii="Arial" w:hAnsi="Arial" w:cs="Arial"/>
                <w:b/>
                <w:bCs/>
              </w:rPr>
            </w:pPr>
            <w:r w:rsidRPr="00086293">
              <w:rPr>
                <w:rFonts w:ascii="Arial" w:hAnsi="Arial" w:cs="Arial"/>
                <w:b/>
                <w:bCs/>
              </w:rPr>
              <w:t>Summary</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1556D01A" w14:textId="77777777" w:rsidR="00E30845" w:rsidRPr="00086293" w:rsidRDefault="00E30845" w:rsidP="00E30845">
            <w:pPr>
              <w:rPr>
                <w:rFonts w:ascii="Arial" w:hAnsi="Arial" w:cs="Arial"/>
                <w:b/>
                <w:bCs/>
              </w:rPr>
            </w:pPr>
            <w:r w:rsidRPr="00086293">
              <w:rPr>
                <w:rFonts w:ascii="Arial" w:hAnsi="Arial" w:cs="Arial"/>
                <w:b/>
                <w:bCs/>
              </w:rPr>
              <w:t>Example</w:t>
            </w:r>
          </w:p>
        </w:tc>
      </w:tr>
      <w:tr w:rsidR="00E30845" w:rsidRPr="00086293" w14:paraId="0B7F32FE"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72C811A4" w14:textId="77777777" w:rsidR="00E30845" w:rsidRPr="00086293" w:rsidRDefault="00E30845" w:rsidP="00E30845">
            <w:pPr>
              <w:rPr>
                <w:rFonts w:ascii="Arial" w:hAnsi="Arial" w:cs="Arial"/>
                <w:b/>
                <w:bCs/>
              </w:rPr>
            </w:pPr>
            <w:r w:rsidRPr="00086293">
              <w:rPr>
                <w:rFonts w:ascii="Arial" w:hAnsi="Arial" w:cs="Arial"/>
                <w:b/>
                <w:bCs/>
              </w:rPr>
              <w:t>Privacy Act 1988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59B240" w14:textId="77777777" w:rsidR="00E30845" w:rsidRPr="00086293" w:rsidRDefault="00E30845" w:rsidP="00E30845">
            <w:pPr>
              <w:rPr>
                <w:rFonts w:ascii="Arial" w:hAnsi="Arial" w:cs="Arial"/>
              </w:rPr>
            </w:pPr>
            <w:r w:rsidRPr="00086293">
              <w:rPr>
                <w:rFonts w:ascii="Arial" w:hAnsi="Arial" w:cs="Arial"/>
              </w:rPr>
              <w:t>Regulates collection, use, and disclosure of personal information; sets out Australian Privacy Principles; includes Notifiable Data Breaches (NDB) scheme.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17E37F" w14:textId="77777777" w:rsidR="00E30845" w:rsidRPr="00086293" w:rsidRDefault="00E30845" w:rsidP="00E30845">
            <w:pPr>
              <w:rPr>
                <w:rFonts w:ascii="Arial" w:hAnsi="Arial" w:cs="Arial"/>
              </w:rPr>
            </w:pPr>
            <w:r w:rsidRPr="00086293">
              <w:rPr>
                <w:rFonts w:ascii="Arial" w:hAnsi="Arial" w:cs="Arial"/>
              </w:rPr>
              <w:t>Organisations must notify the OAIC and affected individuals of eligible data breaches:</w:t>
            </w:r>
            <w:r w:rsidRPr="00086293">
              <w:rPr>
                <w:rFonts w:ascii="Arial" w:hAnsi="Arial" w:cs="Arial"/>
              </w:rPr>
              <w:br/>
              <w:t>- Optus 2022 and Medibank 2022 breaches</w:t>
            </w:r>
          </w:p>
        </w:tc>
      </w:tr>
      <w:tr w:rsidR="00E30845" w:rsidRPr="00086293" w14:paraId="54A0F99B"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29D3F070" w14:textId="77777777" w:rsidR="00E30845" w:rsidRPr="00086293" w:rsidRDefault="00E30845" w:rsidP="00E30845">
            <w:pPr>
              <w:rPr>
                <w:rFonts w:ascii="Arial" w:hAnsi="Arial" w:cs="Arial"/>
                <w:b/>
                <w:bCs/>
              </w:rPr>
            </w:pPr>
            <w:r w:rsidRPr="00086293">
              <w:rPr>
                <w:rFonts w:ascii="Arial" w:hAnsi="Arial" w:cs="Arial"/>
                <w:b/>
                <w:bCs/>
              </w:rPr>
              <w:t>Security of Critical Infrastructure Act 2018 (SOCI Act)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BBCFC8" w14:textId="77777777" w:rsidR="00E30845" w:rsidRPr="00086293" w:rsidRDefault="00E30845" w:rsidP="00E30845">
            <w:pPr>
              <w:rPr>
                <w:rFonts w:ascii="Arial" w:hAnsi="Arial" w:cs="Arial"/>
              </w:rPr>
            </w:pPr>
            <w:r w:rsidRPr="00086293">
              <w:rPr>
                <w:rFonts w:ascii="Arial" w:hAnsi="Arial" w:cs="Arial"/>
              </w:rPr>
              <w:t>Protects critical infrastructure sectors (including telecommunications, data storage, financial services); mandatory reporting of cyber incidents.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A1F0F76" w14:textId="77777777" w:rsidR="00E30845" w:rsidRPr="00086293" w:rsidRDefault="00E30845" w:rsidP="00E30845">
            <w:pPr>
              <w:rPr>
                <w:rFonts w:ascii="Arial" w:hAnsi="Arial" w:cs="Arial"/>
              </w:rPr>
            </w:pPr>
            <w:r w:rsidRPr="00086293">
              <w:rPr>
                <w:rFonts w:ascii="Arial" w:hAnsi="Arial" w:cs="Arial"/>
              </w:rPr>
              <w:t>Cloud and telco providers must register assets and report cyber incidents to the Cyber and Infrastructure Security Centre (CISC).</w:t>
            </w:r>
          </w:p>
        </w:tc>
      </w:tr>
      <w:tr w:rsidR="00E30845" w:rsidRPr="00086293" w14:paraId="0C901224"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3E94A40C" w14:textId="77777777" w:rsidR="00E30845" w:rsidRPr="00086293" w:rsidRDefault="00E30845" w:rsidP="00E30845">
            <w:pPr>
              <w:rPr>
                <w:rFonts w:ascii="Arial" w:hAnsi="Arial" w:cs="Arial"/>
                <w:b/>
                <w:bCs/>
              </w:rPr>
            </w:pPr>
            <w:r w:rsidRPr="00086293">
              <w:rPr>
                <w:rFonts w:ascii="Arial" w:hAnsi="Arial" w:cs="Arial"/>
                <w:b/>
                <w:bCs/>
              </w:rPr>
              <w:t>Telecommunications (Interception and Access) Act 1979 (TIA Act)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7663A0C" w14:textId="77777777" w:rsidR="00E30845" w:rsidRPr="00086293" w:rsidRDefault="00E30845" w:rsidP="00E30845">
            <w:pPr>
              <w:rPr>
                <w:rFonts w:ascii="Arial" w:hAnsi="Arial" w:cs="Arial"/>
              </w:rPr>
            </w:pPr>
            <w:r w:rsidRPr="00086293">
              <w:rPr>
                <w:rFonts w:ascii="Arial" w:hAnsi="Arial" w:cs="Arial"/>
              </w:rPr>
              <w:t>Governs lawful interception and access to communications/data by law enforcement and intelligence agencies.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CDC875" w14:textId="77777777" w:rsidR="00E30845" w:rsidRPr="00086293" w:rsidRDefault="00E30845" w:rsidP="00E30845">
            <w:pPr>
              <w:rPr>
                <w:rFonts w:ascii="Arial" w:hAnsi="Arial" w:cs="Arial"/>
              </w:rPr>
            </w:pPr>
            <w:r w:rsidRPr="00086293">
              <w:rPr>
                <w:rFonts w:ascii="Arial" w:hAnsi="Arial" w:cs="Arial"/>
              </w:rPr>
              <w:t>Used by AFP, state police, and ASIO to investigate terrorism, organised crime, and child exploitation cases.</w:t>
            </w:r>
          </w:p>
        </w:tc>
      </w:tr>
      <w:tr w:rsidR="00E30845" w:rsidRPr="00086293" w14:paraId="3E6DA6EB"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0E149632" w14:textId="77777777" w:rsidR="00E30845" w:rsidRPr="00086293" w:rsidRDefault="00E30845" w:rsidP="00E30845">
            <w:pPr>
              <w:rPr>
                <w:rFonts w:ascii="Arial" w:hAnsi="Arial" w:cs="Arial"/>
                <w:b/>
                <w:bCs/>
              </w:rPr>
            </w:pPr>
            <w:r w:rsidRPr="00086293">
              <w:rPr>
                <w:rFonts w:ascii="Arial" w:hAnsi="Arial" w:cs="Arial"/>
                <w:b/>
                <w:bCs/>
              </w:rPr>
              <w:t>Telecommunications Act 1997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6D2A899" w14:textId="77777777" w:rsidR="00E30845" w:rsidRPr="00086293" w:rsidRDefault="00E30845" w:rsidP="00E30845">
            <w:pPr>
              <w:rPr>
                <w:rFonts w:ascii="Arial" w:hAnsi="Arial" w:cs="Arial"/>
              </w:rPr>
            </w:pPr>
            <w:r w:rsidRPr="00086293">
              <w:rPr>
                <w:rFonts w:ascii="Arial" w:hAnsi="Arial" w:cs="Arial"/>
              </w:rPr>
              <w:t>Regulates carriers and service providers, including obligations to secure networks and retain certain data (metadata retention for 2 years).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9AC469" w14:textId="77777777" w:rsidR="00E30845" w:rsidRPr="00086293" w:rsidRDefault="00E30845" w:rsidP="00E30845">
            <w:pPr>
              <w:rPr>
                <w:rFonts w:ascii="Arial" w:hAnsi="Arial" w:cs="Arial"/>
              </w:rPr>
            </w:pPr>
            <w:r w:rsidRPr="00086293">
              <w:rPr>
                <w:rFonts w:ascii="Arial" w:hAnsi="Arial" w:cs="Arial"/>
              </w:rPr>
              <w:t>Carriers must retain metadata for law enforcement access; ACMA enforces compliance.</w:t>
            </w:r>
          </w:p>
        </w:tc>
      </w:tr>
      <w:tr w:rsidR="00E30845" w:rsidRPr="00086293" w14:paraId="03B0E0BF"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0FA956BF" w14:textId="77777777" w:rsidR="00E30845" w:rsidRPr="00086293" w:rsidRDefault="00E30845" w:rsidP="00E30845">
            <w:pPr>
              <w:rPr>
                <w:rFonts w:ascii="Arial" w:hAnsi="Arial" w:cs="Arial"/>
                <w:b/>
                <w:bCs/>
              </w:rPr>
            </w:pPr>
            <w:r w:rsidRPr="00086293">
              <w:rPr>
                <w:rFonts w:ascii="Arial" w:hAnsi="Arial" w:cs="Arial"/>
                <w:b/>
                <w:bCs/>
              </w:rPr>
              <w:t>Telecommunications and Other Legislation Amendment (Assistance and Access) Act 2018 (TOLA Act)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719AE6" w14:textId="77777777" w:rsidR="00E30845" w:rsidRPr="00086293" w:rsidRDefault="00E30845" w:rsidP="00E30845">
            <w:pPr>
              <w:rPr>
                <w:rFonts w:ascii="Arial" w:hAnsi="Arial" w:cs="Arial"/>
              </w:rPr>
            </w:pPr>
            <w:r w:rsidRPr="00086293">
              <w:rPr>
                <w:rFonts w:ascii="Arial" w:hAnsi="Arial" w:cs="Arial"/>
              </w:rPr>
              <w:t>Grants agencies powers to request technical assistance from service providers to access encrypted data.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506EA1" w14:textId="77777777" w:rsidR="00E30845" w:rsidRPr="00086293" w:rsidRDefault="00E30845" w:rsidP="00E30845">
            <w:pPr>
              <w:rPr>
                <w:rFonts w:ascii="Arial" w:hAnsi="Arial" w:cs="Arial"/>
              </w:rPr>
            </w:pPr>
            <w:r w:rsidRPr="00086293">
              <w:rPr>
                <w:rFonts w:ascii="Arial" w:hAnsi="Arial" w:cs="Arial"/>
              </w:rPr>
              <w:t>Used in serious criminal investigations where encrypted messaging apps are involved.:</w:t>
            </w:r>
            <w:r w:rsidRPr="00086293">
              <w:rPr>
                <w:rFonts w:ascii="Arial" w:hAnsi="Arial" w:cs="Arial"/>
              </w:rPr>
              <w:br/>
              <w:t>- WhatsApp</w:t>
            </w:r>
            <w:r w:rsidRPr="00086293">
              <w:rPr>
                <w:rFonts w:ascii="Arial" w:hAnsi="Arial" w:cs="Arial"/>
              </w:rPr>
              <w:br/>
              <w:t>- Signal</w:t>
            </w:r>
          </w:p>
        </w:tc>
      </w:tr>
      <w:tr w:rsidR="00E30845" w:rsidRPr="00086293" w14:paraId="064B5287"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33AAB317" w14:textId="77777777" w:rsidR="00E30845" w:rsidRPr="00086293" w:rsidRDefault="00E30845" w:rsidP="00E30845">
            <w:pPr>
              <w:rPr>
                <w:rFonts w:ascii="Arial" w:hAnsi="Arial" w:cs="Arial"/>
                <w:b/>
                <w:bCs/>
              </w:rPr>
            </w:pPr>
            <w:r w:rsidRPr="00086293">
              <w:rPr>
                <w:rFonts w:ascii="Arial" w:hAnsi="Arial" w:cs="Arial"/>
                <w:b/>
                <w:bCs/>
              </w:rPr>
              <w:t>Criminal Code Act 1995 (Cth)</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6A53992" w14:textId="77777777" w:rsidR="00E30845" w:rsidRPr="00086293" w:rsidRDefault="00E30845" w:rsidP="00E30845">
            <w:pPr>
              <w:rPr>
                <w:rFonts w:ascii="Arial" w:hAnsi="Arial" w:cs="Arial"/>
              </w:rPr>
            </w:pPr>
            <w:r w:rsidRPr="00086293">
              <w:rPr>
                <w:rFonts w:ascii="Arial" w:hAnsi="Arial" w:cs="Arial"/>
              </w:rPr>
              <w:t>Contains cybercrime offences: hacking, malware, unauthorised access, denial-of-service, misuse of carriage services.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9E6310" w14:textId="77777777" w:rsidR="00E30845" w:rsidRPr="00086293" w:rsidRDefault="00E30845" w:rsidP="00E30845">
            <w:pPr>
              <w:rPr>
                <w:rFonts w:ascii="Arial" w:hAnsi="Arial" w:cs="Arial"/>
              </w:rPr>
            </w:pPr>
            <w:r w:rsidRPr="00086293">
              <w:rPr>
                <w:rFonts w:ascii="Arial" w:hAnsi="Arial" w:cs="Arial"/>
              </w:rPr>
              <w:t>State police prosecute offences like online harassment, fraud via phone/internet; AFP handles larger cybercrime operations.</w:t>
            </w:r>
          </w:p>
        </w:tc>
      </w:tr>
      <w:tr w:rsidR="00E30845" w:rsidRPr="00086293" w14:paraId="7C1E6381"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12A9C64F" w14:textId="77777777" w:rsidR="00E30845" w:rsidRPr="00086293" w:rsidRDefault="00E30845" w:rsidP="00E30845">
            <w:pPr>
              <w:rPr>
                <w:rFonts w:ascii="Arial" w:hAnsi="Arial" w:cs="Arial"/>
                <w:b/>
                <w:bCs/>
              </w:rPr>
            </w:pPr>
            <w:r w:rsidRPr="00086293">
              <w:rPr>
                <w:rFonts w:ascii="Arial" w:hAnsi="Arial" w:cs="Arial"/>
                <w:b/>
                <w:bCs/>
              </w:rPr>
              <w:t>Online Safety Act 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298032" w14:textId="77777777" w:rsidR="00E30845" w:rsidRPr="00086293" w:rsidRDefault="00E30845" w:rsidP="00E30845">
            <w:pPr>
              <w:rPr>
                <w:rFonts w:ascii="Arial" w:hAnsi="Arial" w:cs="Arial"/>
              </w:rPr>
            </w:pPr>
            <w:r w:rsidRPr="00086293">
              <w:rPr>
                <w:rFonts w:ascii="Arial" w:hAnsi="Arial" w:cs="Arial"/>
              </w:rPr>
              <w:t>Strengthens powers of the eSafety Commissioner to tackle harmful online content, cyberbullying, image-based abuse.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27BA2E" w14:textId="77777777" w:rsidR="00E30845" w:rsidRPr="00086293" w:rsidRDefault="00E30845" w:rsidP="00E30845">
            <w:pPr>
              <w:rPr>
                <w:rFonts w:ascii="Arial" w:hAnsi="Arial" w:cs="Arial"/>
              </w:rPr>
            </w:pPr>
            <w:r w:rsidRPr="00086293">
              <w:rPr>
                <w:rFonts w:ascii="Arial" w:hAnsi="Arial" w:cs="Arial"/>
              </w:rPr>
              <w:t>In 2024, the eSafety Commissioner issued removal notices to X (Twitter) for violent content.</w:t>
            </w:r>
          </w:p>
        </w:tc>
      </w:tr>
      <w:tr w:rsidR="00E30845" w:rsidRPr="00086293" w14:paraId="32D80F0F"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34DC422D" w14:textId="77777777" w:rsidR="00E30845" w:rsidRPr="00086293" w:rsidRDefault="00E30845" w:rsidP="00E30845">
            <w:pPr>
              <w:rPr>
                <w:rFonts w:ascii="Arial" w:hAnsi="Arial" w:cs="Arial"/>
                <w:b/>
                <w:bCs/>
              </w:rPr>
            </w:pPr>
            <w:r w:rsidRPr="00086293">
              <w:rPr>
                <w:rFonts w:ascii="Arial" w:hAnsi="Arial" w:cs="Arial"/>
                <w:b/>
                <w:bCs/>
              </w:rPr>
              <w:t>Cybercrime Act 2001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E38AFF" w14:textId="77777777" w:rsidR="00E30845" w:rsidRPr="00086293" w:rsidRDefault="00E30845" w:rsidP="00E30845">
            <w:pPr>
              <w:rPr>
                <w:rFonts w:ascii="Arial" w:hAnsi="Arial" w:cs="Arial"/>
              </w:rPr>
            </w:pPr>
            <w:r w:rsidRPr="00086293">
              <w:rPr>
                <w:rFonts w:ascii="Arial" w:hAnsi="Arial" w:cs="Arial"/>
              </w:rPr>
              <w:t>Amended the Criminal Code to align with international cybercrime standards (Budapest Convention).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581987" w14:textId="77777777" w:rsidR="00E30845" w:rsidRPr="00086293" w:rsidRDefault="00E30845" w:rsidP="00E30845">
            <w:pPr>
              <w:rPr>
                <w:rFonts w:ascii="Arial" w:hAnsi="Arial" w:cs="Arial"/>
              </w:rPr>
            </w:pPr>
            <w:r w:rsidRPr="00086293">
              <w:rPr>
                <w:rFonts w:ascii="Arial" w:hAnsi="Arial" w:cs="Arial"/>
              </w:rPr>
              <w:t>Enabled stronger prosecution of hacking and fraud; harmonised Australian law with international frameworks.</w:t>
            </w:r>
          </w:p>
        </w:tc>
      </w:tr>
      <w:tr w:rsidR="00E30845" w:rsidRPr="00086293" w14:paraId="6E3D5731"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25C68E93" w14:textId="77777777" w:rsidR="00E30845" w:rsidRPr="00086293" w:rsidRDefault="00E30845" w:rsidP="00E30845">
            <w:pPr>
              <w:rPr>
                <w:rFonts w:ascii="Arial" w:hAnsi="Arial" w:cs="Arial"/>
                <w:b/>
                <w:bCs/>
              </w:rPr>
            </w:pPr>
            <w:r w:rsidRPr="00086293">
              <w:rPr>
                <w:rFonts w:ascii="Arial" w:hAnsi="Arial" w:cs="Arial"/>
                <w:b/>
                <w:bCs/>
              </w:rPr>
              <w:t>Australian Communications and Media Authority Act 2005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58709C" w14:textId="77777777" w:rsidR="00E30845" w:rsidRPr="00086293" w:rsidRDefault="00E30845" w:rsidP="00E30845">
            <w:pPr>
              <w:rPr>
                <w:rFonts w:ascii="Arial" w:hAnsi="Arial" w:cs="Arial"/>
              </w:rPr>
            </w:pPr>
            <w:r w:rsidRPr="00086293">
              <w:rPr>
                <w:rFonts w:ascii="Arial" w:hAnsi="Arial" w:cs="Arial"/>
              </w:rPr>
              <w:t>Establishes ACMA; enforces rules on spam, scams, privacy breaches, and online safety compliance.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E4F2A4" w14:textId="77777777" w:rsidR="00E30845" w:rsidRPr="00086293" w:rsidRDefault="00E30845" w:rsidP="00E30845">
            <w:pPr>
              <w:rPr>
                <w:rFonts w:ascii="Arial" w:hAnsi="Arial" w:cs="Arial"/>
              </w:rPr>
            </w:pPr>
            <w:r w:rsidRPr="00086293">
              <w:rPr>
                <w:rFonts w:ascii="Arial" w:hAnsi="Arial" w:cs="Arial"/>
              </w:rPr>
              <w:t>ACMA fines telcos for failing to protect customers from SMS scams.</w:t>
            </w:r>
          </w:p>
        </w:tc>
      </w:tr>
      <w:tr w:rsidR="00E30845" w:rsidRPr="00086293" w14:paraId="53D89DD6"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4246D5EE" w14:textId="77777777" w:rsidR="00E30845" w:rsidRPr="00086293" w:rsidRDefault="00E30845" w:rsidP="00E30845">
            <w:pPr>
              <w:rPr>
                <w:rFonts w:ascii="Arial" w:hAnsi="Arial" w:cs="Arial"/>
                <w:b/>
                <w:bCs/>
              </w:rPr>
            </w:pPr>
            <w:r w:rsidRPr="00086293">
              <w:rPr>
                <w:rFonts w:ascii="Arial" w:hAnsi="Arial" w:cs="Arial"/>
                <w:b/>
                <w:bCs/>
              </w:rPr>
              <w:t>Data Availability and Transparency Act 2022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89F14A" w14:textId="77777777" w:rsidR="00E30845" w:rsidRPr="00086293" w:rsidRDefault="00E30845" w:rsidP="00E30845">
            <w:pPr>
              <w:rPr>
                <w:rFonts w:ascii="Arial" w:hAnsi="Arial" w:cs="Arial"/>
              </w:rPr>
            </w:pPr>
            <w:r w:rsidRPr="00086293">
              <w:rPr>
                <w:rFonts w:ascii="Arial" w:hAnsi="Arial" w:cs="Arial"/>
              </w:rPr>
              <w:t>Provides legal framework for secure data sharing between government agencies and authorised users.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FA77F3" w14:textId="77777777" w:rsidR="00E30845" w:rsidRPr="00086293" w:rsidRDefault="00E30845" w:rsidP="00E30845">
            <w:pPr>
              <w:rPr>
                <w:rFonts w:ascii="Arial" w:hAnsi="Arial" w:cs="Arial"/>
              </w:rPr>
            </w:pPr>
            <w:r w:rsidRPr="00086293">
              <w:rPr>
                <w:rFonts w:ascii="Arial" w:hAnsi="Arial" w:cs="Arial"/>
              </w:rPr>
              <w:t>Used in cross-agency projects like improving health, social services, and disaster response through shared datasets.</w:t>
            </w:r>
          </w:p>
        </w:tc>
      </w:tr>
      <w:tr w:rsidR="00E30845" w:rsidRPr="00086293" w14:paraId="12DE65AF"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382BFE9F" w14:textId="77777777" w:rsidR="00E30845" w:rsidRPr="00086293" w:rsidRDefault="00E30845" w:rsidP="00E30845">
            <w:pPr>
              <w:rPr>
                <w:rFonts w:ascii="Arial" w:hAnsi="Arial" w:cs="Arial"/>
                <w:b/>
                <w:bCs/>
              </w:rPr>
            </w:pPr>
            <w:r w:rsidRPr="00086293">
              <w:rPr>
                <w:rFonts w:ascii="Arial" w:hAnsi="Arial" w:cs="Arial"/>
                <w:b/>
                <w:bCs/>
              </w:rPr>
              <w:t>Spam Act 2003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D3F87A" w14:textId="77777777" w:rsidR="00E30845" w:rsidRPr="00086293" w:rsidRDefault="00E30845" w:rsidP="00E30845">
            <w:pPr>
              <w:rPr>
                <w:rFonts w:ascii="Arial" w:hAnsi="Arial" w:cs="Arial"/>
              </w:rPr>
            </w:pPr>
            <w:r w:rsidRPr="00086293">
              <w:rPr>
                <w:rFonts w:ascii="Arial" w:hAnsi="Arial" w:cs="Arial"/>
              </w:rPr>
              <w:t xml:space="preserve">Regulates unsolicited commercial electronic messages (email, SMS, instant messaging). </w:t>
            </w:r>
            <w:r w:rsidRPr="00086293">
              <w:rPr>
                <w:rFonts w:ascii="Arial" w:hAnsi="Arial" w:cs="Arial"/>
              </w:rPr>
              <w:lastRenderedPageBreak/>
              <w:t>Requires consent, accurate sender identification, and opt-out facility.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F00437" w14:textId="77777777" w:rsidR="00E30845" w:rsidRPr="00086293" w:rsidRDefault="00E30845" w:rsidP="00E30845">
            <w:pPr>
              <w:rPr>
                <w:rFonts w:ascii="Arial" w:hAnsi="Arial" w:cs="Arial"/>
              </w:rPr>
            </w:pPr>
            <w:r w:rsidRPr="00086293">
              <w:rPr>
                <w:rFonts w:ascii="Arial" w:hAnsi="Arial" w:cs="Arial"/>
              </w:rPr>
              <w:lastRenderedPageBreak/>
              <w:t xml:space="preserve">ACMA enforces compliance: </w:t>
            </w:r>
            <w:r w:rsidRPr="00086293">
              <w:rPr>
                <w:rFonts w:ascii="Arial" w:hAnsi="Arial" w:cs="Arial"/>
              </w:rPr>
              <w:br/>
            </w:r>
            <w:r w:rsidRPr="00086293">
              <w:rPr>
                <w:rFonts w:ascii="Arial" w:hAnsi="Arial" w:cs="Arial"/>
              </w:rPr>
              <w:lastRenderedPageBreak/>
              <w:t>- Optus was fined $504,000 in 2022 for breaching spam rules by sending marketing emails/SMS without proper consent.</w:t>
            </w:r>
          </w:p>
        </w:tc>
      </w:tr>
      <w:tr w:rsidR="00E30845" w:rsidRPr="00086293" w14:paraId="16F3AA7B"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78EFAAC9" w14:textId="77777777" w:rsidR="00E30845" w:rsidRPr="00086293" w:rsidRDefault="00E30845" w:rsidP="00E30845">
            <w:pPr>
              <w:rPr>
                <w:rFonts w:ascii="Arial" w:hAnsi="Arial" w:cs="Arial"/>
                <w:b/>
                <w:bCs/>
              </w:rPr>
            </w:pPr>
            <w:r w:rsidRPr="00086293">
              <w:rPr>
                <w:rFonts w:ascii="Arial" w:hAnsi="Arial" w:cs="Arial"/>
                <w:b/>
                <w:bCs/>
              </w:rPr>
              <w:lastRenderedPageBreak/>
              <w:t>Electronic Transactions Act 1999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77DFEA" w14:textId="77777777" w:rsidR="00E30845" w:rsidRPr="00086293" w:rsidRDefault="00E30845" w:rsidP="00E30845">
            <w:pPr>
              <w:rPr>
                <w:rFonts w:ascii="Arial" w:hAnsi="Arial" w:cs="Arial"/>
              </w:rPr>
            </w:pPr>
            <w:r w:rsidRPr="00086293">
              <w:rPr>
                <w:rFonts w:ascii="Arial" w:hAnsi="Arial" w:cs="Arial"/>
              </w:rPr>
              <w:t>Gives legal recognition to electronic communications, contracts, and digital signatures; ensures online transactions have the same validity as paper-based ones.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D5CBAF" w14:textId="77777777" w:rsidR="00E30845" w:rsidRPr="00086293" w:rsidRDefault="00E30845" w:rsidP="00E30845">
            <w:pPr>
              <w:rPr>
                <w:rFonts w:ascii="Arial" w:hAnsi="Arial" w:cs="Arial"/>
              </w:rPr>
            </w:pPr>
            <w:r w:rsidRPr="00086293">
              <w:rPr>
                <w:rFonts w:ascii="Arial" w:hAnsi="Arial" w:cs="Arial"/>
              </w:rPr>
              <w:t>Widely used in e-commerce and government services; enabled legally binding e-signatures and digital contracts during COVID-19 remote operations.</w:t>
            </w:r>
          </w:p>
        </w:tc>
      </w:tr>
    </w:tbl>
    <w:p w14:paraId="466ACE32" w14:textId="77777777" w:rsidR="00E30845" w:rsidRPr="00086293" w:rsidRDefault="00E30845" w:rsidP="00123C81">
      <w:pPr>
        <w:rPr>
          <w:rFonts w:ascii="Arial" w:hAnsi="Arial" w:cs="Arial"/>
        </w:rPr>
      </w:pPr>
    </w:p>
    <w:p w14:paraId="10B6FDCC" w14:textId="77777777" w:rsidR="00123C81" w:rsidRPr="00086293" w:rsidRDefault="00123C81" w:rsidP="00123C81">
      <w:pPr>
        <w:rPr>
          <w:rFonts w:ascii="Arial" w:hAnsi="Arial" w:cs="Arial"/>
        </w:rPr>
      </w:pPr>
    </w:p>
    <w:p w14:paraId="62C85411" w14:textId="77777777" w:rsidR="00123C81" w:rsidRPr="00086293" w:rsidRDefault="00123C81" w:rsidP="00123C81">
      <w:pPr>
        <w:rPr>
          <w:rFonts w:ascii="Arial" w:hAnsi="Arial" w:cs="Arial"/>
        </w:rPr>
      </w:pPr>
    </w:p>
    <w:p w14:paraId="5B80C652" w14:textId="0A324665" w:rsidR="00123C81" w:rsidRPr="00086293" w:rsidRDefault="00123C81" w:rsidP="00123C81">
      <w:pPr>
        <w:pStyle w:val="Heading2"/>
      </w:pPr>
      <w:r w:rsidRPr="00086293">
        <w:t>4.3 Identify the regulators of the networking industry.</w:t>
      </w:r>
    </w:p>
    <w:p w14:paraId="63EF6014" w14:textId="414ADED7" w:rsidR="004106C8" w:rsidRPr="00086293" w:rsidRDefault="004106C8" w:rsidP="004106C8">
      <w:pPr>
        <w:rPr>
          <w:rFonts w:ascii="Arial" w:eastAsia="Arial" w:hAnsi="Arial" w:cs="Arial"/>
          <w:color w:val="117A02" w:themeColor="accent1" w:themeShade="BF"/>
          <w:sz w:val="28"/>
          <w:szCs w:val="28"/>
        </w:rPr>
      </w:pPr>
    </w:p>
    <w:p w14:paraId="1AA87434" w14:textId="77777777" w:rsidR="004106C8" w:rsidRPr="00086293" w:rsidRDefault="004106C8" w:rsidP="004106C8">
      <w:pPr>
        <w:rPr>
          <w:rFonts w:ascii="Arial" w:hAnsi="Arial" w:cs="Arial"/>
        </w:rPr>
      </w:pPr>
      <w:r w:rsidRPr="00086293">
        <w:rPr>
          <w:rFonts w:ascii="Arial" w:hAnsi="Arial" w:cs="Arial"/>
        </w:rPr>
        <w:t>1. The Australian Communications and Media Authority (ACMA)</w:t>
      </w:r>
    </w:p>
    <w:p w14:paraId="4B7E9C99" w14:textId="77777777" w:rsidR="004106C8" w:rsidRPr="00086293" w:rsidRDefault="004106C8" w:rsidP="004106C8">
      <w:pPr>
        <w:rPr>
          <w:rFonts w:ascii="Arial" w:hAnsi="Arial" w:cs="Arial"/>
        </w:rPr>
      </w:pPr>
      <w:r w:rsidRPr="00086293">
        <w:rPr>
          <w:rFonts w:ascii="Arial" w:hAnsi="Arial" w:cs="Arial"/>
        </w:rPr>
        <w:t>2. The Australian Competition and Consumer Commission (ACCC)</w:t>
      </w:r>
    </w:p>
    <w:p w14:paraId="534A6BC7" w14:textId="77777777" w:rsidR="004106C8" w:rsidRPr="00086293" w:rsidRDefault="004106C8" w:rsidP="004106C8">
      <w:pPr>
        <w:rPr>
          <w:rFonts w:ascii="Arial" w:hAnsi="Arial" w:cs="Arial"/>
        </w:rPr>
      </w:pPr>
      <w:r w:rsidRPr="00086293">
        <w:rPr>
          <w:rFonts w:ascii="Arial" w:hAnsi="Arial" w:cs="Arial"/>
        </w:rPr>
        <w:t>3. The Office of the Australian Information Commissioner (OAIC)</w:t>
      </w:r>
    </w:p>
    <w:p w14:paraId="69159518" w14:textId="77777777" w:rsidR="004106C8" w:rsidRPr="00086293" w:rsidRDefault="004106C8" w:rsidP="004106C8">
      <w:pPr>
        <w:rPr>
          <w:rFonts w:ascii="Arial" w:hAnsi="Arial" w:cs="Arial"/>
        </w:rPr>
      </w:pPr>
      <w:r w:rsidRPr="00086293">
        <w:rPr>
          <w:rFonts w:ascii="Arial" w:hAnsi="Arial" w:cs="Arial"/>
        </w:rPr>
        <w:t>4. Australian Security Intelligence Organisation (ASIO)</w:t>
      </w:r>
    </w:p>
    <w:p w14:paraId="7C05B7D2" w14:textId="77777777" w:rsidR="004106C8" w:rsidRPr="00086293" w:rsidRDefault="004106C8" w:rsidP="004106C8">
      <w:pPr>
        <w:rPr>
          <w:rFonts w:ascii="Arial" w:hAnsi="Arial" w:cs="Arial"/>
        </w:rPr>
      </w:pPr>
    </w:p>
    <w:p w14:paraId="0269E808" w14:textId="77777777" w:rsidR="004106C8" w:rsidRPr="00086293" w:rsidRDefault="004106C8" w:rsidP="004106C8">
      <w:pPr>
        <w:rPr>
          <w:rFonts w:ascii="Arial" w:hAnsi="Arial" w:cs="Arial"/>
        </w:rPr>
      </w:pPr>
    </w:p>
    <w:p w14:paraId="33F72E62" w14:textId="77777777" w:rsidR="004106C8" w:rsidRPr="00086293" w:rsidRDefault="004106C8" w:rsidP="004106C8">
      <w:pPr>
        <w:rPr>
          <w:rFonts w:ascii="Arial" w:hAnsi="Arial" w:cs="Arial"/>
        </w:rPr>
      </w:pPr>
    </w:p>
    <w:p w14:paraId="57D5A44C" w14:textId="4B2579A2" w:rsidR="004106C8" w:rsidRPr="00086293" w:rsidRDefault="004106C8" w:rsidP="004106C8">
      <w:pPr>
        <w:rPr>
          <w:rFonts w:ascii="Arial" w:hAnsi="Arial" w:cs="Arial"/>
        </w:rPr>
      </w:pPr>
      <w:hyperlink r:id="rId13" w:anchor=":~:text=The%20Australian%20Communications%20and%20Media,communications%20and%20certain%20online%20content" w:history="1">
        <w:r w:rsidRPr="00086293">
          <w:rPr>
            <w:rStyle w:val="Hyperlink"/>
            <w:rFonts w:ascii="Arial" w:hAnsi="Arial" w:cs="Arial"/>
          </w:rPr>
          <w:t>https://www.directory.gov.au/portfolios/infrastructure-transport-regional-development-communications-and-arts/australian-communications-and-media-authority#:~:text=The%20Australian%20Communications%20and%20Media,communications%20and%20certain%20online%20content</w:t>
        </w:r>
      </w:hyperlink>
      <w:r w:rsidRPr="00086293">
        <w:rPr>
          <w:rFonts w:ascii="Arial" w:hAnsi="Arial" w:cs="Arial"/>
        </w:rPr>
        <w:t>.</w:t>
      </w:r>
    </w:p>
    <w:p w14:paraId="4C762BD0" w14:textId="74405C6E" w:rsidR="007D25C5" w:rsidRPr="00086293" w:rsidRDefault="007D25C5" w:rsidP="004106C8">
      <w:pPr>
        <w:rPr>
          <w:rFonts w:ascii="Arial" w:hAnsi="Arial" w:cs="Arial"/>
        </w:rPr>
      </w:pPr>
      <w:r w:rsidRPr="00086293">
        <w:rPr>
          <w:rFonts w:ascii="Arial" w:hAnsi="Arial" w:cs="Arial"/>
        </w:rPr>
        <w:t xml:space="preserve"> </w:t>
      </w:r>
    </w:p>
    <w:tbl>
      <w:tblPr>
        <w:tblW w:w="0" w:type="dxa"/>
        <w:tblCellMar>
          <w:left w:w="0" w:type="dxa"/>
          <w:right w:w="0" w:type="dxa"/>
        </w:tblCellMar>
        <w:tblLook w:val="04A0" w:firstRow="1" w:lastRow="0" w:firstColumn="1" w:lastColumn="0" w:noHBand="0" w:noVBand="1"/>
      </w:tblPr>
      <w:tblGrid>
        <w:gridCol w:w="2591"/>
        <w:gridCol w:w="3379"/>
        <w:gridCol w:w="3807"/>
        <w:gridCol w:w="3985"/>
        <w:gridCol w:w="3055"/>
        <w:gridCol w:w="3270"/>
        <w:gridCol w:w="4032"/>
        <w:gridCol w:w="3187"/>
      </w:tblGrid>
      <w:tr w:rsidR="00CA1492" w:rsidRPr="00086293" w14:paraId="7E87A20F" w14:textId="77777777">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178F60CD" w14:textId="77777777" w:rsidR="00CA1492" w:rsidRPr="00086293" w:rsidRDefault="00CA1492" w:rsidP="00CA1492">
            <w:pPr>
              <w:rPr>
                <w:rFonts w:ascii="Arial" w:hAnsi="Arial" w:cs="Arial"/>
                <w:b/>
                <w:bCs/>
              </w:rPr>
            </w:pPr>
            <w:r w:rsidRPr="00086293">
              <w:rPr>
                <w:rFonts w:ascii="Arial" w:hAnsi="Arial" w:cs="Arial"/>
                <w:b/>
                <w:bCs/>
              </w:rPr>
              <w:t>Regulator</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728164F9" w14:textId="77777777" w:rsidR="00CA1492" w:rsidRPr="00086293" w:rsidRDefault="00CA1492" w:rsidP="00CA1492">
            <w:pPr>
              <w:rPr>
                <w:rFonts w:ascii="Arial" w:hAnsi="Arial" w:cs="Arial"/>
                <w:b/>
                <w:bCs/>
              </w:rPr>
            </w:pPr>
            <w:r w:rsidRPr="00086293">
              <w:rPr>
                <w:rFonts w:ascii="Arial" w:hAnsi="Arial" w:cs="Arial"/>
                <w:b/>
                <w:bCs/>
              </w:rPr>
              <w:t>Summary</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690B8FC1" w14:textId="77777777" w:rsidR="00CA1492" w:rsidRPr="00086293" w:rsidRDefault="00CA1492" w:rsidP="00CA1492">
            <w:pPr>
              <w:rPr>
                <w:rFonts w:ascii="Arial" w:hAnsi="Arial" w:cs="Arial"/>
                <w:b/>
                <w:bCs/>
              </w:rPr>
            </w:pPr>
            <w:r w:rsidRPr="00086293">
              <w:rPr>
                <w:rFonts w:ascii="Arial" w:hAnsi="Arial" w:cs="Arial"/>
                <w:b/>
                <w:bCs/>
              </w:rPr>
              <w:t>Main functions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7B96BD25" w14:textId="77777777" w:rsidR="00CA1492" w:rsidRPr="00086293" w:rsidRDefault="00CA1492" w:rsidP="00CA1492">
            <w:pPr>
              <w:rPr>
                <w:rFonts w:ascii="Arial" w:hAnsi="Arial" w:cs="Arial"/>
                <w:b/>
                <w:bCs/>
              </w:rPr>
            </w:pPr>
            <w:r w:rsidRPr="00086293">
              <w:rPr>
                <w:rFonts w:ascii="Arial" w:hAnsi="Arial" w:cs="Arial"/>
                <w:b/>
                <w:bCs/>
              </w:rPr>
              <w:t>Legal Basis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60E33312" w14:textId="77777777" w:rsidR="00CA1492" w:rsidRPr="00086293" w:rsidRDefault="00CA1492" w:rsidP="00CA1492">
            <w:pPr>
              <w:rPr>
                <w:rFonts w:ascii="Arial" w:hAnsi="Arial" w:cs="Arial"/>
                <w:b/>
                <w:bCs/>
              </w:rPr>
            </w:pPr>
            <w:r w:rsidRPr="00086293">
              <w:rPr>
                <w:rFonts w:ascii="Arial" w:hAnsi="Arial" w:cs="Arial"/>
                <w:b/>
                <w:bCs/>
              </w:rPr>
              <w:t>Legal Actions / Enforcement Powers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072B127C" w14:textId="77777777" w:rsidR="00CA1492" w:rsidRPr="00086293" w:rsidRDefault="00CA1492" w:rsidP="00CA1492">
            <w:pPr>
              <w:rPr>
                <w:rFonts w:ascii="Arial" w:hAnsi="Arial" w:cs="Arial"/>
                <w:b/>
                <w:bCs/>
              </w:rPr>
            </w:pPr>
            <w:r w:rsidRPr="00086293">
              <w:rPr>
                <w:rFonts w:ascii="Arial" w:hAnsi="Arial" w:cs="Arial"/>
                <w:b/>
                <w:bCs/>
              </w:rPr>
              <w:t>Examples of Enforcement</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1A70C377" w14:textId="77777777" w:rsidR="00CA1492" w:rsidRPr="00086293" w:rsidRDefault="00CA1492" w:rsidP="00CA1492">
            <w:pPr>
              <w:rPr>
                <w:rFonts w:ascii="Arial" w:hAnsi="Arial" w:cs="Arial"/>
                <w:b/>
                <w:bCs/>
              </w:rPr>
            </w:pPr>
            <w:r w:rsidRPr="00086293">
              <w:rPr>
                <w:rFonts w:ascii="Arial" w:hAnsi="Arial" w:cs="Arial"/>
                <w:b/>
                <w:bCs/>
              </w:rPr>
              <w:t>Collaborator(s)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73076A58" w14:textId="77777777" w:rsidR="00CA1492" w:rsidRPr="00086293" w:rsidRDefault="00CA1492" w:rsidP="00CA1492">
            <w:pPr>
              <w:rPr>
                <w:rFonts w:ascii="Arial" w:hAnsi="Arial" w:cs="Arial"/>
                <w:b/>
                <w:bCs/>
              </w:rPr>
            </w:pPr>
            <w:r w:rsidRPr="00086293">
              <w:rPr>
                <w:rFonts w:ascii="Arial" w:hAnsi="Arial" w:cs="Arial"/>
                <w:b/>
                <w:bCs/>
              </w:rPr>
              <w:t>Type of Collaboration</w:t>
            </w:r>
          </w:p>
        </w:tc>
      </w:tr>
      <w:tr w:rsidR="00CA1492" w:rsidRPr="00086293" w14:paraId="51263E3D"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34610F76" w14:textId="77777777" w:rsidR="00CA1492" w:rsidRPr="00086293" w:rsidRDefault="00CA1492" w:rsidP="00CA1492">
            <w:pPr>
              <w:rPr>
                <w:rFonts w:ascii="Arial" w:hAnsi="Arial" w:cs="Arial"/>
                <w:b/>
                <w:bCs/>
              </w:rPr>
            </w:pPr>
            <w:r w:rsidRPr="00086293">
              <w:rPr>
                <w:rFonts w:ascii="Arial" w:hAnsi="Arial" w:cs="Arial"/>
                <w:b/>
                <w:bCs/>
              </w:rPr>
              <w:t>Australian Communications and Media Authority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A9AFF02" w14:textId="77777777" w:rsidR="00CA1492" w:rsidRPr="00086293" w:rsidRDefault="00CA1492" w:rsidP="00CA1492">
            <w:pPr>
              <w:rPr>
                <w:rFonts w:ascii="Arial" w:hAnsi="Arial" w:cs="Arial"/>
              </w:rPr>
            </w:pPr>
            <w:r w:rsidRPr="00086293">
              <w:rPr>
                <w:rFonts w:ascii="Arial" w:hAnsi="Arial" w:cs="Arial"/>
              </w:rPr>
              <w:t>Independent statutory authority regulating communications and media, including telecommunications.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7359ABB" w14:textId="77777777" w:rsidR="00CA1492" w:rsidRPr="00086293" w:rsidRDefault="00CA1492" w:rsidP="00CA1492">
            <w:pPr>
              <w:rPr>
                <w:rFonts w:ascii="Arial" w:hAnsi="Arial" w:cs="Arial"/>
              </w:rPr>
            </w:pPr>
            <w:r w:rsidRPr="00086293">
              <w:rPr>
                <w:rFonts w:ascii="Arial" w:hAnsi="Arial" w:cs="Arial"/>
              </w:rPr>
              <w:t>Issues carrier and service provider licences; manages spectrum; enforces spam and Do Not Call laws; ensures telco compliance with service standards.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E7E022D" w14:textId="77777777" w:rsidR="00CA1492" w:rsidRPr="00086293" w:rsidRDefault="00CA1492" w:rsidP="00CA1492">
            <w:pPr>
              <w:rPr>
                <w:rFonts w:ascii="Arial" w:hAnsi="Arial" w:cs="Arial"/>
              </w:rPr>
            </w:pPr>
            <w:r w:rsidRPr="00086293">
              <w:rPr>
                <w:rFonts w:ascii="Arial" w:hAnsi="Arial" w:cs="Arial"/>
              </w:rPr>
              <w:t>Telecommunications Act 1997, Radiocommunications Act 1992, Broadcasting Services Act 1992, Spam Act 2003.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3265722" w14:textId="77777777" w:rsidR="00CA1492" w:rsidRPr="00086293" w:rsidRDefault="00CA1492" w:rsidP="00CA1492">
            <w:pPr>
              <w:rPr>
                <w:rFonts w:ascii="Arial" w:hAnsi="Arial" w:cs="Arial"/>
              </w:rPr>
            </w:pPr>
            <w:r w:rsidRPr="00086293">
              <w:rPr>
                <w:rFonts w:ascii="Arial" w:hAnsi="Arial" w:cs="Arial"/>
              </w:rPr>
              <w:t>Can issue infringement notices, financial penalties, suspend or cancel licences, and impose enforceable undertakings.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0E98494" w14:textId="77777777" w:rsidR="00CA1492" w:rsidRPr="00086293" w:rsidRDefault="00CA1492" w:rsidP="00CA1492">
            <w:pPr>
              <w:rPr>
                <w:rFonts w:ascii="Arial" w:hAnsi="Arial" w:cs="Arial"/>
              </w:rPr>
            </w:pPr>
            <w:r w:rsidRPr="00086293">
              <w:rPr>
                <w:rFonts w:ascii="Arial" w:hAnsi="Arial" w:cs="Arial"/>
              </w:rPr>
              <w:t>2022: Optus fined $504,000 for breaching Spam Act 2003 rules by sending marketing without proper consent.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98FD158" w14:textId="77777777" w:rsidR="00CA1492" w:rsidRPr="00086293" w:rsidRDefault="00CA1492" w:rsidP="00CA1492">
            <w:pPr>
              <w:rPr>
                <w:rFonts w:ascii="Arial" w:hAnsi="Arial" w:cs="Arial"/>
              </w:rPr>
            </w:pPr>
            <w:r w:rsidRPr="00086293">
              <w:rPr>
                <w:rFonts w:ascii="Arial" w:hAnsi="Arial" w:cs="Arial"/>
              </w:rPr>
              <w:t>ACCC, OAIC, eSafety Commissioner, Department of Infrastructure, Transport, Regional Development, Communications and the Arts; international regulators such as Ofcom (UK) and FCC (USA).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D5F03EB" w14:textId="77777777" w:rsidR="00CA1492" w:rsidRPr="00086293" w:rsidRDefault="00CA1492" w:rsidP="00CA1492">
            <w:pPr>
              <w:rPr>
                <w:rFonts w:ascii="Arial" w:hAnsi="Arial" w:cs="Arial"/>
              </w:rPr>
            </w:pPr>
            <w:r w:rsidRPr="00086293">
              <w:rPr>
                <w:rFonts w:ascii="Arial" w:hAnsi="Arial" w:cs="Arial"/>
              </w:rPr>
              <w:t>Co-regulation of telecoms and media, spectrum management, consumer protection, spam enforcement, and international regulatory alignment.</w:t>
            </w:r>
          </w:p>
        </w:tc>
      </w:tr>
      <w:tr w:rsidR="00CA1492" w:rsidRPr="00086293" w14:paraId="1DAB60A1"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9900"/>
            <w:tcMar>
              <w:top w:w="0" w:type="dxa"/>
              <w:left w:w="45" w:type="dxa"/>
              <w:bottom w:w="0" w:type="dxa"/>
              <w:right w:w="45" w:type="dxa"/>
            </w:tcMar>
            <w:hideMark/>
          </w:tcPr>
          <w:p w14:paraId="432E8B44" w14:textId="77777777" w:rsidR="00CA1492" w:rsidRPr="00086293" w:rsidRDefault="00CA1492" w:rsidP="00CA1492">
            <w:pPr>
              <w:rPr>
                <w:rFonts w:ascii="Arial" w:hAnsi="Arial" w:cs="Arial"/>
                <w:b/>
                <w:bCs/>
              </w:rPr>
            </w:pPr>
            <w:r w:rsidRPr="00086293">
              <w:rPr>
                <w:rFonts w:ascii="Arial" w:hAnsi="Arial" w:cs="Arial"/>
                <w:b/>
                <w:bCs/>
              </w:rPr>
              <w:t>Australian Competition and Consumer Commission (ACCC)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BA19920" w14:textId="77777777" w:rsidR="00CA1492" w:rsidRPr="00086293" w:rsidRDefault="00CA1492" w:rsidP="00CA1492">
            <w:pPr>
              <w:rPr>
                <w:rFonts w:ascii="Arial" w:hAnsi="Arial" w:cs="Arial"/>
              </w:rPr>
            </w:pPr>
            <w:r w:rsidRPr="00086293">
              <w:rPr>
                <w:rFonts w:ascii="Arial" w:hAnsi="Arial" w:cs="Arial"/>
              </w:rPr>
              <w:t>National competition and consumer regulator overseeing fair trading in telecommunications markets.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17C5045" w14:textId="77777777" w:rsidR="00CA1492" w:rsidRPr="00086293" w:rsidRDefault="00CA1492" w:rsidP="00CA1492">
            <w:pPr>
              <w:rPr>
                <w:rFonts w:ascii="Arial" w:hAnsi="Arial" w:cs="Arial"/>
              </w:rPr>
            </w:pPr>
            <w:r w:rsidRPr="00086293">
              <w:rPr>
                <w:rFonts w:ascii="Arial" w:hAnsi="Arial" w:cs="Arial"/>
              </w:rPr>
              <w:t>Promotes competition; enforces consumer protection; monitors telco pricing; regulates wholesale access to networks (e.g., NBN).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920336C" w14:textId="77777777" w:rsidR="00CA1492" w:rsidRPr="00086293" w:rsidRDefault="00CA1492" w:rsidP="00CA1492">
            <w:pPr>
              <w:rPr>
                <w:rFonts w:ascii="Arial" w:hAnsi="Arial" w:cs="Arial"/>
              </w:rPr>
            </w:pPr>
            <w:r w:rsidRPr="00086293">
              <w:rPr>
                <w:rFonts w:ascii="Arial" w:hAnsi="Arial" w:cs="Arial"/>
              </w:rPr>
              <w:t>Competition and Consumer Act 2010, Telecommunications Act 1997.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3616D3C" w14:textId="77777777" w:rsidR="00CA1492" w:rsidRPr="00086293" w:rsidRDefault="00CA1492" w:rsidP="00CA1492">
            <w:pPr>
              <w:rPr>
                <w:rFonts w:ascii="Arial" w:hAnsi="Arial" w:cs="Arial"/>
              </w:rPr>
            </w:pPr>
            <w:r w:rsidRPr="00086293">
              <w:rPr>
                <w:rFonts w:ascii="Arial" w:hAnsi="Arial" w:cs="Arial"/>
              </w:rPr>
              <w:t>Can launch court proceedings, impose penalties, accept undertakings, and enforce consumer redress.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BA856B6" w14:textId="77777777" w:rsidR="00CA1492" w:rsidRPr="00086293" w:rsidRDefault="00CA1492" w:rsidP="00CA1492">
            <w:pPr>
              <w:rPr>
                <w:rFonts w:ascii="Arial" w:hAnsi="Arial" w:cs="Arial"/>
              </w:rPr>
            </w:pPr>
            <w:r w:rsidRPr="00086293">
              <w:rPr>
                <w:rFonts w:ascii="Arial" w:hAnsi="Arial" w:cs="Arial"/>
              </w:rPr>
              <w:t>2021: Telstra fined $50m for unconscionable conduct towards Indigenous customers in telco sales.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4135BA2" w14:textId="77777777" w:rsidR="00CA1492" w:rsidRPr="00086293" w:rsidRDefault="00CA1492" w:rsidP="00CA1492">
            <w:pPr>
              <w:rPr>
                <w:rFonts w:ascii="Arial" w:hAnsi="Arial" w:cs="Arial"/>
              </w:rPr>
            </w:pPr>
            <w:r w:rsidRPr="00086293">
              <w:rPr>
                <w:rFonts w:ascii="Arial" w:hAnsi="Arial" w:cs="Arial"/>
              </w:rPr>
              <w:t>ACMA, OAIC, Treasury, Federal Court of Australia, Consumer advocacy groups; international: OECD Competition Committee, International Competition Network (ICN).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5AF35B0" w14:textId="77777777" w:rsidR="00CA1492" w:rsidRPr="00086293" w:rsidRDefault="00CA1492" w:rsidP="00CA1492">
            <w:pPr>
              <w:rPr>
                <w:rFonts w:ascii="Arial" w:hAnsi="Arial" w:cs="Arial"/>
              </w:rPr>
            </w:pPr>
            <w:r w:rsidRPr="00086293">
              <w:rPr>
                <w:rFonts w:ascii="Arial" w:hAnsi="Arial" w:cs="Arial"/>
              </w:rPr>
              <w:t>Market regulation, consumer law enforcement, litigation, and international competition policy cooperation.</w:t>
            </w:r>
          </w:p>
        </w:tc>
      </w:tr>
      <w:tr w:rsidR="00CA1492" w:rsidRPr="00086293" w14:paraId="43E98DCC"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52A6C319" w14:textId="77777777" w:rsidR="00CA1492" w:rsidRPr="00086293" w:rsidRDefault="00CA1492" w:rsidP="00CA1492">
            <w:pPr>
              <w:rPr>
                <w:rFonts w:ascii="Arial" w:hAnsi="Arial" w:cs="Arial"/>
                <w:b/>
                <w:bCs/>
              </w:rPr>
            </w:pPr>
            <w:r w:rsidRPr="00086293">
              <w:rPr>
                <w:rFonts w:ascii="Arial" w:hAnsi="Arial" w:cs="Arial"/>
                <w:b/>
                <w:bCs/>
              </w:rPr>
              <w:t>Attorney-General's Department (AGD)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2978247" w14:textId="77777777" w:rsidR="00CA1492" w:rsidRPr="00086293" w:rsidRDefault="00CA1492" w:rsidP="00CA1492">
            <w:pPr>
              <w:rPr>
                <w:rFonts w:ascii="Arial" w:hAnsi="Arial" w:cs="Arial"/>
              </w:rPr>
            </w:pPr>
            <w:r w:rsidRPr="00086293">
              <w:rPr>
                <w:rFonts w:ascii="Arial" w:hAnsi="Arial" w:cs="Arial"/>
              </w:rPr>
              <w:t xml:space="preserve">Policy agency advising on national security, law enforcement, and </w:t>
            </w:r>
            <w:r w:rsidRPr="00086293">
              <w:rPr>
                <w:rFonts w:ascii="Arial" w:hAnsi="Arial" w:cs="Arial"/>
              </w:rPr>
              <w:lastRenderedPageBreak/>
              <w:t>telecommunications interception frameworks.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96DC2B8" w14:textId="77777777" w:rsidR="00CA1492" w:rsidRPr="00086293" w:rsidRDefault="00CA1492" w:rsidP="00CA1492">
            <w:pPr>
              <w:rPr>
                <w:rFonts w:ascii="Arial" w:hAnsi="Arial" w:cs="Arial"/>
              </w:rPr>
            </w:pPr>
            <w:r w:rsidRPr="00086293">
              <w:rPr>
                <w:rFonts w:ascii="Arial" w:hAnsi="Arial" w:cs="Arial"/>
              </w:rPr>
              <w:lastRenderedPageBreak/>
              <w:t>Develops and administers laws on lawful interception, surveillance, and data retention.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2D40062" w14:textId="77777777" w:rsidR="00CA1492" w:rsidRPr="00086293" w:rsidRDefault="00CA1492" w:rsidP="00CA1492">
            <w:pPr>
              <w:rPr>
                <w:rFonts w:ascii="Arial" w:hAnsi="Arial" w:cs="Arial"/>
              </w:rPr>
            </w:pPr>
            <w:r w:rsidRPr="00086293">
              <w:rPr>
                <w:rFonts w:ascii="Arial" w:hAnsi="Arial" w:cs="Arial"/>
              </w:rPr>
              <w:t xml:space="preserve">Telecommunications (Interception and Access) Act 1979, Telecommunications and Other </w:t>
            </w:r>
            <w:r w:rsidRPr="00086293">
              <w:rPr>
                <w:rFonts w:ascii="Arial" w:hAnsi="Arial" w:cs="Arial"/>
              </w:rPr>
              <w:lastRenderedPageBreak/>
              <w:t>Legislation Amendment (Assistance and Access) Act 2018.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A1F8CE4" w14:textId="77777777" w:rsidR="00CA1492" w:rsidRPr="00086293" w:rsidRDefault="00CA1492" w:rsidP="00CA1492">
            <w:pPr>
              <w:rPr>
                <w:rFonts w:ascii="Arial" w:hAnsi="Arial" w:cs="Arial"/>
              </w:rPr>
            </w:pPr>
            <w:r w:rsidRPr="00086293">
              <w:rPr>
                <w:rFonts w:ascii="Arial" w:hAnsi="Arial" w:cs="Arial"/>
              </w:rPr>
              <w:lastRenderedPageBreak/>
              <w:t xml:space="preserve">Sets policy direction; authorises frameworks for interception; provides </w:t>
            </w:r>
            <w:r w:rsidRPr="00086293">
              <w:rPr>
                <w:rFonts w:ascii="Arial" w:hAnsi="Arial" w:cs="Arial"/>
              </w:rPr>
              <w:lastRenderedPageBreak/>
              <w:t>oversight mechanisms.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76CBFC5" w14:textId="77777777" w:rsidR="00CA1492" w:rsidRPr="00086293" w:rsidRDefault="00CA1492" w:rsidP="00CA1492">
            <w:pPr>
              <w:rPr>
                <w:rFonts w:ascii="Arial" w:hAnsi="Arial" w:cs="Arial"/>
              </w:rPr>
            </w:pPr>
            <w:r w:rsidRPr="00086293">
              <w:rPr>
                <w:rFonts w:ascii="Arial" w:hAnsi="Arial" w:cs="Arial"/>
              </w:rPr>
              <w:lastRenderedPageBreak/>
              <w:t xml:space="preserve">Drafted and oversaw implementation of the 2018 Assistance and Access Act </w:t>
            </w:r>
            <w:r w:rsidRPr="00086293">
              <w:rPr>
                <w:rFonts w:ascii="Arial" w:hAnsi="Arial" w:cs="Arial"/>
              </w:rPr>
              <w:lastRenderedPageBreak/>
              <w:t>(“anti-encryption” laws).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205EA92" w14:textId="77777777" w:rsidR="00CA1492" w:rsidRPr="00086293" w:rsidRDefault="00CA1492" w:rsidP="00CA1492">
            <w:pPr>
              <w:rPr>
                <w:rFonts w:ascii="Arial" w:hAnsi="Arial" w:cs="Arial"/>
              </w:rPr>
            </w:pPr>
            <w:r w:rsidRPr="00086293">
              <w:rPr>
                <w:rFonts w:ascii="Arial" w:hAnsi="Arial" w:cs="Arial"/>
              </w:rPr>
              <w:lastRenderedPageBreak/>
              <w:t xml:space="preserve">AFP, ASIO, ACMA, state and territory police, international security agencies (e.g., Five Eyes: US, UK, </w:t>
            </w:r>
            <w:r w:rsidRPr="00086293">
              <w:rPr>
                <w:rFonts w:ascii="Arial" w:hAnsi="Arial" w:cs="Arial"/>
              </w:rPr>
              <w:lastRenderedPageBreak/>
              <w:t>Canada, NZ).</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8049C35" w14:textId="77777777" w:rsidR="00CA1492" w:rsidRPr="00086293" w:rsidRDefault="00CA1492" w:rsidP="00CA1492">
            <w:pPr>
              <w:rPr>
                <w:rFonts w:ascii="Arial" w:hAnsi="Arial" w:cs="Arial"/>
              </w:rPr>
            </w:pPr>
            <w:r w:rsidRPr="00086293">
              <w:rPr>
                <w:rFonts w:ascii="Arial" w:hAnsi="Arial" w:cs="Arial"/>
              </w:rPr>
              <w:lastRenderedPageBreak/>
              <w:t xml:space="preserve">Policy development, legislative frameworks, lawful interception, and </w:t>
            </w:r>
            <w:r w:rsidRPr="00086293">
              <w:rPr>
                <w:rFonts w:ascii="Arial" w:hAnsi="Arial" w:cs="Arial"/>
              </w:rPr>
              <w:lastRenderedPageBreak/>
              <w:t>international security/legal cooperation.</w:t>
            </w:r>
          </w:p>
        </w:tc>
      </w:tr>
      <w:tr w:rsidR="00CA1492" w:rsidRPr="00086293" w14:paraId="2F02BF72"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71F19E34" w14:textId="77777777" w:rsidR="00CA1492" w:rsidRPr="00086293" w:rsidRDefault="00CA1492" w:rsidP="00CA1492">
            <w:pPr>
              <w:rPr>
                <w:rFonts w:ascii="Arial" w:hAnsi="Arial" w:cs="Arial"/>
                <w:b/>
                <w:bCs/>
              </w:rPr>
            </w:pPr>
            <w:r w:rsidRPr="00086293">
              <w:rPr>
                <w:rFonts w:ascii="Arial" w:hAnsi="Arial" w:cs="Arial"/>
                <w:b/>
                <w:bCs/>
              </w:rPr>
              <w:lastRenderedPageBreak/>
              <w:t>Australian Federal Police (AFP)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D4F1B96" w14:textId="77777777" w:rsidR="00CA1492" w:rsidRPr="00086293" w:rsidRDefault="00CA1492" w:rsidP="00CA1492">
            <w:pPr>
              <w:rPr>
                <w:rFonts w:ascii="Arial" w:hAnsi="Arial" w:cs="Arial"/>
              </w:rPr>
            </w:pPr>
            <w:r w:rsidRPr="00086293">
              <w:rPr>
                <w:rFonts w:ascii="Arial" w:hAnsi="Arial" w:cs="Arial"/>
              </w:rPr>
              <w:t>Federal law enforcement agency with jurisdiction over cybercrime and serious telecommunications offences.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E23C82" w14:textId="77777777" w:rsidR="00CA1492" w:rsidRPr="00086293" w:rsidRDefault="00CA1492" w:rsidP="00CA1492">
            <w:pPr>
              <w:rPr>
                <w:rFonts w:ascii="Arial" w:hAnsi="Arial" w:cs="Arial"/>
              </w:rPr>
            </w:pPr>
            <w:r w:rsidRPr="00086293">
              <w:rPr>
                <w:rFonts w:ascii="Arial" w:hAnsi="Arial" w:cs="Arial"/>
              </w:rPr>
              <w:t>Investigates offences involving carriage services (fraud, child exploitation, terrorism communications); works with telcos on lawful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8381A1A" w14:textId="77777777" w:rsidR="00CA1492" w:rsidRPr="00086293" w:rsidRDefault="00CA1492" w:rsidP="00CA1492">
            <w:pPr>
              <w:rPr>
                <w:rFonts w:ascii="Arial" w:hAnsi="Arial" w:cs="Arial"/>
              </w:rPr>
            </w:pPr>
            <w:r w:rsidRPr="00086293">
              <w:rPr>
                <w:rFonts w:ascii="Arial" w:hAnsi="Arial" w:cs="Arial"/>
              </w:rPr>
              <w:t>Criminal Code Act 1995, Telecommunications (Interception and Access) Act 1979.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B4E06DF" w14:textId="77777777" w:rsidR="00CA1492" w:rsidRPr="00086293" w:rsidRDefault="00CA1492" w:rsidP="00CA1492">
            <w:pPr>
              <w:rPr>
                <w:rFonts w:ascii="Arial" w:hAnsi="Arial" w:cs="Arial"/>
              </w:rPr>
            </w:pPr>
            <w:r w:rsidRPr="00086293">
              <w:rPr>
                <w:rFonts w:ascii="Arial" w:hAnsi="Arial" w:cs="Arial"/>
              </w:rPr>
              <w:t>Executes search warrants, arrests, seizes assets, collaborates with telcos for lawful interception.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6A9864" w14:textId="77777777" w:rsidR="00CA1492" w:rsidRPr="00086293" w:rsidRDefault="00CA1492" w:rsidP="00CA1492">
            <w:pPr>
              <w:rPr>
                <w:rFonts w:ascii="Arial" w:hAnsi="Arial" w:cs="Arial"/>
              </w:rPr>
            </w:pPr>
            <w:r w:rsidRPr="00086293">
              <w:rPr>
                <w:rFonts w:ascii="Arial" w:hAnsi="Arial" w:cs="Arial"/>
              </w:rPr>
              <w:t>2023: AFP charged individuals over large-scale SMS phishing scams exploiting telco networks.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3650613" w14:textId="77777777" w:rsidR="00CA1492" w:rsidRPr="00086293" w:rsidRDefault="00CA1492" w:rsidP="00CA1492">
            <w:pPr>
              <w:rPr>
                <w:rFonts w:ascii="Arial" w:hAnsi="Arial" w:cs="Arial"/>
              </w:rPr>
            </w:pPr>
            <w:r w:rsidRPr="00086293">
              <w:rPr>
                <w:rFonts w:ascii="Arial" w:hAnsi="Arial" w:cs="Arial"/>
              </w:rPr>
              <w:t>AGD, ASIO, ACMA, state and territory police, Australian Signals Directorate (ASD); international: INTERPOL, Europol, FBI (USA).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5A6E743" w14:textId="77777777" w:rsidR="00CA1492" w:rsidRPr="00086293" w:rsidRDefault="00CA1492" w:rsidP="00CA1492">
            <w:pPr>
              <w:rPr>
                <w:rFonts w:ascii="Arial" w:hAnsi="Arial" w:cs="Arial"/>
              </w:rPr>
            </w:pPr>
            <w:r w:rsidRPr="00086293">
              <w:rPr>
                <w:rFonts w:ascii="Arial" w:hAnsi="Arial" w:cs="Arial"/>
              </w:rPr>
              <w:t>Criminal investigations, cybercrime enforcement, intelligence sharing, operational taskforces, and joint investigations.</w:t>
            </w:r>
          </w:p>
        </w:tc>
      </w:tr>
      <w:tr w:rsidR="00CA1492" w:rsidRPr="00086293" w14:paraId="6AAD1260"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1777448B" w14:textId="77777777" w:rsidR="00CA1492" w:rsidRPr="00086293" w:rsidRDefault="00CA1492" w:rsidP="00CA1492">
            <w:pPr>
              <w:rPr>
                <w:rFonts w:ascii="Arial" w:hAnsi="Arial" w:cs="Arial"/>
                <w:b/>
                <w:bCs/>
              </w:rPr>
            </w:pPr>
            <w:r w:rsidRPr="00086293">
              <w:rPr>
                <w:rFonts w:ascii="Arial" w:hAnsi="Arial" w:cs="Arial"/>
                <w:b/>
                <w:bCs/>
              </w:rPr>
              <w:t>Australian Security Intelligence Organisation (ASIO)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58D50F3" w14:textId="77777777" w:rsidR="00CA1492" w:rsidRPr="00086293" w:rsidRDefault="00CA1492" w:rsidP="00CA1492">
            <w:pPr>
              <w:rPr>
                <w:rFonts w:ascii="Arial" w:hAnsi="Arial" w:cs="Arial"/>
              </w:rPr>
            </w:pPr>
            <w:r w:rsidRPr="00086293">
              <w:rPr>
                <w:rFonts w:ascii="Arial" w:hAnsi="Arial" w:cs="Arial"/>
              </w:rPr>
              <w:t>Australia’s domestic security intelligence agency, focused on counter-terrorism and counter-espionage.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676CEB" w14:textId="77777777" w:rsidR="00CA1492" w:rsidRPr="00086293" w:rsidRDefault="00CA1492" w:rsidP="00CA1492">
            <w:pPr>
              <w:rPr>
                <w:rFonts w:ascii="Arial" w:hAnsi="Arial" w:cs="Arial"/>
              </w:rPr>
            </w:pPr>
            <w:r w:rsidRPr="00086293">
              <w:rPr>
                <w:rFonts w:ascii="Arial" w:hAnsi="Arial" w:cs="Arial"/>
              </w:rPr>
              <w:t>Uses telecommunications data for intelligence gathering; advises government on national security risks involving telcos.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FCA49C3" w14:textId="77777777" w:rsidR="00CA1492" w:rsidRPr="00086293" w:rsidRDefault="00CA1492" w:rsidP="00CA1492">
            <w:pPr>
              <w:rPr>
                <w:rFonts w:ascii="Arial" w:hAnsi="Arial" w:cs="Arial"/>
              </w:rPr>
            </w:pPr>
            <w:r w:rsidRPr="00086293">
              <w:rPr>
                <w:rFonts w:ascii="Arial" w:hAnsi="Arial" w:cs="Arial"/>
              </w:rPr>
              <w:t>Australian Security Intelligence Organisation Act 1979, Telecommunications (Interception and Access) Act 1979.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E7CA83E" w14:textId="77777777" w:rsidR="00CA1492" w:rsidRPr="00086293" w:rsidRDefault="00CA1492" w:rsidP="00CA1492">
            <w:pPr>
              <w:rPr>
                <w:rFonts w:ascii="Arial" w:hAnsi="Arial" w:cs="Arial"/>
              </w:rPr>
            </w:pPr>
            <w:r w:rsidRPr="00086293">
              <w:rPr>
                <w:rFonts w:ascii="Arial" w:hAnsi="Arial" w:cs="Arial"/>
              </w:rPr>
              <w:t>Authorised to conduct surveillance, use interception warrants, and collect communications data.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F4F034D" w14:textId="77777777" w:rsidR="00CA1492" w:rsidRPr="00086293" w:rsidRDefault="00CA1492" w:rsidP="00CA1492">
            <w:pPr>
              <w:rPr>
                <w:rFonts w:ascii="Arial" w:hAnsi="Arial" w:cs="Arial"/>
              </w:rPr>
            </w:pPr>
            <w:r w:rsidRPr="00086293">
              <w:rPr>
                <w:rFonts w:ascii="Arial" w:hAnsi="Arial" w:cs="Arial"/>
              </w:rPr>
              <w:t>Used powers under TIA Act to intercept communications linked to suspected foreign interference activities.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53E8453" w14:textId="77777777" w:rsidR="00CA1492" w:rsidRPr="00086293" w:rsidRDefault="00CA1492" w:rsidP="00CA1492">
            <w:pPr>
              <w:rPr>
                <w:rFonts w:ascii="Arial" w:hAnsi="Arial" w:cs="Arial"/>
              </w:rPr>
            </w:pPr>
            <w:r w:rsidRPr="00086293">
              <w:rPr>
                <w:rFonts w:ascii="Arial" w:hAnsi="Arial" w:cs="Arial"/>
              </w:rPr>
              <w:t>AGD, AFP, ASD, Department of Home Affairs; international intelligence partners (Five Eyes).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A675ECF" w14:textId="77777777" w:rsidR="00CA1492" w:rsidRPr="00086293" w:rsidRDefault="00CA1492" w:rsidP="00CA1492">
            <w:pPr>
              <w:rPr>
                <w:rFonts w:ascii="Arial" w:hAnsi="Arial" w:cs="Arial"/>
              </w:rPr>
            </w:pPr>
            <w:r w:rsidRPr="00086293">
              <w:rPr>
                <w:rFonts w:ascii="Arial" w:hAnsi="Arial" w:cs="Arial"/>
              </w:rPr>
              <w:t>Counter-terrorism, counter-espionage, signals intelligence cooperation, and joint security operations.</w:t>
            </w:r>
          </w:p>
        </w:tc>
      </w:tr>
      <w:tr w:rsidR="00CA1492" w:rsidRPr="00086293" w14:paraId="0EBDE742"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CA6CB5D" w14:textId="77777777" w:rsidR="00CA1492" w:rsidRPr="00086293" w:rsidRDefault="00CA1492" w:rsidP="00CA1492">
            <w:pPr>
              <w:rPr>
                <w:rFonts w:ascii="Arial" w:hAnsi="Arial" w:cs="Arial"/>
                <w:b/>
                <w:bCs/>
              </w:rPr>
            </w:pPr>
            <w:r w:rsidRPr="00086293">
              <w:rPr>
                <w:rFonts w:ascii="Arial" w:hAnsi="Arial" w:cs="Arial"/>
                <w:b/>
                <w:bCs/>
              </w:rPr>
              <w:t>OAIC (Office of the Australian Information Commissioner)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5D46422" w14:textId="77777777" w:rsidR="00CA1492" w:rsidRPr="00086293" w:rsidRDefault="00CA1492" w:rsidP="00CA1492">
            <w:pPr>
              <w:rPr>
                <w:rFonts w:ascii="Arial" w:hAnsi="Arial" w:cs="Arial"/>
              </w:rPr>
            </w:pPr>
            <w:r w:rsidRPr="00086293">
              <w:rPr>
                <w:rFonts w:ascii="Arial" w:hAnsi="Arial" w:cs="Arial"/>
              </w:rPr>
              <w:t>National privacy and data protection regulator.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01252C7" w14:textId="77777777" w:rsidR="00CA1492" w:rsidRPr="00086293" w:rsidRDefault="00CA1492" w:rsidP="00CA1492">
            <w:pPr>
              <w:rPr>
                <w:rFonts w:ascii="Arial" w:hAnsi="Arial" w:cs="Arial"/>
              </w:rPr>
            </w:pPr>
            <w:r w:rsidRPr="00086293">
              <w:rPr>
                <w:rFonts w:ascii="Arial" w:hAnsi="Arial" w:cs="Arial"/>
              </w:rPr>
              <w:t>Oversees the Privacy Act, including telcos’ obligations under the Notifiable Data Breaches (NDB) scheme; investigates misuse of personal information.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9FE81D3" w14:textId="77777777" w:rsidR="00CA1492" w:rsidRPr="00086293" w:rsidRDefault="00CA1492" w:rsidP="00CA1492">
            <w:pPr>
              <w:rPr>
                <w:rFonts w:ascii="Arial" w:hAnsi="Arial" w:cs="Arial"/>
              </w:rPr>
            </w:pPr>
            <w:r w:rsidRPr="00086293">
              <w:rPr>
                <w:rFonts w:ascii="Arial" w:hAnsi="Arial" w:cs="Arial"/>
              </w:rPr>
              <w:t>Privacy Act 1988, Telecommunications Act 1997.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3C733ED" w14:textId="77777777" w:rsidR="00CA1492" w:rsidRPr="00086293" w:rsidRDefault="00CA1492" w:rsidP="00CA1492">
            <w:pPr>
              <w:rPr>
                <w:rFonts w:ascii="Arial" w:hAnsi="Arial" w:cs="Arial"/>
              </w:rPr>
            </w:pPr>
            <w:r w:rsidRPr="00086293">
              <w:rPr>
                <w:rFonts w:ascii="Arial" w:hAnsi="Arial" w:cs="Arial"/>
              </w:rPr>
              <w:t>Can investigate, make determinations, issue compliance notices, and seek civil penalties.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C1FCE63" w14:textId="77777777" w:rsidR="00CA1492" w:rsidRPr="00086293" w:rsidRDefault="00CA1492" w:rsidP="00CA1492">
            <w:pPr>
              <w:rPr>
                <w:rFonts w:ascii="Arial" w:hAnsi="Arial" w:cs="Arial"/>
              </w:rPr>
            </w:pPr>
            <w:r w:rsidRPr="00086293">
              <w:rPr>
                <w:rFonts w:ascii="Arial" w:hAnsi="Arial" w:cs="Arial"/>
              </w:rPr>
              <w:t>2023: Investigated Optus and Medibank data breaches under the NDB scheme.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B3D63C9" w14:textId="77777777" w:rsidR="00CA1492" w:rsidRPr="00086293" w:rsidRDefault="00CA1492" w:rsidP="00CA1492">
            <w:pPr>
              <w:rPr>
                <w:rFonts w:ascii="Arial" w:hAnsi="Arial" w:cs="Arial"/>
              </w:rPr>
            </w:pPr>
            <w:r w:rsidRPr="00086293">
              <w:rPr>
                <w:rFonts w:ascii="Arial" w:hAnsi="Arial" w:cs="Arial"/>
              </w:rPr>
              <w:t>ACMA, ACCC, eSafety Commissioner, AGD; international: Global Privacy Assembly, Asia-Pacific Privacy Authorities Forum.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D29FC39" w14:textId="77777777" w:rsidR="00CA1492" w:rsidRPr="00086293" w:rsidRDefault="00CA1492" w:rsidP="00CA1492">
            <w:pPr>
              <w:rPr>
                <w:rFonts w:ascii="Arial" w:hAnsi="Arial" w:cs="Arial"/>
              </w:rPr>
            </w:pPr>
            <w:r w:rsidRPr="00086293">
              <w:rPr>
                <w:rFonts w:ascii="Arial" w:hAnsi="Arial" w:cs="Arial"/>
              </w:rPr>
              <w:t>Privacy and data protection enforcement, cross-border data governance, joint investigations, and policy development.</w:t>
            </w:r>
          </w:p>
        </w:tc>
      </w:tr>
      <w:tr w:rsidR="00CA1492" w:rsidRPr="00086293" w14:paraId="228347FB"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65D8C92" w14:textId="77777777" w:rsidR="00CA1492" w:rsidRPr="00086293" w:rsidRDefault="00CA1492" w:rsidP="00CA1492">
            <w:pPr>
              <w:rPr>
                <w:rFonts w:ascii="Arial" w:hAnsi="Arial" w:cs="Arial"/>
                <w:b/>
                <w:bCs/>
              </w:rPr>
            </w:pPr>
            <w:r w:rsidRPr="00086293">
              <w:rPr>
                <w:rFonts w:ascii="Arial" w:hAnsi="Arial" w:cs="Arial"/>
                <w:b/>
                <w:bCs/>
              </w:rPr>
              <w:t>eSafety Commissioner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DE67C5A" w14:textId="77777777" w:rsidR="00CA1492" w:rsidRPr="00086293" w:rsidRDefault="00CA1492" w:rsidP="00CA1492">
            <w:pPr>
              <w:rPr>
                <w:rFonts w:ascii="Arial" w:hAnsi="Arial" w:cs="Arial"/>
              </w:rPr>
            </w:pPr>
            <w:r w:rsidRPr="00086293">
              <w:rPr>
                <w:rFonts w:ascii="Arial" w:hAnsi="Arial" w:cs="Arial"/>
              </w:rPr>
              <w:t>Independent regulator for online safety, with powers over harmful digital communications.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3D7531" w14:textId="77777777" w:rsidR="00CA1492" w:rsidRPr="00086293" w:rsidRDefault="00CA1492" w:rsidP="00CA1492">
            <w:pPr>
              <w:rPr>
                <w:rFonts w:ascii="Arial" w:hAnsi="Arial" w:cs="Arial"/>
              </w:rPr>
            </w:pPr>
            <w:r w:rsidRPr="00086293">
              <w:rPr>
                <w:rFonts w:ascii="Arial" w:hAnsi="Arial" w:cs="Arial"/>
              </w:rPr>
              <w:t>Enforces rules on cyberbullying, image-based abuse, illegal and harmful online content, and telco/ISP obligations for blocking.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6C5B33D" w14:textId="77777777" w:rsidR="00CA1492" w:rsidRPr="00086293" w:rsidRDefault="00CA1492" w:rsidP="00CA1492">
            <w:pPr>
              <w:rPr>
                <w:rFonts w:ascii="Arial" w:hAnsi="Arial" w:cs="Arial"/>
              </w:rPr>
            </w:pPr>
            <w:r w:rsidRPr="00086293">
              <w:rPr>
                <w:rFonts w:ascii="Arial" w:hAnsi="Arial" w:cs="Arial"/>
              </w:rPr>
              <w:t>Online Safety Act 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97A0E36" w14:textId="77777777" w:rsidR="00CA1492" w:rsidRPr="00086293" w:rsidRDefault="00CA1492" w:rsidP="00CA1492">
            <w:pPr>
              <w:rPr>
                <w:rFonts w:ascii="Arial" w:hAnsi="Arial" w:cs="Arial"/>
              </w:rPr>
            </w:pPr>
            <w:r w:rsidRPr="00086293">
              <w:rPr>
                <w:rFonts w:ascii="Arial" w:hAnsi="Arial" w:cs="Arial"/>
              </w:rPr>
              <w:t>Can issue takedown notices, require removal of harmful content, fine platforms, and direct ISPs to block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A8032C3" w14:textId="77777777" w:rsidR="00CA1492" w:rsidRPr="00086293" w:rsidRDefault="00CA1492" w:rsidP="00CA1492">
            <w:pPr>
              <w:rPr>
                <w:rFonts w:ascii="Arial" w:hAnsi="Arial" w:cs="Arial"/>
              </w:rPr>
            </w:pPr>
            <w:r w:rsidRPr="00086293">
              <w:rPr>
                <w:rFonts w:ascii="Arial" w:hAnsi="Arial" w:cs="Arial"/>
              </w:rPr>
              <w:t>2022: Ordered ISPs to block websites hosting terrorist and violent extremist material after Christchurch-related content circulated online.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3285A81" w14:textId="77777777" w:rsidR="00CA1492" w:rsidRPr="00086293" w:rsidRDefault="00CA1492" w:rsidP="00CA1492">
            <w:pPr>
              <w:rPr>
                <w:rFonts w:ascii="Arial" w:hAnsi="Arial" w:cs="Arial"/>
              </w:rPr>
            </w:pPr>
            <w:r w:rsidRPr="00086293">
              <w:rPr>
                <w:rFonts w:ascii="Arial" w:hAnsi="Arial" w:cs="Arial"/>
              </w:rPr>
              <w:t>ACMA, OAIC, AFP, Department of Home Affairs; international: Global Online Safety Regulators Network, European Commission, US Federal Trade Commission.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24BD69" w14:textId="77777777" w:rsidR="00CA1492" w:rsidRPr="00086293" w:rsidRDefault="00CA1492" w:rsidP="00CA1492">
            <w:pPr>
              <w:rPr>
                <w:rFonts w:ascii="Arial" w:hAnsi="Arial" w:cs="Arial"/>
              </w:rPr>
            </w:pPr>
            <w:r w:rsidRPr="00086293">
              <w:rPr>
                <w:rFonts w:ascii="Arial" w:hAnsi="Arial" w:cs="Arial"/>
              </w:rPr>
              <w:t>Online harm regulation, takedown orders, cross-border enforcement of online safety standards, policy advocacy.</w:t>
            </w:r>
          </w:p>
        </w:tc>
      </w:tr>
    </w:tbl>
    <w:p w14:paraId="3AD0D45B" w14:textId="77777777" w:rsidR="00CA1492" w:rsidRPr="00086293" w:rsidRDefault="00CA1492" w:rsidP="004106C8">
      <w:pPr>
        <w:rPr>
          <w:rFonts w:ascii="Arial" w:hAnsi="Arial" w:cs="Arial"/>
        </w:rPr>
      </w:pPr>
    </w:p>
    <w:p w14:paraId="6426DE92" w14:textId="77777777" w:rsidR="007D25C5" w:rsidRPr="00086293" w:rsidRDefault="007D25C5">
      <w:pPr>
        <w:suppressAutoHyphens/>
        <w:rPr>
          <w:rFonts w:ascii="Arial" w:hAnsi="Arial" w:cs="Arial"/>
        </w:rPr>
      </w:pPr>
      <w:r w:rsidRPr="00086293">
        <w:rPr>
          <w:rFonts w:ascii="Arial" w:hAnsi="Arial" w:cs="Arial"/>
        </w:rPr>
        <w:br w:type="page"/>
      </w:r>
    </w:p>
    <w:p w14:paraId="59EF8F9C" w14:textId="77777777" w:rsidR="004106C8" w:rsidRPr="00086293" w:rsidRDefault="004106C8" w:rsidP="004106C8">
      <w:pPr>
        <w:pStyle w:val="Heading2"/>
      </w:pPr>
      <w:r w:rsidRPr="00086293">
        <w:lastRenderedPageBreak/>
        <w:t>4.4 Summarise the regulatory requirements.</w:t>
      </w:r>
    </w:p>
    <w:p w14:paraId="6B9BF799" w14:textId="77777777" w:rsidR="004106C8" w:rsidRPr="00086293" w:rsidRDefault="004106C8" w:rsidP="004106C8">
      <w:pPr>
        <w:rPr>
          <w:rFonts w:ascii="Arial" w:hAnsi="Arial" w:cs="Arial"/>
        </w:rPr>
      </w:pPr>
    </w:p>
    <w:p w14:paraId="5976A6FC" w14:textId="07AC5464" w:rsidR="004106C8" w:rsidRPr="00086293" w:rsidRDefault="004106C8" w:rsidP="004106C8">
      <w:pPr>
        <w:pStyle w:val="Heading3"/>
      </w:pPr>
      <w:r w:rsidRPr="00086293">
        <w:t xml:space="preserve">1. What are the implications of government regulation and deregulation for Optus (carrier) and </w:t>
      </w:r>
      <w:r w:rsidR="007D3EEE" w:rsidRPr="00086293">
        <w:t>Lebara</w:t>
      </w:r>
      <w:r w:rsidRPr="00086293">
        <w:t xml:space="preserve"> (service provider)?</w:t>
      </w:r>
    </w:p>
    <w:p w14:paraId="37F0FBDF" w14:textId="77777777" w:rsidR="004106C8" w:rsidRPr="00086293" w:rsidRDefault="004106C8" w:rsidP="004106C8">
      <w:pPr>
        <w:rPr>
          <w:rFonts w:ascii="Arial" w:hAnsi="Arial" w:cs="Arial"/>
        </w:rPr>
      </w:pPr>
    </w:p>
    <w:p w14:paraId="32FB6A30" w14:textId="77777777" w:rsidR="004106C8" w:rsidRPr="00086293" w:rsidRDefault="004106C8" w:rsidP="004106C8">
      <w:pPr>
        <w:rPr>
          <w:rFonts w:ascii="Arial" w:hAnsi="Arial" w:cs="Arial"/>
          <w:b/>
          <w:bCs/>
        </w:rPr>
      </w:pPr>
      <w:r w:rsidRPr="00086293">
        <w:rPr>
          <w:rFonts w:ascii="Arial" w:hAnsi="Arial" w:cs="Arial"/>
          <w:b/>
          <w:bCs/>
        </w:rPr>
        <w:t>Optus (carrier):</w:t>
      </w:r>
    </w:p>
    <w:p w14:paraId="7225748C" w14:textId="77777777" w:rsidR="004106C8" w:rsidRPr="00086293" w:rsidRDefault="004106C8" w:rsidP="004106C8">
      <w:pPr>
        <w:rPr>
          <w:rFonts w:ascii="Arial" w:hAnsi="Arial" w:cs="Arial"/>
        </w:rPr>
      </w:pPr>
      <w:r w:rsidRPr="00086293">
        <w:rPr>
          <w:rFonts w:ascii="Arial" w:hAnsi="Arial" w:cs="Arial"/>
        </w:rPr>
        <w:t>- Regulation:</w:t>
      </w:r>
    </w:p>
    <w:p w14:paraId="21F51925" w14:textId="77777777" w:rsidR="004106C8" w:rsidRPr="00086293" w:rsidRDefault="004106C8" w:rsidP="004106C8">
      <w:pPr>
        <w:rPr>
          <w:rFonts w:ascii="Arial" w:hAnsi="Arial" w:cs="Arial"/>
        </w:rPr>
      </w:pPr>
      <w:r w:rsidRPr="00086293">
        <w:rPr>
          <w:rFonts w:ascii="Arial" w:hAnsi="Arial" w:cs="Arial"/>
        </w:rPr>
        <w:tab/>
        <w:t>- Requires a license to operate</w:t>
      </w:r>
    </w:p>
    <w:p w14:paraId="52D264B3" w14:textId="77777777" w:rsidR="004106C8" w:rsidRPr="00086293" w:rsidRDefault="004106C8" w:rsidP="004106C8">
      <w:pPr>
        <w:rPr>
          <w:rFonts w:ascii="Arial" w:hAnsi="Arial" w:cs="Arial"/>
        </w:rPr>
      </w:pPr>
      <w:r w:rsidRPr="00086293">
        <w:rPr>
          <w:rFonts w:ascii="Arial" w:hAnsi="Arial" w:cs="Arial"/>
        </w:rPr>
        <w:tab/>
        <w:t>- Must comply Telecommunications Act 1997 and any related standards and codes</w:t>
      </w:r>
    </w:p>
    <w:p w14:paraId="6C6E1312" w14:textId="77777777" w:rsidR="004106C8" w:rsidRPr="00086293" w:rsidRDefault="004106C8" w:rsidP="004106C8">
      <w:pPr>
        <w:rPr>
          <w:rFonts w:ascii="Arial" w:hAnsi="Arial" w:cs="Arial"/>
        </w:rPr>
      </w:pPr>
      <w:r w:rsidRPr="00086293">
        <w:rPr>
          <w:rFonts w:ascii="Arial" w:hAnsi="Arial" w:cs="Arial"/>
        </w:rPr>
        <w:tab/>
        <w:t>- Compliance with industry standards is mandatory</w:t>
      </w:r>
    </w:p>
    <w:p w14:paraId="55DE96E5" w14:textId="77777777" w:rsidR="004106C8" w:rsidRPr="00086293" w:rsidRDefault="004106C8" w:rsidP="004106C8">
      <w:pPr>
        <w:rPr>
          <w:rFonts w:ascii="Arial" w:hAnsi="Arial" w:cs="Arial"/>
        </w:rPr>
      </w:pPr>
      <w:r w:rsidRPr="00086293">
        <w:rPr>
          <w:rFonts w:ascii="Arial" w:hAnsi="Arial" w:cs="Arial"/>
        </w:rPr>
        <w:tab/>
        <w:t>- Is required to respond to ACMA, ACCC, and OAIC</w:t>
      </w:r>
    </w:p>
    <w:p w14:paraId="574FA4AF" w14:textId="77777777" w:rsidR="004106C8" w:rsidRPr="00086293" w:rsidRDefault="004106C8" w:rsidP="004106C8">
      <w:pPr>
        <w:rPr>
          <w:rFonts w:ascii="Arial" w:hAnsi="Arial" w:cs="Arial"/>
        </w:rPr>
      </w:pPr>
      <w:r w:rsidRPr="00086293">
        <w:rPr>
          <w:rFonts w:ascii="Arial" w:hAnsi="Arial" w:cs="Arial"/>
        </w:rPr>
        <w:tab/>
        <w:t>- Is required to follow USO (Universal Service Obligation) regulations</w:t>
      </w:r>
    </w:p>
    <w:p w14:paraId="256DB115" w14:textId="77777777" w:rsidR="004106C8" w:rsidRPr="00086293" w:rsidRDefault="004106C8" w:rsidP="004106C8">
      <w:pPr>
        <w:rPr>
          <w:rFonts w:ascii="Arial" w:hAnsi="Arial" w:cs="Arial"/>
        </w:rPr>
      </w:pPr>
      <w:r w:rsidRPr="00086293">
        <w:rPr>
          <w:rFonts w:ascii="Arial" w:hAnsi="Arial" w:cs="Arial"/>
        </w:rPr>
        <w:tab/>
        <w:t>- Must comply with Emergency Call Services Requirements Industry Code (Industry Ombudsman scheme)</w:t>
      </w:r>
    </w:p>
    <w:p w14:paraId="7C2F2E7E" w14:textId="77777777" w:rsidR="004106C8" w:rsidRPr="00086293" w:rsidRDefault="004106C8" w:rsidP="004106C8">
      <w:pPr>
        <w:rPr>
          <w:rFonts w:ascii="Arial" w:hAnsi="Arial" w:cs="Arial"/>
        </w:rPr>
      </w:pPr>
      <w:r w:rsidRPr="00086293">
        <w:rPr>
          <w:rFonts w:ascii="Arial" w:hAnsi="Arial" w:cs="Arial"/>
        </w:rPr>
        <w:tab/>
        <w:t>- Must comply with Emergency Call Services Requirements Industry Code (Industry Ombudsman scheme)</w:t>
      </w:r>
    </w:p>
    <w:p w14:paraId="39179CFF" w14:textId="77777777" w:rsidR="004106C8" w:rsidRPr="00086293" w:rsidRDefault="004106C8" w:rsidP="004106C8">
      <w:pPr>
        <w:rPr>
          <w:rFonts w:ascii="Arial" w:hAnsi="Arial" w:cs="Arial"/>
        </w:rPr>
      </w:pPr>
      <w:r w:rsidRPr="00086293">
        <w:rPr>
          <w:rFonts w:ascii="Arial" w:hAnsi="Arial" w:cs="Arial"/>
        </w:rPr>
        <w:tab/>
        <w:t>- It is required to follow the "Data Retention Scheme"</w:t>
      </w:r>
    </w:p>
    <w:p w14:paraId="59EEBAFA" w14:textId="77777777" w:rsidR="004106C8" w:rsidRPr="00086293" w:rsidRDefault="004106C8" w:rsidP="004106C8">
      <w:pPr>
        <w:rPr>
          <w:rFonts w:ascii="Arial" w:hAnsi="Arial" w:cs="Arial"/>
        </w:rPr>
      </w:pPr>
      <w:r w:rsidRPr="00086293">
        <w:rPr>
          <w:rFonts w:ascii="Arial" w:hAnsi="Arial" w:cs="Arial"/>
        </w:rPr>
        <w:tab/>
        <w:t>- It is required to provide assistance regarding encrypted information to government agencies (Encryption Act)</w:t>
      </w:r>
    </w:p>
    <w:p w14:paraId="3687E894" w14:textId="77777777" w:rsidR="004106C8" w:rsidRPr="00086293" w:rsidRDefault="004106C8" w:rsidP="004106C8">
      <w:pPr>
        <w:rPr>
          <w:rFonts w:ascii="Arial" w:hAnsi="Arial" w:cs="Arial"/>
        </w:rPr>
      </w:pPr>
    </w:p>
    <w:p w14:paraId="16F254DA" w14:textId="77777777" w:rsidR="004106C8" w:rsidRPr="00086293" w:rsidRDefault="004106C8" w:rsidP="004106C8">
      <w:pPr>
        <w:rPr>
          <w:rFonts w:ascii="Arial" w:hAnsi="Arial" w:cs="Arial"/>
        </w:rPr>
      </w:pPr>
    </w:p>
    <w:p w14:paraId="69ADF5ED" w14:textId="77777777" w:rsidR="004106C8" w:rsidRPr="00086293" w:rsidRDefault="004106C8" w:rsidP="004106C8">
      <w:pPr>
        <w:rPr>
          <w:rFonts w:ascii="Arial" w:hAnsi="Arial" w:cs="Arial"/>
        </w:rPr>
      </w:pPr>
    </w:p>
    <w:p w14:paraId="51C070EB" w14:textId="77777777" w:rsidR="004106C8" w:rsidRPr="00086293" w:rsidRDefault="004106C8" w:rsidP="004106C8">
      <w:pPr>
        <w:rPr>
          <w:rFonts w:ascii="Arial" w:hAnsi="Arial" w:cs="Arial"/>
        </w:rPr>
      </w:pPr>
    </w:p>
    <w:p w14:paraId="5EB8CFD2" w14:textId="77777777" w:rsidR="004106C8" w:rsidRPr="00086293" w:rsidRDefault="004106C8" w:rsidP="004106C8">
      <w:pPr>
        <w:rPr>
          <w:rFonts w:ascii="Arial" w:hAnsi="Arial" w:cs="Arial"/>
        </w:rPr>
      </w:pPr>
    </w:p>
    <w:p w14:paraId="73098D11" w14:textId="360F0C7E" w:rsidR="004106C8" w:rsidRPr="00086293" w:rsidRDefault="004106C8" w:rsidP="004106C8">
      <w:pPr>
        <w:rPr>
          <w:rFonts w:ascii="Arial" w:hAnsi="Arial" w:cs="Arial"/>
        </w:rPr>
      </w:pPr>
      <w:r w:rsidRPr="00086293">
        <w:rPr>
          <w:rFonts w:ascii="Arial" w:hAnsi="Arial" w:cs="Arial"/>
        </w:rPr>
        <w:t>- Deregulation:</w:t>
      </w:r>
    </w:p>
    <w:p w14:paraId="5075C6F3" w14:textId="77777777" w:rsidR="004106C8" w:rsidRPr="00086293" w:rsidRDefault="004106C8" w:rsidP="004106C8">
      <w:pPr>
        <w:rPr>
          <w:rFonts w:ascii="Arial" w:hAnsi="Arial" w:cs="Arial"/>
        </w:rPr>
      </w:pPr>
      <w:r w:rsidRPr="00086293">
        <w:rPr>
          <w:rFonts w:ascii="Arial" w:hAnsi="Arial" w:cs="Arial"/>
        </w:rPr>
        <w:tab/>
        <w:t>- It benefits from the advantages of "powers and immunities"</w:t>
      </w:r>
    </w:p>
    <w:p w14:paraId="515E4932" w14:textId="77777777" w:rsidR="004106C8" w:rsidRPr="00086293" w:rsidRDefault="004106C8" w:rsidP="004106C8">
      <w:pPr>
        <w:rPr>
          <w:rFonts w:ascii="Arial" w:hAnsi="Arial" w:cs="Arial"/>
        </w:rPr>
      </w:pPr>
      <w:r w:rsidRPr="00086293">
        <w:rPr>
          <w:rFonts w:ascii="Arial" w:hAnsi="Arial" w:cs="Arial"/>
        </w:rPr>
        <w:tab/>
      </w:r>
    </w:p>
    <w:p w14:paraId="292AD2BD" w14:textId="77777777" w:rsidR="004106C8" w:rsidRPr="00086293" w:rsidRDefault="004106C8" w:rsidP="004106C8">
      <w:pPr>
        <w:rPr>
          <w:rFonts w:ascii="Arial" w:hAnsi="Arial" w:cs="Arial"/>
        </w:rPr>
      </w:pPr>
    </w:p>
    <w:p w14:paraId="6AE372C0" w14:textId="7EE4BC37" w:rsidR="004106C8" w:rsidRPr="00086293" w:rsidRDefault="007D3EEE" w:rsidP="004106C8">
      <w:pPr>
        <w:rPr>
          <w:rFonts w:ascii="Arial" w:hAnsi="Arial" w:cs="Arial"/>
          <w:b/>
          <w:bCs/>
        </w:rPr>
      </w:pPr>
      <w:r w:rsidRPr="00086293">
        <w:rPr>
          <w:rFonts w:ascii="Arial" w:hAnsi="Arial" w:cs="Arial"/>
          <w:b/>
          <w:bCs/>
        </w:rPr>
        <w:t>Lebara</w:t>
      </w:r>
      <w:r w:rsidR="004106C8" w:rsidRPr="00086293">
        <w:rPr>
          <w:rFonts w:ascii="Arial" w:hAnsi="Arial" w:cs="Arial"/>
          <w:b/>
          <w:bCs/>
        </w:rPr>
        <w:t xml:space="preserve"> (service provider):</w:t>
      </w:r>
    </w:p>
    <w:p w14:paraId="32B624A4" w14:textId="77777777" w:rsidR="004106C8" w:rsidRPr="00086293" w:rsidRDefault="004106C8" w:rsidP="004106C8">
      <w:pPr>
        <w:rPr>
          <w:rFonts w:ascii="Arial" w:hAnsi="Arial" w:cs="Arial"/>
        </w:rPr>
      </w:pPr>
      <w:r w:rsidRPr="00086293">
        <w:rPr>
          <w:rFonts w:ascii="Arial" w:hAnsi="Arial" w:cs="Arial"/>
        </w:rPr>
        <w:t>- Regulation:</w:t>
      </w:r>
    </w:p>
    <w:p w14:paraId="10A868D8" w14:textId="77777777" w:rsidR="004106C8" w:rsidRPr="00086293" w:rsidRDefault="004106C8" w:rsidP="004106C8">
      <w:pPr>
        <w:rPr>
          <w:rFonts w:ascii="Arial" w:hAnsi="Arial" w:cs="Arial"/>
        </w:rPr>
      </w:pPr>
      <w:r w:rsidRPr="00086293">
        <w:rPr>
          <w:rFonts w:ascii="Arial" w:hAnsi="Arial" w:cs="Arial"/>
        </w:rPr>
        <w:tab/>
        <w:t>- Must comply with Telecommunications Act 1997 and any related standards and codes</w:t>
      </w:r>
    </w:p>
    <w:p w14:paraId="27CAE1F7" w14:textId="77777777" w:rsidR="004106C8" w:rsidRPr="00086293" w:rsidRDefault="004106C8" w:rsidP="004106C8">
      <w:pPr>
        <w:rPr>
          <w:rFonts w:ascii="Arial" w:hAnsi="Arial" w:cs="Arial"/>
        </w:rPr>
      </w:pPr>
      <w:r w:rsidRPr="00086293">
        <w:rPr>
          <w:rFonts w:ascii="Arial" w:hAnsi="Arial" w:cs="Arial"/>
        </w:rPr>
        <w:tab/>
        <w:t xml:space="preserve">- CSPs must comply Telecommunications Act 1997 and </w:t>
      </w:r>
    </w:p>
    <w:p w14:paraId="2D4B7CC0" w14:textId="77777777" w:rsidR="004106C8" w:rsidRPr="00086293" w:rsidRDefault="004106C8" w:rsidP="004106C8">
      <w:pPr>
        <w:rPr>
          <w:rFonts w:ascii="Arial" w:hAnsi="Arial" w:cs="Arial"/>
        </w:rPr>
      </w:pPr>
      <w:r w:rsidRPr="00086293">
        <w:rPr>
          <w:rFonts w:ascii="Arial" w:hAnsi="Arial" w:cs="Arial"/>
        </w:rPr>
        <w:tab/>
        <w:t>- Must comply with Emergency Call Services Requirements Industry Code (Industry Ombudsman scheme)</w:t>
      </w:r>
    </w:p>
    <w:p w14:paraId="43FD982F" w14:textId="77777777" w:rsidR="004106C8" w:rsidRPr="00086293" w:rsidRDefault="004106C8" w:rsidP="004106C8">
      <w:pPr>
        <w:rPr>
          <w:rFonts w:ascii="Arial" w:hAnsi="Arial" w:cs="Arial"/>
        </w:rPr>
      </w:pPr>
      <w:r w:rsidRPr="00086293">
        <w:rPr>
          <w:rFonts w:ascii="Arial" w:hAnsi="Arial" w:cs="Arial"/>
        </w:rPr>
        <w:tab/>
        <w:t>- Must comply with Emergency Call Services Requirements Industry Code (Industry Ombudsman scheme)</w:t>
      </w:r>
    </w:p>
    <w:p w14:paraId="72C41305" w14:textId="77777777" w:rsidR="004106C8" w:rsidRPr="00086293" w:rsidRDefault="004106C8" w:rsidP="004106C8">
      <w:pPr>
        <w:rPr>
          <w:rFonts w:ascii="Arial" w:hAnsi="Arial" w:cs="Arial"/>
        </w:rPr>
      </w:pPr>
      <w:r w:rsidRPr="00086293">
        <w:rPr>
          <w:rFonts w:ascii="Arial" w:hAnsi="Arial" w:cs="Arial"/>
        </w:rPr>
        <w:tab/>
        <w:t>- It is required to follow the "Data Retention Scheme"</w:t>
      </w:r>
    </w:p>
    <w:p w14:paraId="671A9FC0" w14:textId="77777777" w:rsidR="004106C8" w:rsidRPr="00086293" w:rsidRDefault="004106C8" w:rsidP="004106C8">
      <w:pPr>
        <w:rPr>
          <w:rFonts w:ascii="Arial" w:hAnsi="Arial" w:cs="Arial"/>
        </w:rPr>
      </w:pPr>
      <w:r w:rsidRPr="00086293">
        <w:rPr>
          <w:rFonts w:ascii="Arial" w:hAnsi="Arial" w:cs="Arial"/>
        </w:rPr>
        <w:tab/>
        <w:t>- It is required to provide assistance regarding encrypted information to government agencies (Encryption Act)</w:t>
      </w:r>
    </w:p>
    <w:p w14:paraId="036F6930" w14:textId="77777777" w:rsidR="004106C8" w:rsidRPr="00086293" w:rsidRDefault="004106C8" w:rsidP="004106C8">
      <w:pPr>
        <w:rPr>
          <w:rFonts w:ascii="Arial" w:hAnsi="Arial" w:cs="Arial"/>
        </w:rPr>
      </w:pPr>
      <w:r w:rsidRPr="00086293">
        <w:rPr>
          <w:rFonts w:ascii="Arial" w:hAnsi="Arial" w:cs="Arial"/>
        </w:rPr>
        <w:tab/>
      </w:r>
    </w:p>
    <w:p w14:paraId="64230125" w14:textId="2D08747C" w:rsidR="004106C8" w:rsidRPr="00086293" w:rsidRDefault="004106C8" w:rsidP="004106C8">
      <w:pPr>
        <w:rPr>
          <w:rFonts w:ascii="Arial" w:hAnsi="Arial" w:cs="Arial"/>
        </w:rPr>
      </w:pPr>
      <w:r w:rsidRPr="00086293">
        <w:rPr>
          <w:rFonts w:ascii="Arial" w:hAnsi="Arial" w:cs="Arial"/>
        </w:rPr>
        <w:t>- Deregulation:</w:t>
      </w:r>
    </w:p>
    <w:p w14:paraId="2DEFD6D0" w14:textId="77777777" w:rsidR="004106C8" w:rsidRPr="00086293" w:rsidRDefault="004106C8" w:rsidP="004106C8">
      <w:pPr>
        <w:rPr>
          <w:rFonts w:ascii="Arial" w:hAnsi="Arial" w:cs="Arial"/>
        </w:rPr>
      </w:pPr>
      <w:r w:rsidRPr="00086293">
        <w:rPr>
          <w:rFonts w:ascii="Arial" w:hAnsi="Arial" w:cs="Arial"/>
        </w:rPr>
        <w:tab/>
        <w:t>- It benefits from the advantages of "powers and immunities"</w:t>
      </w:r>
    </w:p>
    <w:p w14:paraId="6510B264" w14:textId="77777777" w:rsidR="004106C8" w:rsidRPr="00086293" w:rsidRDefault="004106C8" w:rsidP="004106C8">
      <w:pPr>
        <w:rPr>
          <w:rFonts w:ascii="Arial" w:hAnsi="Arial" w:cs="Arial"/>
        </w:rPr>
      </w:pPr>
      <w:r w:rsidRPr="00086293">
        <w:rPr>
          <w:rFonts w:ascii="Arial" w:hAnsi="Arial" w:cs="Arial"/>
        </w:rPr>
        <w:tab/>
      </w:r>
    </w:p>
    <w:p w14:paraId="4C989572" w14:textId="77777777" w:rsidR="004106C8" w:rsidRPr="00086293" w:rsidRDefault="004106C8" w:rsidP="004106C8">
      <w:pPr>
        <w:rPr>
          <w:rFonts w:ascii="Arial" w:hAnsi="Arial" w:cs="Arial"/>
        </w:rPr>
      </w:pPr>
    </w:p>
    <w:p w14:paraId="60909992" w14:textId="7F8A7C9E" w:rsidR="007D25C5" w:rsidRPr="00086293" w:rsidRDefault="007D25C5" w:rsidP="004106C8">
      <w:pPr>
        <w:rPr>
          <w:rFonts w:ascii="Arial" w:hAnsi="Arial" w:cs="Arial"/>
        </w:rPr>
      </w:pPr>
      <w:r w:rsidRPr="00086293">
        <w:rPr>
          <w:rFonts w:ascii="Arial" w:hAnsi="Arial" w:cs="Arial"/>
        </w:rPr>
        <w:lastRenderedPageBreak/>
        <w:drawing>
          <wp:inline distT="0" distB="0" distL="0" distR="0" wp14:anchorId="7EDBB913" wp14:editId="4E57FB86">
            <wp:extent cx="15670812" cy="5153744"/>
            <wp:effectExtent l="0" t="0" r="7620" b="8890"/>
            <wp:docPr id="93013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37523" name=""/>
                    <pic:cNvPicPr/>
                  </pic:nvPicPr>
                  <pic:blipFill>
                    <a:blip r:embed="rId14"/>
                    <a:stretch>
                      <a:fillRect/>
                    </a:stretch>
                  </pic:blipFill>
                  <pic:spPr>
                    <a:xfrm>
                      <a:off x="0" y="0"/>
                      <a:ext cx="15670812" cy="5153744"/>
                    </a:xfrm>
                    <a:prstGeom prst="rect">
                      <a:avLst/>
                    </a:prstGeom>
                  </pic:spPr>
                </pic:pic>
              </a:graphicData>
            </a:graphic>
          </wp:inline>
        </w:drawing>
      </w:r>
    </w:p>
    <w:p w14:paraId="14AA1E91" w14:textId="77777777" w:rsidR="004106C8" w:rsidRPr="00086293" w:rsidRDefault="004106C8" w:rsidP="004106C8">
      <w:pPr>
        <w:rPr>
          <w:rFonts w:ascii="Arial" w:hAnsi="Arial" w:cs="Arial"/>
        </w:rPr>
      </w:pPr>
    </w:p>
    <w:p w14:paraId="5D636695" w14:textId="5F40295A" w:rsidR="004106C8" w:rsidRPr="00086293" w:rsidRDefault="004106C8" w:rsidP="004106C8">
      <w:pPr>
        <w:pStyle w:val="Heading3"/>
      </w:pPr>
      <w:r w:rsidRPr="00086293">
        <w:t xml:space="preserve">2. What are the licensing requirements for Optus (carrier) and </w:t>
      </w:r>
      <w:r w:rsidR="007D3EEE" w:rsidRPr="00086293">
        <w:t>Lebara</w:t>
      </w:r>
      <w:r w:rsidRPr="00086293">
        <w:t xml:space="preserve"> (service providers)?</w:t>
      </w:r>
    </w:p>
    <w:p w14:paraId="49634E07" w14:textId="77777777" w:rsidR="004106C8" w:rsidRPr="00086293" w:rsidRDefault="004106C8" w:rsidP="004106C8">
      <w:pPr>
        <w:rPr>
          <w:rFonts w:ascii="Arial" w:hAnsi="Arial" w:cs="Arial"/>
        </w:rPr>
      </w:pPr>
    </w:p>
    <w:p w14:paraId="01B52B9A" w14:textId="77777777" w:rsidR="004106C8" w:rsidRPr="00086293" w:rsidRDefault="004106C8" w:rsidP="004106C8">
      <w:pPr>
        <w:rPr>
          <w:rFonts w:ascii="Arial" w:hAnsi="Arial" w:cs="Arial"/>
        </w:rPr>
      </w:pPr>
      <w:r w:rsidRPr="00086293">
        <w:rPr>
          <w:rFonts w:ascii="Arial" w:hAnsi="Arial" w:cs="Arial"/>
        </w:rPr>
        <w:t>Optus:</w:t>
      </w:r>
    </w:p>
    <w:p w14:paraId="1E566A3F" w14:textId="585F0C87" w:rsidR="004106C8" w:rsidRPr="00086293" w:rsidRDefault="004106C8" w:rsidP="004106C8">
      <w:pPr>
        <w:rPr>
          <w:rFonts w:ascii="Arial" w:hAnsi="Arial" w:cs="Arial"/>
        </w:rPr>
      </w:pPr>
      <w:r w:rsidRPr="00086293">
        <w:rPr>
          <w:rFonts w:ascii="Arial" w:hAnsi="Arial" w:cs="Arial"/>
        </w:rPr>
        <w:t xml:space="preserve">- </w:t>
      </w:r>
      <w:r w:rsidR="00635DB2" w:rsidRPr="00086293">
        <w:rPr>
          <w:rFonts w:ascii="Arial" w:hAnsi="Arial" w:cs="Arial"/>
        </w:rPr>
        <w:t>Carrier Licence</w:t>
      </w:r>
    </w:p>
    <w:p w14:paraId="265F25D9" w14:textId="4B97044C" w:rsidR="00635DB2" w:rsidRPr="00086293" w:rsidRDefault="00635DB2" w:rsidP="004106C8">
      <w:pPr>
        <w:rPr>
          <w:rFonts w:ascii="Arial" w:hAnsi="Arial" w:cs="Arial"/>
        </w:rPr>
      </w:pPr>
      <w:r w:rsidRPr="00086293">
        <w:rPr>
          <w:rFonts w:ascii="Arial" w:hAnsi="Arial" w:cs="Arial"/>
        </w:rPr>
        <w:t>- Nominated Carrier Declarations</w:t>
      </w:r>
      <w:r w:rsidR="00D6055C" w:rsidRPr="00086293">
        <w:rPr>
          <w:rFonts w:ascii="Arial" w:hAnsi="Arial" w:cs="Arial"/>
        </w:rPr>
        <w:t xml:space="preserve">: </w:t>
      </w:r>
      <w:r w:rsidR="00F420EC" w:rsidRPr="00086293">
        <w:rPr>
          <w:rFonts w:ascii="Arial" w:hAnsi="Arial" w:cs="Arial"/>
        </w:rPr>
        <w:t>Operate other networks and act as a carrier.</w:t>
      </w:r>
    </w:p>
    <w:p w14:paraId="54DCEB99" w14:textId="14A18FA7" w:rsidR="00635DB2" w:rsidRPr="00086293" w:rsidRDefault="00635DB2" w:rsidP="004106C8">
      <w:pPr>
        <w:rPr>
          <w:rFonts w:ascii="Arial" w:hAnsi="Arial" w:cs="Arial"/>
        </w:rPr>
      </w:pPr>
      <w:r w:rsidRPr="00086293">
        <w:rPr>
          <w:rFonts w:ascii="Arial" w:hAnsi="Arial" w:cs="Arial"/>
        </w:rPr>
        <w:t>- Spectrum Licences</w:t>
      </w:r>
      <w:r w:rsidR="00F420EC" w:rsidRPr="00086293">
        <w:rPr>
          <w:rFonts w:ascii="Arial" w:hAnsi="Arial" w:cs="Arial"/>
        </w:rPr>
        <w:t>: Operate spectrum frequencies.</w:t>
      </w:r>
    </w:p>
    <w:p w14:paraId="7436A84F" w14:textId="77777777" w:rsidR="004106C8" w:rsidRPr="00086293" w:rsidRDefault="004106C8" w:rsidP="004106C8">
      <w:pPr>
        <w:rPr>
          <w:rFonts w:ascii="Arial" w:hAnsi="Arial" w:cs="Arial"/>
        </w:rPr>
      </w:pPr>
    </w:p>
    <w:p w14:paraId="6FE3E318" w14:textId="1D0D1212" w:rsidR="004106C8" w:rsidRPr="00086293" w:rsidRDefault="007D3EEE" w:rsidP="004106C8">
      <w:pPr>
        <w:rPr>
          <w:rFonts w:ascii="Arial" w:hAnsi="Arial" w:cs="Arial"/>
        </w:rPr>
      </w:pPr>
      <w:r w:rsidRPr="00086293">
        <w:rPr>
          <w:rFonts w:ascii="Arial" w:hAnsi="Arial" w:cs="Arial"/>
        </w:rPr>
        <w:lastRenderedPageBreak/>
        <w:t>Lebara</w:t>
      </w:r>
      <w:r w:rsidR="004106C8" w:rsidRPr="00086293">
        <w:rPr>
          <w:rFonts w:ascii="Arial" w:hAnsi="Arial" w:cs="Arial"/>
        </w:rPr>
        <w:t>:</w:t>
      </w:r>
    </w:p>
    <w:p w14:paraId="148C0E6D" w14:textId="77777777" w:rsidR="004106C8" w:rsidRPr="00086293" w:rsidRDefault="004106C8" w:rsidP="004106C8">
      <w:pPr>
        <w:rPr>
          <w:rFonts w:ascii="Arial" w:hAnsi="Arial" w:cs="Arial"/>
        </w:rPr>
      </w:pPr>
      <w:r w:rsidRPr="00086293">
        <w:rPr>
          <w:rFonts w:ascii="Arial" w:hAnsi="Arial" w:cs="Arial"/>
        </w:rPr>
        <w:t>- Does not require a license as it is not a carrier</w:t>
      </w:r>
    </w:p>
    <w:p w14:paraId="66C58C05" w14:textId="77777777" w:rsidR="007506AD" w:rsidRPr="00086293" w:rsidRDefault="007506AD" w:rsidP="007506AD">
      <w:pPr>
        <w:rPr>
          <w:rFonts w:ascii="Arial" w:hAnsi="Arial" w:cs="Arial"/>
        </w:rPr>
      </w:pPr>
      <w:r w:rsidRPr="00086293">
        <w:rPr>
          <w:rFonts w:ascii="Arial" w:hAnsi="Arial" w:cs="Arial"/>
        </w:rPr>
        <w:t>- Spectrum Licence</w:t>
      </w:r>
    </w:p>
    <w:p w14:paraId="149E2B62" w14:textId="7D665CC9" w:rsidR="007506AD" w:rsidRPr="00086293" w:rsidRDefault="007506AD" w:rsidP="007506AD">
      <w:pPr>
        <w:rPr>
          <w:rFonts w:ascii="Arial" w:hAnsi="Arial" w:cs="Arial"/>
        </w:rPr>
      </w:pPr>
      <w:r w:rsidRPr="00086293">
        <w:rPr>
          <w:rFonts w:ascii="Arial" w:hAnsi="Arial" w:cs="Arial"/>
        </w:rPr>
        <w:t>- Apparatus Licence</w:t>
      </w:r>
      <w:r w:rsidR="00F420EC" w:rsidRPr="00086293">
        <w:rPr>
          <w:rFonts w:ascii="Arial" w:hAnsi="Arial" w:cs="Arial"/>
        </w:rPr>
        <w:t>: Use equipment to work with frequencies.</w:t>
      </w:r>
    </w:p>
    <w:p w14:paraId="1087228E" w14:textId="2BE44695" w:rsidR="007506AD" w:rsidRPr="00086293" w:rsidRDefault="007506AD" w:rsidP="007506AD">
      <w:pPr>
        <w:rPr>
          <w:rFonts w:ascii="Arial" w:hAnsi="Arial" w:cs="Arial"/>
        </w:rPr>
      </w:pPr>
      <w:r w:rsidRPr="00086293">
        <w:rPr>
          <w:rFonts w:ascii="Arial" w:hAnsi="Arial" w:cs="Arial"/>
        </w:rPr>
        <w:t>- Class Licence</w:t>
      </w:r>
      <w:r w:rsidR="00F420EC" w:rsidRPr="00086293">
        <w:rPr>
          <w:rFonts w:ascii="Arial" w:hAnsi="Arial" w:cs="Arial"/>
        </w:rPr>
        <w:t>: Access to shared spectrum.</w:t>
      </w:r>
    </w:p>
    <w:p w14:paraId="17EBC5B8" w14:textId="77777777" w:rsidR="007D25C5" w:rsidRPr="00086293" w:rsidRDefault="007D25C5" w:rsidP="007506AD">
      <w:pPr>
        <w:rPr>
          <w:rFonts w:ascii="Arial" w:hAnsi="Arial" w:cs="Arial"/>
        </w:rPr>
      </w:pPr>
    </w:p>
    <w:p w14:paraId="48A15FF5" w14:textId="6373A83F" w:rsidR="007D25C5" w:rsidRPr="00086293" w:rsidRDefault="007D25C5" w:rsidP="007506AD">
      <w:pPr>
        <w:rPr>
          <w:rFonts w:ascii="Arial" w:hAnsi="Arial" w:cs="Arial"/>
        </w:rPr>
      </w:pPr>
      <w:r w:rsidRPr="00086293">
        <w:rPr>
          <w:rFonts w:ascii="Arial" w:hAnsi="Arial" w:cs="Arial"/>
        </w:rPr>
        <w:lastRenderedPageBreak/>
        <w:drawing>
          <wp:inline distT="0" distB="0" distL="0" distR="0" wp14:anchorId="670A70D8" wp14:editId="1846DA73">
            <wp:extent cx="11374437" cy="6106377"/>
            <wp:effectExtent l="0" t="0" r="0" b="8890"/>
            <wp:docPr id="62779709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97090" name="Picture 1" descr="A screenshot of a computer screen&#10;&#10;AI-generated content may be incorrect."/>
                    <pic:cNvPicPr/>
                  </pic:nvPicPr>
                  <pic:blipFill>
                    <a:blip r:embed="rId15"/>
                    <a:stretch>
                      <a:fillRect/>
                    </a:stretch>
                  </pic:blipFill>
                  <pic:spPr>
                    <a:xfrm>
                      <a:off x="0" y="0"/>
                      <a:ext cx="11374437" cy="6106377"/>
                    </a:xfrm>
                    <a:prstGeom prst="rect">
                      <a:avLst/>
                    </a:prstGeom>
                  </pic:spPr>
                </pic:pic>
              </a:graphicData>
            </a:graphic>
          </wp:inline>
        </w:drawing>
      </w:r>
    </w:p>
    <w:p w14:paraId="5C122511" w14:textId="77777777" w:rsidR="004106C8" w:rsidRPr="00086293" w:rsidRDefault="004106C8" w:rsidP="004106C8">
      <w:pPr>
        <w:rPr>
          <w:rFonts w:ascii="Arial" w:hAnsi="Arial" w:cs="Arial"/>
        </w:rPr>
      </w:pPr>
    </w:p>
    <w:p w14:paraId="3F24E33A" w14:textId="77777777" w:rsidR="004106C8" w:rsidRPr="00086293" w:rsidRDefault="004106C8" w:rsidP="004106C8">
      <w:pPr>
        <w:rPr>
          <w:rFonts w:ascii="Arial" w:hAnsi="Arial" w:cs="Arial"/>
        </w:rPr>
      </w:pPr>
    </w:p>
    <w:p w14:paraId="052E110C" w14:textId="77777777" w:rsidR="004106C8" w:rsidRPr="00086293" w:rsidRDefault="004106C8" w:rsidP="004106C8">
      <w:pPr>
        <w:pStyle w:val="Heading3"/>
      </w:pPr>
      <w:r w:rsidRPr="00086293">
        <w:lastRenderedPageBreak/>
        <w:t>3. What method is used by the Australian Competition and Consumer Commission (ACCC) to enforce competitive provisions between service providers?</w:t>
      </w:r>
    </w:p>
    <w:p w14:paraId="5350BF31" w14:textId="62F008BB" w:rsidR="004106C8" w:rsidRPr="00086293" w:rsidRDefault="00F24A35" w:rsidP="004106C8">
      <w:pPr>
        <w:rPr>
          <w:rFonts w:ascii="Arial" w:hAnsi="Arial" w:cs="Arial"/>
        </w:rPr>
      </w:pPr>
      <w:hyperlink r:id="rId16" w:history="1">
        <w:r w:rsidRPr="00086293">
          <w:rPr>
            <w:rStyle w:val="Hyperlink"/>
            <w:rFonts w:ascii="Arial" w:hAnsi="Arial" w:cs="Arial"/>
          </w:rPr>
          <w:t>https://www.globalcompliancenews.com/antitrust-and-competition/antitrust-and-competition-laws-in-australia/</w:t>
        </w:r>
      </w:hyperlink>
      <w:r w:rsidRPr="00086293">
        <w:rPr>
          <w:rFonts w:ascii="Arial" w:hAnsi="Arial" w:cs="Arial"/>
        </w:rPr>
        <w:t xml:space="preserve"> </w:t>
      </w:r>
    </w:p>
    <w:p w14:paraId="5BC39FBA" w14:textId="77777777" w:rsidR="004106C8" w:rsidRPr="00086293" w:rsidRDefault="004106C8" w:rsidP="004106C8">
      <w:pPr>
        <w:rPr>
          <w:rFonts w:ascii="Arial" w:hAnsi="Arial" w:cs="Arial"/>
        </w:rPr>
      </w:pPr>
    </w:p>
    <w:p w14:paraId="7AD3961B" w14:textId="77777777" w:rsidR="004106C8" w:rsidRPr="00086293" w:rsidRDefault="004106C8" w:rsidP="004106C8">
      <w:pPr>
        <w:rPr>
          <w:rFonts w:ascii="Arial" w:hAnsi="Arial" w:cs="Arial"/>
        </w:rPr>
      </w:pPr>
      <w:r w:rsidRPr="00086293">
        <w:rPr>
          <w:rFonts w:ascii="Arial" w:hAnsi="Arial" w:cs="Arial"/>
        </w:rPr>
        <w:t>The ACCC refers cases to the Commonwealth Director of Public Prosecutions (CDPP), who is responsible for enforcing the law. By law, the ACCC can also require access to infrastructure and data.</w:t>
      </w:r>
    </w:p>
    <w:p w14:paraId="22328D76" w14:textId="77777777" w:rsidR="004106C8" w:rsidRPr="00086293" w:rsidRDefault="004106C8" w:rsidP="004106C8">
      <w:pPr>
        <w:rPr>
          <w:rFonts w:ascii="Arial" w:hAnsi="Arial" w:cs="Arial"/>
        </w:rPr>
      </w:pPr>
    </w:p>
    <w:p w14:paraId="0869A0E4" w14:textId="77777777" w:rsidR="004106C8" w:rsidRPr="00086293" w:rsidRDefault="004106C8" w:rsidP="004106C8">
      <w:pPr>
        <w:rPr>
          <w:rFonts w:ascii="Arial" w:hAnsi="Arial" w:cs="Arial"/>
        </w:rPr>
      </w:pPr>
      <w:r w:rsidRPr="00086293">
        <w:rPr>
          <w:rFonts w:ascii="Arial" w:hAnsi="Arial" w:cs="Arial"/>
        </w:rPr>
        <w:t>Penalties for anti-competitive conduct can include:</w:t>
      </w:r>
    </w:p>
    <w:p w14:paraId="574E0712" w14:textId="77777777" w:rsidR="004106C8" w:rsidRPr="00086293" w:rsidRDefault="004106C8" w:rsidP="004106C8">
      <w:pPr>
        <w:rPr>
          <w:rFonts w:ascii="Arial" w:hAnsi="Arial" w:cs="Arial"/>
        </w:rPr>
      </w:pPr>
      <w:r w:rsidRPr="00086293">
        <w:rPr>
          <w:rFonts w:ascii="Arial" w:hAnsi="Arial" w:cs="Arial"/>
        </w:rPr>
        <w:t>- Fines of up to $10 million</w:t>
      </w:r>
    </w:p>
    <w:p w14:paraId="677218E0" w14:textId="77777777" w:rsidR="004106C8" w:rsidRPr="00086293" w:rsidRDefault="004106C8" w:rsidP="004106C8">
      <w:pPr>
        <w:rPr>
          <w:rFonts w:ascii="Arial" w:hAnsi="Arial" w:cs="Arial"/>
        </w:rPr>
      </w:pPr>
      <w:r w:rsidRPr="00086293">
        <w:rPr>
          <w:rFonts w:ascii="Arial" w:hAnsi="Arial" w:cs="Arial"/>
        </w:rPr>
        <w:t>- 10% of annual profits</w:t>
      </w:r>
    </w:p>
    <w:p w14:paraId="1F313353" w14:textId="77777777" w:rsidR="004106C8" w:rsidRPr="00086293" w:rsidRDefault="004106C8" w:rsidP="004106C8">
      <w:pPr>
        <w:rPr>
          <w:rFonts w:ascii="Arial" w:hAnsi="Arial" w:cs="Arial"/>
        </w:rPr>
      </w:pPr>
      <w:r w:rsidRPr="00086293">
        <w:rPr>
          <w:rFonts w:ascii="Arial" w:hAnsi="Arial" w:cs="Arial"/>
        </w:rPr>
        <w:t>- For boycotts, fines of up to $750,000</w:t>
      </w:r>
    </w:p>
    <w:p w14:paraId="3D8ACAD9" w14:textId="77777777" w:rsidR="004106C8" w:rsidRPr="00086293" w:rsidRDefault="004106C8" w:rsidP="004106C8">
      <w:pPr>
        <w:rPr>
          <w:rFonts w:ascii="Arial" w:hAnsi="Arial" w:cs="Arial"/>
        </w:rPr>
      </w:pPr>
      <w:r w:rsidRPr="00086293">
        <w:rPr>
          <w:rFonts w:ascii="Arial" w:hAnsi="Arial" w:cs="Arial"/>
        </w:rPr>
        <w:t>- Criminal cartel offenses are punishable by imprisonment of up to 10 years or a fine of $340,000 to $500,000</w:t>
      </w:r>
    </w:p>
    <w:p w14:paraId="1094BC8E" w14:textId="77777777" w:rsidR="004106C8" w:rsidRPr="00086293" w:rsidRDefault="004106C8" w:rsidP="004106C8">
      <w:pPr>
        <w:rPr>
          <w:rFonts w:ascii="Arial" w:hAnsi="Arial" w:cs="Arial"/>
        </w:rPr>
      </w:pPr>
    </w:p>
    <w:p w14:paraId="35123F45" w14:textId="77777777" w:rsidR="004106C8" w:rsidRPr="00086293" w:rsidRDefault="004106C8" w:rsidP="004106C8">
      <w:pPr>
        <w:rPr>
          <w:rFonts w:ascii="Arial" w:hAnsi="Arial" w:cs="Arial"/>
        </w:rPr>
      </w:pPr>
      <w:r w:rsidRPr="00086293">
        <w:rPr>
          <w:rFonts w:ascii="Arial" w:hAnsi="Arial" w:cs="Arial"/>
        </w:rPr>
        <w:t>By law, companies are prohibited from compensating their officers for the payment of fines or any associated legal costs.</w:t>
      </w:r>
    </w:p>
    <w:p w14:paraId="375F59E9" w14:textId="77777777" w:rsidR="00E00D96" w:rsidRPr="00086293" w:rsidRDefault="00E00D96" w:rsidP="004106C8">
      <w:pPr>
        <w:rPr>
          <w:rFonts w:ascii="Arial" w:hAnsi="Arial" w:cs="Arial"/>
        </w:rPr>
      </w:pPr>
    </w:p>
    <w:tbl>
      <w:tblPr>
        <w:tblW w:w="0" w:type="dxa"/>
        <w:tblCellMar>
          <w:left w:w="0" w:type="dxa"/>
          <w:right w:w="0" w:type="dxa"/>
        </w:tblCellMar>
        <w:tblLook w:val="04A0" w:firstRow="1" w:lastRow="0" w:firstColumn="1" w:lastColumn="0" w:noHBand="0" w:noVBand="1"/>
      </w:tblPr>
      <w:tblGrid>
        <w:gridCol w:w="4584"/>
        <w:gridCol w:w="17004"/>
      </w:tblGrid>
      <w:tr w:rsidR="001734D9" w:rsidRPr="00086293" w14:paraId="333CBC99" w14:textId="77777777">
        <w:trPr>
          <w:trHeight w:val="69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9900"/>
            <w:tcMar>
              <w:top w:w="0" w:type="dxa"/>
              <w:left w:w="45" w:type="dxa"/>
              <w:bottom w:w="0" w:type="dxa"/>
              <w:right w:w="45" w:type="dxa"/>
            </w:tcMar>
            <w:hideMark/>
          </w:tcPr>
          <w:p w14:paraId="446D615B" w14:textId="77777777" w:rsidR="001734D9" w:rsidRPr="00086293" w:rsidRDefault="001734D9" w:rsidP="001734D9">
            <w:pPr>
              <w:rPr>
                <w:rFonts w:ascii="Arial" w:hAnsi="Arial" w:cs="Arial"/>
                <w:b/>
                <w:bCs/>
              </w:rPr>
            </w:pPr>
            <w:r w:rsidRPr="00086293">
              <w:rPr>
                <w:rFonts w:ascii="Arial" w:hAnsi="Arial" w:cs="Arial"/>
                <w:b/>
                <w:bCs/>
              </w:rPr>
              <w:t>Consumer Commission (ACCC) to enforce competitive provisions between service providers</w:t>
            </w:r>
          </w:p>
        </w:tc>
      </w:tr>
      <w:tr w:rsidR="001734D9" w:rsidRPr="00086293" w14:paraId="3EE5D464"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3C1BF992" w14:textId="77777777" w:rsidR="001734D9" w:rsidRPr="00086293" w:rsidRDefault="001734D9" w:rsidP="001734D9">
            <w:pPr>
              <w:rPr>
                <w:rFonts w:ascii="Arial" w:hAnsi="Arial" w:cs="Arial"/>
                <w:b/>
                <w:bCs/>
              </w:rPr>
            </w:pPr>
            <w:r w:rsidRPr="00086293">
              <w:rPr>
                <w:rFonts w:ascii="Arial" w:hAnsi="Arial" w:cs="Arial"/>
                <w:b/>
                <w:bCs/>
              </w:rPr>
              <w:t>Method</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18423487" w14:textId="77777777" w:rsidR="001734D9" w:rsidRPr="00086293" w:rsidRDefault="001734D9" w:rsidP="001734D9">
            <w:pPr>
              <w:rPr>
                <w:rFonts w:ascii="Arial" w:hAnsi="Arial" w:cs="Arial"/>
                <w:b/>
                <w:bCs/>
              </w:rPr>
            </w:pPr>
            <w:r w:rsidRPr="00086293">
              <w:rPr>
                <w:rFonts w:ascii="Arial" w:hAnsi="Arial" w:cs="Arial"/>
                <w:b/>
                <w:bCs/>
              </w:rPr>
              <w:t>Details / How ACCC Enforces</w:t>
            </w:r>
          </w:p>
        </w:tc>
      </w:tr>
      <w:tr w:rsidR="001734D9" w:rsidRPr="00086293" w14:paraId="2F351545"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1211E6C2" w14:textId="77777777" w:rsidR="001734D9" w:rsidRPr="00086293" w:rsidRDefault="001734D9" w:rsidP="001734D9">
            <w:pPr>
              <w:rPr>
                <w:rFonts w:ascii="Arial" w:hAnsi="Arial" w:cs="Arial"/>
                <w:b/>
                <w:bCs/>
              </w:rPr>
            </w:pPr>
            <w:r w:rsidRPr="00086293">
              <w:rPr>
                <w:rFonts w:ascii="Arial" w:hAnsi="Arial" w:cs="Arial"/>
                <w:b/>
                <w:bCs/>
              </w:rPr>
              <w:t>Legislative Powers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3CE5F91" w14:textId="77777777" w:rsidR="001734D9" w:rsidRPr="00086293" w:rsidRDefault="001734D9" w:rsidP="001734D9">
            <w:pPr>
              <w:rPr>
                <w:rFonts w:ascii="Arial" w:hAnsi="Arial" w:cs="Arial"/>
              </w:rPr>
            </w:pPr>
            <w:r w:rsidRPr="00086293">
              <w:rPr>
                <w:rFonts w:ascii="Arial" w:hAnsi="Arial" w:cs="Arial"/>
              </w:rPr>
              <w:t>Competition and Consumer Act 2010 (CCA)</w:t>
            </w:r>
            <w:r w:rsidRPr="00086293">
              <w:rPr>
                <w:rFonts w:ascii="Arial" w:hAnsi="Arial" w:cs="Arial"/>
              </w:rPr>
              <w:br/>
            </w:r>
            <w:r w:rsidRPr="00086293">
              <w:rPr>
                <w:rFonts w:ascii="Arial" w:hAnsi="Arial" w:cs="Arial"/>
              </w:rPr>
              <w:br/>
              <w:t>The key legislation under which the ACCC enforces anti-competitive behaviour provisions.</w:t>
            </w:r>
            <w:r w:rsidRPr="00086293">
              <w:rPr>
                <w:rFonts w:ascii="Arial" w:hAnsi="Arial" w:cs="Arial"/>
              </w:rPr>
              <w:br/>
            </w:r>
            <w:r w:rsidRPr="00086293">
              <w:rPr>
                <w:rFonts w:ascii="Arial" w:hAnsi="Arial" w:cs="Arial"/>
              </w:rPr>
              <w:br/>
              <w:t>Prohibits cartel conduct, misuse of market power, exclusive dealing, and anti-competitive mergers.</w:t>
            </w:r>
            <w:r w:rsidRPr="00086293">
              <w:rPr>
                <w:rFonts w:ascii="Arial" w:hAnsi="Arial" w:cs="Arial"/>
              </w:rPr>
              <w:br/>
            </w:r>
            <w:r w:rsidRPr="00086293">
              <w:rPr>
                <w:rFonts w:ascii="Arial" w:hAnsi="Arial" w:cs="Arial"/>
              </w:rPr>
              <w:br/>
              <w:t>Applies equally to large carriers (e.g., Telstra, Optus) and smaller MVNOs (e.g., Lebara, Amaysim).</w:t>
            </w:r>
            <w:r w:rsidRPr="00086293">
              <w:rPr>
                <w:rFonts w:ascii="Arial" w:hAnsi="Arial" w:cs="Arial"/>
              </w:rPr>
              <w:br/>
            </w:r>
            <w:r w:rsidRPr="00086293">
              <w:rPr>
                <w:rFonts w:ascii="Arial" w:hAnsi="Arial" w:cs="Arial"/>
              </w:rPr>
              <w:br/>
              <w:t>Telecommunications Act 1997</w:t>
            </w:r>
            <w:r w:rsidRPr="00086293">
              <w:rPr>
                <w:rFonts w:ascii="Arial" w:hAnsi="Arial" w:cs="Arial"/>
              </w:rPr>
              <w:br/>
            </w:r>
            <w:r w:rsidRPr="00086293">
              <w:rPr>
                <w:rFonts w:ascii="Arial" w:hAnsi="Arial" w:cs="Arial"/>
              </w:rPr>
              <w:br/>
              <w:t>Grants the ACCC specific powers to regulate access to telecommunications infrastructure, ensuring new entrants can compete fairly.</w:t>
            </w:r>
          </w:p>
        </w:tc>
      </w:tr>
      <w:tr w:rsidR="001734D9" w:rsidRPr="00086293" w14:paraId="6B706B18"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27DB882" w14:textId="77777777" w:rsidR="001734D9" w:rsidRPr="00086293" w:rsidRDefault="001734D9" w:rsidP="001734D9">
            <w:pPr>
              <w:rPr>
                <w:rFonts w:ascii="Arial" w:hAnsi="Arial" w:cs="Arial"/>
                <w:b/>
                <w:bCs/>
              </w:rPr>
            </w:pPr>
            <w:r w:rsidRPr="00086293">
              <w:rPr>
                <w:rFonts w:ascii="Arial" w:hAnsi="Arial" w:cs="Arial"/>
                <w:b/>
                <w:bCs/>
              </w:rPr>
              <w:t>Access Regulation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C1C0ECB" w14:textId="77777777" w:rsidR="001734D9" w:rsidRPr="00086293" w:rsidRDefault="001734D9" w:rsidP="001734D9">
            <w:pPr>
              <w:rPr>
                <w:rFonts w:ascii="Arial" w:hAnsi="Arial" w:cs="Arial"/>
              </w:rPr>
            </w:pPr>
            <w:r w:rsidRPr="00086293">
              <w:rPr>
                <w:rFonts w:ascii="Arial" w:hAnsi="Arial" w:cs="Arial"/>
              </w:rPr>
              <w:t>Declared Services:</w:t>
            </w:r>
            <w:r w:rsidRPr="00086293">
              <w:rPr>
                <w:rFonts w:ascii="Arial" w:hAnsi="Arial" w:cs="Arial"/>
              </w:rPr>
              <w:br/>
            </w:r>
            <w:r w:rsidRPr="00086293">
              <w:rPr>
                <w:rFonts w:ascii="Arial" w:hAnsi="Arial" w:cs="Arial"/>
              </w:rPr>
              <w:br/>
              <w:t>The ACCC can "declare" certain telecommunications services (e.g., wholesale access to fixed-line networks, NBN access, mobile roaming).</w:t>
            </w:r>
            <w:r w:rsidRPr="00086293">
              <w:rPr>
                <w:rFonts w:ascii="Arial" w:hAnsi="Arial" w:cs="Arial"/>
              </w:rPr>
              <w:br/>
            </w:r>
            <w:r w:rsidRPr="00086293">
              <w:rPr>
                <w:rFonts w:ascii="Arial" w:hAnsi="Arial" w:cs="Arial"/>
              </w:rPr>
              <w:br/>
              <w:t>Once declared, providers must give competitors access on fair and reasonable terms.</w:t>
            </w:r>
            <w:r w:rsidRPr="00086293">
              <w:rPr>
                <w:rFonts w:ascii="Arial" w:hAnsi="Arial" w:cs="Arial"/>
              </w:rPr>
              <w:br/>
            </w:r>
            <w:r w:rsidRPr="00086293">
              <w:rPr>
                <w:rFonts w:ascii="Arial" w:hAnsi="Arial" w:cs="Arial"/>
              </w:rPr>
              <w:br/>
              <w:t>Access Determinations:</w:t>
            </w:r>
            <w:r w:rsidRPr="00086293">
              <w:rPr>
                <w:rFonts w:ascii="Arial" w:hAnsi="Arial" w:cs="Arial"/>
              </w:rPr>
              <w:br/>
            </w:r>
            <w:r w:rsidRPr="00086293">
              <w:rPr>
                <w:rFonts w:ascii="Arial" w:hAnsi="Arial" w:cs="Arial"/>
              </w:rPr>
              <w:br/>
              <w:t>The ACCC sets binding rules on pricing and non-price terms for declared services.</w:t>
            </w:r>
            <w:r w:rsidRPr="00086293">
              <w:rPr>
                <w:rFonts w:ascii="Arial" w:hAnsi="Arial" w:cs="Arial"/>
              </w:rPr>
              <w:br/>
            </w:r>
            <w:r w:rsidRPr="00086293">
              <w:rPr>
                <w:rFonts w:ascii="Arial" w:hAnsi="Arial" w:cs="Arial"/>
              </w:rPr>
              <w:br/>
            </w:r>
            <w:r w:rsidRPr="00086293">
              <w:rPr>
                <w:rFonts w:ascii="Arial" w:hAnsi="Arial" w:cs="Arial"/>
              </w:rPr>
              <w:lastRenderedPageBreak/>
              <w:t>Ensures wholesale providers (e.g., Telstra, NBN Co, Optus) cannot exploit dominance by overcharging or restricting access.</w:t>
            </w:r>
            <w:r w:rsidRPr="00086293">
              <w:rPr>
                <w:rFonts w:ascii="Arial" w:hAnsi="Arial" w:cs="Arial"/>
              </w:rPr>
              <w:br/>
            </w:r>
            <w:r w:rsidRPr="00086293">
              <w:rPr>
                <w:rFonts w:ascii="Arial" w:hAnsi="Arial" w:cs="Arial"/>
              </w:rPr>
              <w:br/>
              <w:t>Final Access Determinations (FADs):</w:t>
            </w:r>
            <w:r w:rsidRPr="00086293">
              <w:rPr>
                <w:rFonts w:ascii="Arial" w:hAnsi="Arial" w:cs="Arial"/>
              </w:rPr>
              <w:br/>
            </w:r>
            <w:r w:rsidRPr="00086293">
              <w:rPr>
                <w:rFonts w:ascii="Arial" w:hAnsi="Arial" w:cs="Arial"/>
              </w:rPr>
              <w:br/>
              <w:t>Legally binding terms set by the ACCC if commercial negotiations between providers fail.</w:t>
            </w:r>
          </w:p>
        </w:tc>
      </w:tr>
      <w:tr w:rsidR="001734D9" w:rsidRPr="00086293" w14:paraId="6645EF5F"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52C96065" w14:textId="77777777" w:rsidR="001734D9" w:rsidRPr="00086293" w:rsidRDefault="001734D9" w:rsidP="001734D9">
            <w:pPr>
              <w:rPr>
                <w:rFonts w:ascii="Arial" w:hAnsi="Arial" w:cs="Arial"/>
                <w:b/>
                <w:bCs/>
              </w:rPr>
            </w:pPr>
            <w:r w:rsidRPr="00086293">
              <w:rPr>
                <w:rFonts w:ascii="Arial" w:hAnsi="Arial" w:cs="Arial"/>
                <w:b/>
                <w:bCs/>
              </w:rPr>
              <w:lastRenderedPageBreak/>
              <w:t>Price and Tariff Regulation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283D318" w14:textId="77777777" w:rsidR="001734D9" w:rsidRPr="00086293" w:rsidRDefault="001734D9" w:rsidP="001734D9">
            <w:pPr>
              <w:rPr>
                <w:rFonts w:ascii="Arial" w:hAnsi="Arial" w:cs="Arial"/>
              </w:rPr>
            </w:pPr>
            <w:r w:rsidRPr="00086293">
              <w:rPr>
                <w:rFonts w:ascii="Arial" w:hAnsi="Arial" w:cs="Arial"/>
              </w:rPr>
              <w:t>Wholesale pricing oversight:</w:t>
            </w:r>
            <w:r w:rsidRPr="00086293">
              <w:rPr>
                <w:rFonts w:ascii="Arial" w:hAnsi="Arial" w:cs="Arial"/>
              </w:rPr>
              <w:br/>
            </w:r>
            <w:r w:rsidRPr="00086293">
              <w:rPr>
                <w:rFonts w:ascii="Arial" w:hAnsi="Arial" w:cs="Arial"/>
              </w:rPr>
              <w:br/>
              <w:t>The ACCC monitors and regulates wholesale charges carriers impose on competitors.</w:t>
            </w:r>
            <w:r w:rsidRPr="00086293">
              <w:rPr>
                <w:rFonts w:ascii="Arial" w:hAnsi="Arial" w:cs="Arial"/>
              </w:rPr>
              <w:br/>
            </w:r>
            <w:r w:rsidRPr="00086293">
              <w:rPr>
                <w:rFonts w:ascii="Arial" w:hAnsi="Arial" w:cs="Arial"/>
              </w:rPr>
              <w:br/>
              <w:t>Example: NBN pricing, mobile roaming, transmission services.</w:t>
            </w:r>
            <w:r w:rsidRPr="00086293">
              <w:rPr>
                <w:rFonts w:ascii="Arial" w:hAnsi="Arial" w:cs="Arial"/>
              </w:rPr>
              <w:br/>
            </w:r>
            <w:r w:rsidRPr="00086293">
              <w:rPr>
                <w:rFonts w:ascii="Arial" w:hAnsi="Arial" w:cs="Arial"/>
              </w:rPr>
              <w:br/>
              <w:t>Retail price controls (historical):</w:t>
            </w:r>
            <w:r w:rsidRPr="00086293">
              <w:rPr>
                <w:rFonts w:ascii="Arial" w:hAnsi="Arial" w:cs="Arial"/>
              </w:rPr>
              <w:br/>
            </w:r>
            <w:r w:rsidRPr="00086293">
              <w:rPr>
                <w:rFonts w:ascii="Arial" w:hAnsi="Arial" w:cs="Arial"/>
              </w:rPr>
              <w:br/>
              <w:t>Used in the past for Telstra to prevent excessive pricing in monopoly areas.</w:t>
            </w:r>
          </w:p>
        </w:tc>
      </w:tr>
      <w:tr w:rsidR="001734D9" w:rsidRPr="00086293" w14:paraId="1D8C113D"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3FCFD6F" w14:textId="77777777" w:rsidR="001734D9" w:rsidRPr="00086293" w:rsidRDefault="001734D9" w:rsidP="001734D9">
            <w:pPr>
              <w:rPr>
                <w:rFonts w:ascii="Arial" w:hAnsi="Arial" w:cs="Arial"/>
                <w:b/>
                <w:bCs/>
              </w:rPr>
            </w:pPr>
            <w:r w:rsidRPr="00086293">
              <w:rPr>
                <w:rFonts w:ascii="Arial" w:hAnsi="Arial" w:cs="Arial"/>
                <w:b/>
                <w:bCs/>
              </w:rPr>
              <w:t>Merger Control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B9350B5" w14:textId="77777777" w:rsidR="001734D9" w:rsidRPr="00086293" w:rsidRDefault="001734D9" w:rsidP="001734D9">
            <w:pPr>
              <w:rPr>
                <w:rFonts w:ascii="Arial" w:hAnsi="Arial" w:cs="Arial"/>
              </w:rPr>
            </w:pPr>
            <w:r w:rsidRPr="00086293">
              <w:rPr>
                <w:rFonts w:ascii="Arial" w:hAnsi="Arial" w:cs="Arial"/>
              </w:rPr>
              <w:t>The ACCC assesses proposed mergers and acquisitions to prevent reduction in competition.</w:t>
            </w:r>
            <w:r w:rsidRPr="00086293">
              <w:rPr>
                <w:rFonts w:ascii="Arial" w:hAnsi="Arial" w:cs="Arial"/>
              </w:rPr>
              <w:br/>
            </w:r>
            <w:r w:rsidRPr="00086293">
              <w:rPr>
                <w:rFonts w:ascii="Arial" w:hAnsi="Arial" w:cs="Arial"/>
              </w:rPr>
              <w:br/>
              <w:t>Example: ACCC opposed the TPG–Vodafone merger in 2019 (though later overturned by the Federal Court).</w:t>
            </w:r>
            <w:r w:rsidRPr="00086293">
              <w:rPr>
                <w:rFonts w:ascii="Arial" w:hAnsi="Arial" w:cs="Arial"/>
              </w:rPr>
              <w:br/>
            </w:r>
            <w:r w:rsidRPr="00086293">
              <w:rPr>
                <w:rFonts w:ascii="Arial" w:hAnsi="Arial" w:cs="Arial"/>
              </w:rPr>
              <w:br/>
              <w:t>Focus: whether consolidation would substantially lessen competition in mobile, fixed-line, or wholesale markets.</w:t>
            </w:r>
          </w:p>
        </w:tc>
      </w:tr>
      <w:tr w:rsidR="001734D9" w:rsidRPr="00086293" w14:paraId="2A182041"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17E10B4" w14:textId="77777777" w:rsidR="001734D9" w:rsidRPr="00086293" w:rsidRDefault="001734D9" w:rsidP="001734D9">
            <w:pPr>
              <w:rPr>
                <w:rFonts w:ascii="Arial" w:hAnsi="Arial" w:cs="Arial"/>
                <w:b/>
                <w:bCs/>
              </w:rPr>
            </w:pPr>
            <w:r w:rsidRPr="00086293">
              <w:rPr>
                <w:rFonts w:ascii="Arial" w:hAnsi="Arial" w:cs="Arial"/>
                <w:b/>
                <w:bCs/>
              </w:rPr>
              <w:t>Anti-Competitive Conduct Enforcement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C537E10" w14:textId="77777777" w:rsidR="001734D9" w:rsidRPr="00086293" w:rsidRDefault="001734D9" w:rsidP="001734D9">
            <w:pPr>
              <w:rPr>
                <w:rFonts w:ascii="Arial" w:hAnsi="Arial" w:cs="Arial"/>
              </w:rPr>
            </w:pPr>
            <w:r w:rsidRPr="00086293">
              <w:rPr>
                <w:rFonts w:ascii="Arial" w:hAnsi="Arial" w:cs="Arial"/>
              </w:rPr>
              <w:t>Cartel Enforcement: Pursues agreements between providers that fix prices, share markets, or rig bids.</w:t>
            </w:r>
            <w:r w:rsidRPr="00086293">
              <w:rPr>
                <w:rFonts w:ascii="Arial" w:hAnsi="Arial" w:cs="Arial"/>
              </w:rPr>
              <w:br/>
            </w:r>
            <w:r w:rsidRPr="00086293">
              <w:rPr>
                <w:rFonts w:ascii="Arial" w:hAnsi="Arial" w:cs="Arial"/>
              </w:rPr>
              <w:br/>
              <w:t>Misuse of Market Power: Prevents dominant carriers from leveraging size to damage smaller competitors.</w:t>
            </w:r>
            <w:r w:rsidRPr="00086293">
              <w:rPr>
                <w:rFonts w:ascii="Arial" w:hAnsi="Arial" w:cs="Arial"/>
              </w:rPr>
              <w:br/>
            </w:r>
            <w:r w:rsidRPr="00086293">
              <w:rPr>
                <w:rFonts w:ascii="Arial" w:hAnsi="Arial" w:cs="Arial"/>
              </w:rPr>
              <w:br/>
              <w:t>Exclusive Dealing: Stops practices where a carrier limits another provider’s ability to compete (e.g., tying access to network infrastructure with other conditions).</w:t>
            </w:r>
            <w:r w:rsidRPr="00086293">
              <w:rPr>
                <w:rFonts w:ascii="Arial" w:hAnsi="Arial" w:cs="Arial"/>
              </w:rPr>
              <w:br/>
            </w:r>
            <w:r w:rsidRPr="00086293">
              <w:rPr>
                <w:rFonts w:ascii="Arial" w:hAnsi="Arial" w:cs="Arial"/>
              </w:rPr>
              <w:br/>
              <w:t>Court Action: The ACCC can take carriers to the Federal Court seeking injunctions, penalties, or compensation.</w:t>
            </w:r>
          </w:p>
        </w:tc>
      </w:tr>
      <w:tr w:rsidR="001734D9" w:rsidRPr="00086293" w14:paraId="5914DBC6"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7A9A1B93" w14:textId="77777777" w:rsidR="001734D9" w:rsidRPr="00086293" w:rsidRDefault="001734D9" w:rsidP="001734D9">
            <w:pPr>
              <w:rPr>
                <w:rFonts w:ascii="Arial" w:hAnsi="Arial" w:cs="Arial"/>
                <w:b/>
                <w:bCs/>
              </w:rPr>
            </w:pPr>
            <w:r w:rsidRPr="00086293">
              <w:rPr>
                <w:rFonts w:ascii="Arial" w:hAnsi="Arial" w:cs="Arial"/>
                <w:b/>
                <w:bCs/>
              </w:rPr>
              <w:t>Monitoring and Reporting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520DEED" w14:textId="77777777" w:rsidR="001734D9" w:rsidRPr="00086293" w:rsidRDefault="001734D9" w:rsidP="001734D9">
            <w:pPr>
              <w:rPr>
                <w:rFonts w:ascii="Arial" w:hAnsi="Arial" w:cs="Arial"/>
              </w:rPr>
            </w:pPr>
            <w:r w:rsidRPr="00086293">
              <w:rPr>
                <w:rFonts w:ascii="Arial" w:hAnsi="Arial" w:cs="Arial"/>
              </w:rPr>
              <w:t>Market Studies &amp; Inquiries:</w:t>
            </w:r>
            <w:r w:rsidRPr="00086293">
              <w:rPr>
                <w:rFonts w:ascii="Arial" w:hAnsi="Arial" w:cs="Arial"/>
              </w:rPr>
              <w:br/>
            </w:r>
            <w:r w:rsidRPr="00086293">
              <w:rPr>
                <w:rFonts w:ascii="Arial" w:hAnsi="Arial" w:cs="Arial"/>
              </w:rPr>
              <w:br/>
              <w:t>ACCC regularly conducts market reviews on broadband, mobile, and data services.</w:t>
            </w:r>
            <w:r w:rsidRPr="00086293">
              <w:rPr>
                <w:rFonts w:ascii="Arial" w:hAnsi="Arial" w:cs="Arial"/>
              </w:rPr>
              <w:br/>
            </w:r>
            <w:r w:rsidRPr="00086293">
              <w:rPr>
                <w:rFonts w:ascii="Arial" w:hAnsi="Arial" w:cs="Arial"/>
              </w:rPr>
              <w:br/>
              <w:t>Example: annual Communications Market Report.</w:t>
            </w:r>
            <w:r w:rsidRPr="00086293">
              <w:rPr>
                <w:rFonts w:ascii="Arial" w:hAnsi="Arial" w:cs="Arial"/>
              </w:rPr>
              <w:br/>
            </w:r>
            <w:r w:rsidRPr="00086293">
              <w:rPr>
                <w:rFonts w:ascii="Arial" w:hAnsi="Arial" w:cs="Arial"/>
              </w:rPr>
              <w:br/>
              <w:t>NBN Wholesale Market Indicators Report:</w:t>
            </w:r>
            <w:r w:rsidRPr="00086293">
              <w:rPr>
                <w:rFonts w:ascii="Arial" w:hAnsi="Arial" w:cs="Arial"/>
              </w:rPr>
              <w:br/>
            </w:r>
            <w:r w:rsidRPr="00086293">
              <w:rPr>
                <w:rFonts w:ascii="Arial" w:hAnsi="Arial" w:cs="Arial"/>
              </w:rPr>
              <w:br/>
              <w:t>Tracks competition by publishing data on wholesale services purchased from NBN Co by retailers.</w:t>
            </w:r>
            <w:r w:rsidRPr="00086293">
              <w:rPr>
                <w:rFonts w:ascii="Arial" w:hAnsi="Arial" w:cs="Arial"/>
              </w:rPr>
              <w:br/>
            </w:r>
            <w:r w:rsidRPr="00086293">
              <w:rPr>
                <w:rFonts w:ascii="Arial" w:hAnsi="Arial" w:cs="Arial"/>
              </w:rPr>
              <w:br/>
              <w:t>Price Monitoring:</w:t>
            </w:r>
            <w:r w:rsidRPr="00086293">
              <w:rPr>
                <w:rFonts w:ascii="Arial" w:hAnsi="Arial" w:cs="Arial"/>
              </w:rPr>
              <w:br/>
            </w:r>
            <w:r w:rsidRPr="00086293">
              <w:rPr>
                <w:rFonts w:ascii="Arial" w:hAnsi="Arial" w:cs="Arial"/>
              </w:rPr>
              <w:br/>
            </w:r>
            <w:r w:rsidRPr="00086293">
              <w:rPr>
                <w:rFonts w:ascii="Arial" w:hAnsi="Arial" w:cs="Arial"/>
              </w:rPr>
              <w:lastRenderedPageBreak/>
              <w:t>Monitors prices for fixed-line, mobile, and internet services to ensure competitive trends.</w:t>
            </w:r>
          </w:p>
        </w:tc>
      </w:tr>
      <w:tr w:rsidR="001734D9" w:rsidRPr="00086293" w14:paraId="15B1E29C"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1040252E" w14:textId="77777777" w:rsidR="001734D9" w:rsidRPr="00086293" w:rsidRDefault="001734D9" w:rsidP="001734D9">
            <w:pPr>
              <w:rPr>
                <w:rFonts w:ascii="Arial" w:hAnsi="Arial" w:cs="Arial"/>
                <w:b/>
                <w:bCs/>
              </w:rPr>
            </w:pPr>
            <w:r w:rsidRPr="00086293">
              <w:rPr>
                <w:rFonts w:ascii="Arial" w:hAnsi="Arial" w:cs="Arial"/>
                <w:b/>
                <w:bCs/>
              </w:rPr>
              <w:lastRenderedPageBreak/>
              <w:t>Authorisations &amp; Exemptions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7DF1EEB" w14:textId="77777777" w:rsidR="001734D9" w:rsidRPr="00086293" w:rsidRDefault="001734D9" w:rsidP="001734D9">
            <w:pPr>
              <w:rPr>
                <w:rFonts w:ascii="Arial" w:hAnsi="Arial" w:cs="Arial"/>
              </w:rPr>
            </w:pPr>
            <w:r w:rsidRPr="00086293">
              <w:rPr>
                <w:rFonts w:ascii="Arial" w:hAnsi="Arial" w:cs="Arial"/>
              </w:rPr>
              <w:t>The ACCC may authorise potentially anti-competitive agreements if the public benefit outweighs detriment.</w:t>
            </w:r>
            <w:r w:rsidRPr="00086293">
              <w:rPr>
                <w:rFonts w:ascii="Arial" w:hAnsi="Arial" w:cs="Arial"/>
              </w:rPr>
              <w:br/>
            </w:r>
            <w:r w:rsidRPr="00086293">
              <w:rPr>
                <w:rFonts w:ascii="Arial" w:hAnsi="Arial" w:cs="Arial"/>
              </w:rPr>
              <w:br/>
              <w:t>Allows collaboration in areas like infrastructure sharing (e.g., regional mobile roaming) where consumer benefits are clear.</w:t>
            </w:r>
          </w:p>
        </w:tc>
      </w:tr>
      <w:tr w:rsidR="001734D9" w:rsidRPr="00086293" w14:paraId="0A5117E6"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644F27DA" w14:textId="77777777" w:rsidR="001734D9" w:rsidRPr="00086293" w:rsidRDefault="001734D9" w:rsidP="001734D9">
            <w:pPr>
              <w:rPr>
                <w:rFonts w:ascii="Arial" w:hAnsi="Arial" w:cs="Arial"/>
                <w:b/>
                <w:bCs/>
              </w:rPr>
            </w:pPr>
            <w:r w:rsidRPr="00086293">
              <w:rPr>
                <w:rFonts w:ascii="Arial" w:hAnsi="Arial" w:cs="Arial"/>
                <w:b/>
                <w:bCs/>
              </w:rPr>
              <w:t>Consumer Protection Enforcement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BB8C457" w14:textId="77777777" w:rsidR="001734D9" w:rsidRPr="00086293" w:rsidRDefault="001734D9" w:rsidP="001734D9">
            <w:pPr>
              <w:rPr>
                <w:rFonts w:ascii="Arial" w:hAnsi="Arial" w:cs="Arial"/>
              </w:rPr>
            </w:pPr>
            <w:r w:rsidRPr="00086293">
              <w:rPr>
                <w:rFonts w:ascii="Arial" w:hAnsi="Arial" w:cs="Arial"/>
              </w:rPr>
              <w:t>Enforces provisions under the Australian Consumer Law (ACL) against misleading advertising, unfair contract terms, and unconscionable conduct.</w:t>
            </w:r>
            <w:r w:rsidRPr="00086293">
              <w:rPr>
                <w:rFonts w:ascii="Arial" w:hAnsi="Arial" w:cs="Arial"/>
              </w:rPr>
              <w:br/>
            </w:r>
            <w:r w:rsidRPr="00086293">
              <w:rPr>
                <w:rFonts w:ascii="Arial" w:hAnsi="Arial" w:cs="Arial"/>
              </w:rPr>
              <w:br/>
              <w:t>Particularly relevant for telcos marketing mobile data inclusions, NBN speeds, or “unlimited” plans.</w:t>
            </w:r>
          </w:p>
        </w:tc>
      </w:tr>
      <w:tr w:rsidR="001734D9" w:rsidRPr="00086293" w14:paraId="22D3A20C"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640E814F" w14:textId="77777777" w:rsidR="001734D9" w:rsidRPr="00086293" w:rsidRDefault="001734D9" w:rsidP="001734D9">
            <w:pPr>
              <w:rPr>
                <w:rFonts w:ascii="Arial" w:hAnsi="Arial" w:cs="Arial"/>
                <w:b/>
                <w:bCs/>
              </w:rPr>
            </w:pPr>
            <w:r w:rsidRPr="00086293">
              <w:rPr>
                <w:rFonts w:ascii="Arial" w:hAnsi="Arial" w:cs="Arial"/>
                <w:b/>
                <w:bCs/>
              </w:rPr>
              <w:t>Undertakings &amp; Compliance Programs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B839ABA" w14:textId="77777777" w:rsidR="001734D9" w:rsidRPr="00086293" w:rsidRDefault="001734D9" w:rsidP="001734D9">
            <w:pPr>
              <w:rPr>
                <w:rFonts w:ascii="Arial" w:hAnsi="Arial" w:cs="Arial"/>
              </w:rPr>
            </w:pPr>
            <w:r w:rsidRPr="00086293">
              <w:rPr>
                <w:rFonts w:ascii="Arial" w:hAnsi="Arial" w:cs="Arial"/>
              </w:rPr>
              <w:t>The ACCC may accept court-enforceable undertakings from providers to change behaviour instead of proceeding with litigation.</w:t>
            </w:r>
            <w:r w:rsidRPr="00086293">
              <w:rPr>
                <w:rFonts w:ascii="Arial" w:hAnsi="Arial" w:cs="Arial"/>
              </w:rPr>
              <w:br/>
            </w:r>
            <w:r w:rsidRPr="00086293">
              <w:rPr>
                <w:rFonts w:ascii="Arial" w:hAnsi="Arial" w:cs="Arial"/>
              </w:rPr>
              <w:br/>
              <w:t>Example: Telcos committing to clearer advertising of broadband speeds.</w:t>
            </w:r>
            <w:r w:rsidRPr="00086293">
              <w:rPr>
                <w:rFonts w:ascii="Arial" w:hAnsi="Arial" w:cs="Arial"/>
              </w:rPr>
              <w:br/>
            </w:r>
            <w:r w:rsidRPr="00086293">
              <w:rPr>
                <w:rFonts w:ascii="Arial" w:hAnsi="Arial" w:cs="Arial"/>
              </w:rPr>
              <w:br/>
              <w:t>Requires service providers to implement internal compliance programs to prevent recurrence.</w:t>
            </w:r>
          </w:p>
        </w:tc>
      </w:tr>
    </w:tbl>
    <w:p w14:paraId="585CF922" w14:textId="77777777" w:rsidR="00E00D96" w:rsidRPr="00086293" w:rsidRDefault="00E00D96" w:rsidP="004106C8">
      <w:pPr>
        <w:rPr>
          <w:rFonts w:ascii="Arial" w:hAnsi="Arial" w:cs="Arial"/>
        </w:rPr>
      </w:pPr>
    </w:p>
    <w:p w14:paraId="18120FF0" w14:textId="77777777" w:rsidR="004106C8" w:rsidRPr="00086293" w:rsidRDefault="004106C8" w:rsidP="004106C8">
      <w:pPr>
        <w:rPr>
          <w:rFonts w:ascii="Arial" w:hAnsi="Arial" w:cs="Arial"/>
        </w:rPr>
      </w:pPr>
    </w:p>
    <w:p w14:paraId="07FA23D0" w14:textId="77777777" w:rsidR="004106C8" w:rsidRPr="00086293" w:rsidRDefault="004106C8" w:rsidP="004106C8">
      <w:pPr>
        <w:pStyle w:val="Heading3"/>
      </w:pPr>
      <w:r w:rsidRPr="00086293">
        <w:t>4. What are the policies and procedures of the ACCC (at least one)?</w:t>
      </w:r>
    </w:p>
    <w:p w14:paraId="223C89D4" w14:textId="72A34252" w:rsidR="004106C8" w:rsidRPr="00086293" w:rsidRDefault="00F24A35" w:rsidP="004106C8">
      <w:pPr>
        <w:rPr>
          <w:rFonts w:ascii="Arial" w:hAnsi="Arial" w:cs="Arial"/>
        </w:rPr>
      </w:pPr>
      <w:hyperlink r:id="rId17" w:anchor=":~:text=Accountability%20%E2%80%93%20the%20ACCC's%20decision%2Dmaking,the%20resulting%20or%20potential%20harm" w:history="1">
        <w:r w:rsidRPr="00086293">
          <w:rPr>
            <w:rStyle w:val="Hyperlink"/>
            <w:rFonts w:ascii="Arial" w:hAnsi="Arial" w:cs="Arial"/>
          </w:rPr>
          <w:t>https://www.accc.gov.au/about-us/accc-priorities/compliance-and-enforcement-priorities#:~:text=Accountability%20%E2%80%93%20the%20ACCC's%20decision%2Dmaking,the%20resulting%20or%20potential%20harm</w:t>
        </w:r>
      </w:hyperlink>
      <w:r w:rsidR="004106C8" w:rsidRPr="00086293">
        <w:rPr>
          <w:rFonts w:ascii="Arial" w:hAnsi="Arial" w:cs="Arial"/>
        </w:rPr>
        <w:t>.</w:t>
      </w:r>
      <w:r w:rsidRPr="00086293">
        <w:rPr>
          <w:rFonts w:ascii="Arial" w:hAnsi="Arial" w:cs="Arial"/>
        </w:rPr>
        <w:t xml:space="preserve"> </w:t>
      </w:r>
    </w:p>
    <w:p w14:paraId="07804463" w14:textId="77777777" w:rsidR="004106C8" w:rsidRPr="00086293" w:rsidRDefault="004106C8" w:rsidP="004106C8">
      <w:pPr>
        <w:rPr>
          <w:rFonts w:ascii="Arial" w:hAnsi="Arial" w:cs="Arial"/>
        </w:rPr>
      </w:pPr>
    </w:p>
    <w:p w14:paraId="5ECC508C" w14:textId="77777777" w:rsidR="004106C8" w:rsidRPr="00086293" w:rsidRDefault="004106C8" w:rsidP="004106C8">
      <w:pPr>
        <w:rPr>
          <w:rFonts w:ascii="Arial" w:hAnsi="Arial" w:cs="Arial"/>
        </w:rPr>
      </w:pPr>
      <w:r w:rsidRPr="00086293">
        <w:rPr>
          <w:rFonts w:ascii="Arial" w:hAnsi="Arial" w:cs="Arial"/>
        </w:rPr>
        <w:t>This policy establishes priorities to be achieved during the current year and also prioritizes long-term conduct, for example:</w:t>
      </w:r>
    </w:p>
    <w:p w14:paraId="5F3AE8BE" w14:textId="77777777" w:rsidR="004106C8" w:rsidRPr="00086293" w:rsidRDefault="004106C8" w:rsidP="004106C8">
      <w:pPr>
        <w:rPr>
          <w:rFonts w:ascii="Arial" w:hAnsi="Arial" w:cs="Arial"/>
        </w:rPr>
      </w:pPr>
    </w:p>
    <w:p w14:paraId="71FFB1B6" w14:textId="77777777" w:rsidR="004106C8" w:rsidRPr="00086293" w:rsidRDefault="004106C8" w:rsidP="004106C8">
      <w:pPr>
        <w:rPr>
          <w:rFonts w:ascii="Arial" w:hAnsi="Arial" w:cs="Arial"/>
        </w:rPr>
      </w:pPr>
      <w:r w:rsidRPr="00086293">
        <w:rPr>
          <w:rFonts w:ascii="Arial" w:hAnsi="Arial" w:cs="Arial"/>
        </w:rPr>
        <w:t>- Cartel conduct</w:t>
      </w:r>
    </w:p>
    <w:p w14:paraId="79519A82" w14:textId="77777777" w:rsidR="004106C8" w:rsidRPr="00086293" w:rsidRDefault="004106C8" w:rsidP="004106C8">
      <w:pPr>
        <w:rPr>
          <w:rFonts w:ascii="Arial" w:hAnsi="Arial" w:cs="Arial"/>
        </w:rPr>
      </w:pPr>
      <w:r w:rsidRPr="00086293">
        <w:rPr>
          <w:rFonts w:ascii="Arial" w:hAnsi="Arial" w:cs="Arial"/>
        </w:rPr>
        <w:t>- Anti-competitive conduct</w:t>
      </w:r>
    </w:p>
    <w:p w14:paraId="4AA1761F" w14:textId="77777777" w:rsidR="004106C8" w:rsidRPr="00086293" w:rsidRDefault="004106C8" w:rsidP="004106C8">
      <w:pPr>
        <w:rPr>
          <w:rFonts w:ascii="Arial" w:hAnsi="Arial" w:cs="Arial"/>
        </w:rPr>
      </w:pPr>
      <w:r w:rsidRPr="00086293">
        <w:rPr>
          <w:rFonts w:ascii="Arial" w:hAnsi="Arial" w:cs="Arial"/>
        </w:rPr>
        <w:t>- Product safety</w:t>
      </w:r>
    </w:p>
    <w:p w14:paraId="2F3D57B5" w14:textId="77777777" w:rsidR="004106C8" w:rsidRPr="00086293" w:rsidRDefault="004106C8" w:rsidP="004106C8">
      <w:pPr>
        <w:rPr>
          <w:rFonts w:ascii="Arial" w:hAnsi="Arial" w:cs="Arial"/>
        </w:rPr>
      </w:pPr>
      <w:r w:rsidRPr="00086293">
        <w:rPr>
          <w:rFonts w:ascii="Arial" w:hAnsi="Arial" w:cs="Arial"/>
        </w:rPr>
        <w:t>- Consumers experiencing vulnerability or disadvantage</w:t>
      </w:r>
    </w:p>
    <w:p w14:paraId="5F5A896D" w14:textId="77777777" w:rsidR="004106C8" w:rsidRPr="00086293" w:rsidRDefault="004106C8" w:rsidP="004106C8">
      <w:pPr>
        <w:rPr>
          <w:rFonts w:ascii="Arial" w:hAnsi="Arial" w:cs="Arial"/>
        </w:rPr>
      </w:pPr>
      <w:r w:rsidRPr="00086293">
        <w:rPr>
          <w:rFonts w:ascii="Arial" w:hAnsi="Arial" w:cs="Arial"/>
        </w:rPr>
        <w:t>- Conduct impacting First Nations Australians</w:t>
      </w:r>
    </w:p>
    <w:p w14:paraId="2F571029" w14:textId="77777777" w:rsidR="004106C8" w:rsidRPr="00086293" w:rsidRDefault="004106C8" w:rsidP="004106C8">
      <w:pPr>
        <w:rPr>
          <w:rFonts w:ascii="Arial" w:hAnsi="Arial" w:cs="Arial"/>
        </w:rPr>
      </w:pPr>
      <w:r w:rsidRPr="00086293">
        <w:rPr>
          <w:rFonts w:ascii="Arial" w:hAnsi="Arial" w:cs="Arial"/>
        </w:rPr>
        <w:t>- Small business</w:t>
      </w:r>
    </w:p>
    <w:p w14:paraId="3A13CE82" w14:textId="77777777" w:rsidR="004106C8" w:rsidRPr="00086293" w:rsidRDefault="004106C8" w:rsidP="004106C8">
      <w:pPr>
        <w:rPr>
          <w:rFonts w:ascii="Arial" w:hAnsi="Arial" w:cs="Arial"/>
        </w:rPr>
      </w:pPr>
      <w:r w:rsidRPr="00086293">
        <w:rPr>
          <w:rFonts w:ascii="Arial" w:hAnsi="Arial" w:cs="Arial"/>
        </w:rPr>
        <w:t>- Scams</w:t>
      </w:r>
    </w:p>
    <w:p w14:paraId="24E6345C" w14:textId="77777777" w:rsidR="004106C8" w:rsidRPr="00086293" w:rsidRDefault="004106C8" w:rsidP="004106C8">
      <w:pPr>
        <w:rPr>
          <w:rFonts w:ascii="Arial" w:hAnsi="Arial" w:cs="Arial"/>
        </w:rPr>
      </w:pPr>
    </w:p>
    <w:p w14:paraId="2E736CD0" w14:textId="77777777" w:rsidR="004106C8" w:rsidRPr="00086293" w:rsidRDefault="004106C8" w:rsidP="004106C8">
      <w:pPr>
        <w:rPr>
          <w:rFonts w:ascii="Arial" w:hAnsi="Arial" w:cs="Arial"/>
        </w:rPr>
      </w:pPr>
      <w:r w:rsidRPr="00086293">
        <w:rPr>
          <w:rFonts w:ascii="Arial" w:hAnsi="Arial" w:cs="Arial"/>
        </w:rPr>
        <w:t>Policy principles:</w:t>
      </w:r>
    </w:p>
    <w:p w14:paraId="1D2234AB" w14:textId="77777777" w:rsidR="004106C8" w:rsidRPr="00086293" w:rsidRDefault="004106C8" w:rsidP="004106C8">
      <w:pPr>
        <w:rPr>
          <w:rFonts w:ascii="Arial" w:hAnsi="Arial" w:cs="Arial"/>
        </w:rPr>
      </w:pPr>
      <w:r w:rsidRPr="00086293">
        <w:rPr>
          <w:rFonts w:ascii="Arial" w:hAnsi="Arial" w:cs="Arial"/>
        </w:rPr>
        <w:t>- Accountability</w:t>
      </w:r>
    </w:p>
    <w:p w14:paraId="444B3413" w14:textId="77777777" w:rsidR="004106C8" w:rsidRPr="00086293" w:rsidRDefault="004106C8" w:rsidP="004106C8">
      <w:pPr>
        <w:rPr>
          <w:rFonts w:ascii="Arial" w:hAnsi="Arial" w:cs="Arial"/>
        </w:rPr>
      </w:pPr>
      <w:r w:rsidRPr="00086293">
        <w:rPr>
          <w:rFonts w:ascii="Arial" w:hAnsi="Arial" w:cs="Arial"/>
        </w:rPr>
        <w:t>- Transparency</w:t>
      </w:r>
    </w:p>
    <w:p w14:paraId="1419A056" w14:textId="77777777" w:rsidR="004106C8" w:rsidRPr="00086293" w:rsidRDefault="004106C8" w:rsidP="004106C8">
      <w:pPr>
        <w:rPr>
          <w:rFonts w:ascii="Arial" w:hAnsi="Arial" w:cs="Arial"/>
        </w:rPr>
      </w:pPr>
      <w:r w:rsidRPr="00086293">
        <w:rPr>
          <w:rFonts w:ascii="Arial" w:hAnsi="Arial" w:cs="Arial"/>
        </w:rPr>
        <w:t>- Confidentiality</w:t>
      </w:r>
    </w:p>
    <w:p w14:paraId="3628B824" w14:textId="77777777" w:rsidR="004106C8" w:rsidRPr="00086293" w:rsidRDefault="004106C8" w:rsidP="004106C8">
      <w:pPr>
        <w:rPr>
          <w:rFonts w:ascii="Arial" w:hAnsi="Arial" w:cs="Arial"/>
        </w:rPr>
      </w:pPr>
      <w:r w:rsidRPr="00086293">
        <w:rPr>
          <w:rFonts w:ascii="Arial" w:hAnsi="Arial" w:cs="Arial"/>
        </w:rPr>
        <w:t>- Timeliness</w:t>
      </w:r>
    </w:p>
    <w:p w14:paraId="532D200F" w14:textId="77777777" w:rsidR="004106C8" w:rsidRPr="00086293" w:rsidRDefault="004106C8" w:rsidP="004106C8">
      <w:pPr>
        <w:rPr>
          <w:rFonts w:ascii="Arial" w:hAnsi="Arial" w:cs="Arial"/>
        </w:rPr>
      </w:pPr>
      <w:r w:rsidRPr="00086293">
        <w:rPr>
          <w:rFonts w:ascii="Arial" w:hAnsi="Arial" w:cs="Arial"/>
        </w:rPr>
        <w:t>- Proportionality</w:t>
      </w:r>
    </w:p>
    <w:p w14:paraId="0533B745" w14:textId="77777777" w:rsidR="004106C8" w:rsidRPr="00086293" w:rsidRDefault="004106C8" w:rsidP="004106C8">
      <w:pPr>
        <w:rPr>
          <w:rFonts w:ascii="Arial" w:hAnsi="Arial" w:cs="Arial"/>
        </w:rPr>
      </w:pPr>
      <w:r w:rsidRPr="00086293">
        <w:rPr>
          <w:rFonts w:ascii="Arial" w:hAnsi="Arial" w:cs="Arial"/>
        </w:rPr>
        <w:t>- Fairness</w:t>
      </w:r>
    </w:p>
    <w:p w14:paraId="2C0A810C" w14:textId="77777777" w:rsidR="004106C8" w:rsidRPr="00086293" w:rsidRDefault="004106C8" w:rsidP="004106C8">
      <w:pPr>
        <w:rPr>
          <w:rFonts w:ascii="Arial" w:hAnsi="Arial" w:cs="Arial"/>
        </w:rPr>
      </w:pPr>
    </w:p>
    <w:p w14:paraId="2A057EEE" w14:textId="77777777" w:rsidR="004106C8" w:rsidRPr="00086293" w:rsidRDefault="004106C8" w:rsidP="004106C8">
      <w:pPr>
        <w:rPr>
          <w:rFonts w:ascii="Arial" w:hAnsi="Arial" w:cs="Arial"/>
        </w:rPr>
      </w:pPr>
      <w:r w:rsidRPr="00086293">
        <w:rPr>
          <w:rFonts w:ascii="Arial" w:hAnsi="Arial" w:cs="Arial"/>
        </w:rPr>
        <w:t>The ACCC has several enforcement measures:</w:t>
      </w:r>
    </w:p>
    <w:p w14:paraId="2FE33492" w14:textId="77777777" w:rsidR="004106C8" w:rsidRPr="00086293" w:rsidRDefault="004106C8" w:rsidP="004106C8">
      <w:pPr>
        <w:rPr>
          <w:rFonts w:ascii="Arial" w:hAnsi="Arial" w:cs="Arial"/>
        </w:rPr>
      </w:pPr>
    </w:p>
    <w:p w14:paraId="3A64A326" w14:textId="77777777" w:rsidR="004106C8" w:rsidRPr="00086293" w:rsidRDefault="004106C8" w:rsidP="004106C8">
      <w:pPr>
        <w:rPr>
          <w:rFonts w:ascii="Arial" w:hAnsi="Arial" w:cs="Arial"/>
        </w:rPr>
      </w:pPr>
      <w:r w:rsidRPr="00086293">
        <w:rPr>
          <w:rFonts w:ascii="Arial" w:hAnsi="Arial" w:cs="Arial"/>
        </w:rPr>
        <w:lastRenderedPageBreak/>
        <w:t>1. Administrative Resolution: Mandates the conduct to be stopped</w:t>
      </w:r>
    </w:p>
    <w:p w14:paraId="41D3C80A" w14:textId="77777777" w:rsidR="004106C8" w:rsidRPr="00086293" w:rsidRDefault="004106C8" w:rsidP="004106C8">
      <w:pPr>
        <w:rPr>
          <w:rFonts w:ascii="Arial" w:hAnsi="Arial" w:cs="Arial"/>
        </w:rPr>
      </w:pPr>
      <w:r w:rsidRPr="00086293">
        <w:rPr>
          <w:rFonts w:ascii="Arial" w:hAnsi="Arial" w:cs="Arial"/>
        </w:rPr>
        <w:t>2. Infringement Notices: Notice and infringement</w:t>
      </w:r>
    </w:p>
    <w:p w14:paraId="74ADFC4D" w14:textId="77777777" w:rsidR="004106C8" w:rsidRPr="00086293" w:rsidRDefault="004106C8" w:rsidP="004106C8">
      <w:pPr>
        <w:rPr>
          <w:rFonts w:ascii="Arial" w:hAnsi="Arial" w:cs="Arial"/>
        </w:rPr>
      </w:pPr>
      <w:r w:rsidRPr="00086293">
        <w:rPr>
          <w:rFonts w:ascii="Arial" w:hAnsi="Arial" w:cs="Arial"/>
        </w:rPr>
        <w:t>3. Enforceable Undertakings (Section 87B): An administrative resolution and infringement notice are issued.</w:t>
      </w:r>
    </w:p>
    <w:p w14:paraId="51B4F98D" w14:textId="77777777" w:rsidR="004106C8" w:rsidRPr="00086293" w:rsidRDefault="004106C8" w:rsidP="004106C8">
      <w:pPr>
        <w:rPr>
          <w:rFonts w:ascii="Arial" w:hAnsi="Arial" w:cs="Arial"/>
        </w:rPr>
      </w:pPr>
      <w:r w:rsidRPr="00086293">
        <w:rPr>
          <w:rFonts w:ascii="Arial" w:hAnsi="Arial" w:cs="Arial"/>
        </w:rPr>
        <w:t>4. Court Cases: Imposition of judicial sanctions</w:t>
      </w:r>
    </w:p>
    <w:p w14:paraId="26D67F80" w14:textId="77777777" w:rsidR="004106C8" w:rsidRPr="00086293" w:rsidRDefault="004106C8" w:rsidP="004106C8">
      <w:pPr>
        <w:rPr>
          <w:rFonts w:ascii="Arial" w:hAnsi="Arial" w:cs="Arial"/>
        </w:rPr>
      </w:pPr>
      <w:r w:rsidRPr="00086293">
        <w:rPr>
          <w:rFonts w:ascii="Arial" w:hAnsi="Arial" w:cs="Arial"/>
        </w:rPr>
        <w:t>5. Debarment: Officials of the offending company are debarred</w:t>
      </w:r>
    </w:p>
    <w:p w14:paraId="0DE60CD9" w14:textId="77777777" w:rsidR="004106C8" w:rsidRPr="00086293" w:rsidRDefault="004106C8" w:rsidP="004106C8">
      <w:pPr>
        <w:rPr>
          <w:rFonts w:ascii="Arial" w:hAnsi="Arial" w:cs="Arial"/>
        </w:rPr>
      </w:pPr>
    </w:p>
    <w:p w14:paraId="4D878EEA" w14:textId="77777777" w:rsidR="004106C8" w:rsidRPr="00086293" w:rsidRDefault="004106C8" w:rsidP="004106C8">
      <w:pPr>
        <w:rPr>
          <w:rFonts w:ascii="Arial" w:hAnsi="Arial" w:cs="Arial"/>
        </w:rPr>
      </w:pPr>
      <w:r w:rsidRPr="00086293">
        <w:rPr>
          <w:rFonts w:ascii="Arial" w:hAnsi="Arial" w:cs="Arial"/>
        </w:rPr>
        <w:t>The ACCC also takes other, less aggressive actions and collaborates with other agencies.</w:t>
      </w:r>
    </w:p>
    <w:p w14:paraId="26410590" w14:textId="77777777" w:rsidR="001734D9" w:rsidRPr="00086293" w:rsidRDefault="001734D9" w:rsidP="004106C8">
      <w:pPr>
        <w:rPr>
          <w:rFonts w:ascii="Arial" w:hAnsi="Arial" w:cs="Arial"/>
        </w:rPr>
      </w:pPr>
    </w:p>
    <w:tbl>
      <w:tblPr>
        <w:tblW w:w="0" w:type="dxa"/>
        <w:tblCellMar>
          <w:left w:w="0" w:type="dxa"/>
          <w:right w:w="0" w:type="dxa"/>
        </w:tblCellMar>
        <w:tblLook w:val="04A0" w:firstRow="1" w:lastRow="0" w:firstColumn="1" w:lastColumn="0" w:noHBand="0" w:noVBand="1"/>
      </w:tblPr>
      <w:tblGrid>
        <w:gridCol w:w="4584"/>
        <w:gridCol w:w="17004"/>
      </w:tblGrid>
      <w:tr w:rsidR="001734D9" w:rsidRPr="00086293" w14:paraId="67150823" w14:textId="77777777">
        <w:trPr>
          <w:trHeight w:val="69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9900"/>
            <w:tcMar>
              <w:top w:w="0" w:type="dxa"/>
              <w:left w:w="45" w:type="dxa"/>
              <w:bottom w:w="0" w:type="dxa"/>
              <w:right w:w="45" w:type="dxa"/>
            </w:tcMar>
            <w:hideMark/>
          </w:tcPr>
          <w:p w14:paraId="390A9C25" w14:textId="77777777" w:rsidR="001734D9" w:rsidRPr="00086293" w:rsidRDefault="001734D9" w:rsidP="001734D9">
            <w:pPr>
              <w:rPr>
                <w:rFonts w:ascii="Arial" w:hAnsi="Arial" w:cs="Arial"/>
                <w:b/>
                <w:bCs/>
              </w:rPr>
            </w:pPr>
            <w:r w:rsidRPr="00086293">
              <w:rPr>
                <w:rFonts w:ascii="Arial" w:hAnsi="Arial" w:cs="Arial"/>
                <w:b/>
                <w:bCs/>
              </w:rPr>
              <w:t>Consumer Commission (ACCC) to enforce competitive provisions between service providers</w:t>
            </w:r>
          </w:p>
        </w:tc>
      </w:tr>
      <w:tr w:rsidR="001734D9" w:rsidRPr="00086293" w14:paraId="5B109944"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CE6189B" w14:textId="77777777" w:rsidR="001734D9" w:rsidRPr="00086293" w:rsidRDefault="001734D9" w:rsidP="001734D9">
            <w:pPr>
              <w:rPr>
                <w:rFonts w:ascii="Arial" w:hAnsi="Arial" w:cs="Arial"/>
                <w:b/>
                <w:bCs/>
              </w:rPr>
            </w:pPr>
            <w:r w:rsidRPr="00086293">
              <w:rPr>
                <w:rFonts w:ascii="Arial" w:hAnsi="Arial" w:cs="Arial"/>
                <w:b/>
                <w:bCs/>
              </w:rPr>
              <w:t>Method</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124ACFBF" w14:textId="77777777" w:rsidR="001734D9" w:rsidRPr="00086293" w:rsidRDefault="001734D9" w:rsidP="001734D9">
            <w:pPr>
              <w:rPr>
                <w:rFonts w:ascii="Arial" w:hAnsi="Arial" w:cs="Arial"/>
                <w:b/>
                <w:bCs/>
              </w:rPr>
            </w:pPr>
            <w:r w:rsidRPr="00086293">
              <w:rPr>
                <w:rFonts w:ascii="Arial" w:hAnsi="Arial" w:cs="Arial"/>
                <w:b/>
                <w:bCs/>
              </w:rPr>
              <w:t>Details / How ACCC Enforces</w:t>
            </w:r>
          </w:p>
        </w:tc>
      </w:tr>
      <w:tr w:rsidR="001734D9" w:rsidRPr="00086293" w14:paraId="0D70A570"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6D4BF77" w14:textId="77777777" w:rsidR="001734D9" w:rsidRPr="00086293" w:rsidRDefault="001734D9" w:rsidP="001734D9">
            <w:pPr>
              <w:rPr>
                <w:rFonts w:ascii="Arial" w:hAnsi="Arial" w:cs="Arial"/>
                <w:b/>
                <w:bCs/>
              </w:rPr>
            </w:pPr>
            <w:r w:rsidRPr="00086293">
              <w:rPr>
                <w:rFonts w:ascii="Arial" w:hAnsi="Arial" w:cs="Arial"/>
                <w:b/>
                <w:bCs/>
              </w:rPr>
              <w:t>Legislative Powers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AC1F213" w14:textId="77777777" w:rsidR="001734D9" w:rsidRPr="00086293" w:rsidRDefault="001734D9" w:rsidP="001734D9">
            <w:pPr>
              <w:rPr>
                <w:rFonts w:ascii="Arial" w:hAnsi="Arial" w:cs="Arial"/>
              </w:rPr>
            </w:pPr>
            <w:r w:rsidRPr="00086293">
              <w:rPr>
                <w:rFonts w:ascii="Arial" w:hAnsi="Arial" w:cs="Arial"/>
              </w:rPr>
              <w:t>Competition and Consumer Act 2010 (CCA)</w:t>
            </w:r>
            <w:r w:rsidRPr="00086293">
              <w:rPr>
                <w:rFonts w:ascii="Arial" w:hAnsi="Arial" w:cs="Arial"/>
              </w:rPr>
              <w:br/>
            </w:r>
            <w:r w:rsidRPr="00086293">
              <w:rPr>
                <w:rFonts w:ascii="Arial" w:hAnsi="Arial" w:cs="Arial"/>
              </w:rPr>
              <w:br/>
              <w:t>The key legislation under which the ACCC enforces anti-competitive behaviour provisions.</w:t>
            </w:r>
            <w:r w:rsidRPr="00086293">
              <w:rPr>
                <w:rFonts w:ascii="Arial" w:hAnsi="Arial" w:cs="Arial"/>
              </w:rPr>
              <w:br/>
            </w:r>
            <w:r w:rsidRPr="00086293">
              <w:rPr>
                <w:rFonts w:ascii="Arial" w:hAnsi="Arial" w:cs="Arial"/>
              </w:rPr>
              <w:br/>
              <w:t>Prohibits cartel conduct, misuse of market power, exclusive dealing, and anti-competitive mergers.</w:t>
            </w:r>
            <w:r w:rsidRPr="00086293">
              <w:rPr>
                <w:rFonts w:ascii="Arial" w:hAnsi="Arial" w:cs="Arial"/>
              </w:rPr>
              <w:br/>
            </w:r>
            <w:r w:rsidRPr="00086293">
              <w:rPr>
                <w:rFonts w:ascii="Arial" w:hAnsi="Arial" w:cs="Arial"/>
              </w:rPr>
              <w:br/>
              <w:t>Applies equally to large carriers (e.g., Telstra, Optus) and smaller MVNOs (e.g., Lebara, Amaysim).</w:t>
            </w:r>
            <w:r w:rsidRPr="00086293">
              <w:rPr>
                <w:rFonts w:ascii="Arial" w:hAnsi="Arial" w:cs="Arial"/>
              </w:rPr>
              <w:br/>
            </w:r>
            <w:r w:rsidRPr="00086293">
              <w:rPr>
                <w:rFonts w:ascii="Arial" w:hAnsi="Arial" w:cs="Arial"/>
              </w:rPr>
              <w:br/>
              <w:t>Telecommunications Act 1997</w:t>
            </w:r>
            <w:r w:rsidRPr="00086293">
              <w:rPr>
                <w:rFonts w:ascii="Arial" w:hAnsi="Arial" w:cs="Arial"/>
              </w:rPr>
              <w:br/>
            </w:r>
            <w:r w:rsidRPr="00086293">
              <w:rPr>
                <w:rFonts w:ascii="Arial" w:hAnsi="Arial" w:cs="Arial"/>
              </w:rPr>
              <w:br/>
              <w:t>Grants the ACCC specific powers to regulate access to telecommunications infrastructure, ensuring new entrants can compete fairly.</w:t>
            </w:r>
          </w:p>
        </w:tc>
      </w:tr>
      <w:tr w:rsidR="001734D9" w:rsidRPr="00086293" w14:paraId="2B0312D5"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358767B2" w14:textId="77777777" w:rsidR="001734D9" w:rsidRPr="00086293" w:rsidRDefault="001734D9" w:rsidP="001734D9">
            <w:pPr>
              <w:rPr>
                <w:rFonts w:ascii="Arial" w:hAnsi="Arial" w:cs="Arial"/>
                <w:b/>
                <w:bCs/>
              </w:rPr>
            </w:pPr>
            <w:r w:rsidRPr="00086293">
              <w:rPr>
                <w:rFonts w:ascii="Arial" w:hAnsi="Arial" w:cs="Arial"/>
                <w:b/>
                <w:bCs/>
              </w:rPr>
              <w:t>Access Regulation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6A1DF5F" w14:textId="77777777" w:rsidR="001734D9" w:rsidRPr="00086293" w:rsidRDefault="001734D9" w:rsidP="001734D9">
            <w:pPr>
              <w:rPr>
                <w:rFonts w:ascii="Arial" w:hAnsi="Arial" w:cs="Arial"/>
              </w:rPr>
            </w:pPr>
            <w:r w:rsidRPr="00086293">
              <w:rPr>
                <w:rFonts w:ascii="Arial" w:hAnsi="Arial" w:cs="Arial"/>
              </w:rPr>
              <w:t>Declared Services:</w:t>
            </w:r>
            <w:r w:rsidRPr="00086293">
              <w:rPr>
                <w:rFonts w:ascii="Arial" w:hAnsi="Arial" w:cs="Arial"/>
              </w:rPr>
              <w:br/>
            </w:r>
            <w:r w:rsidRPr="00086293">
              <w:rPr>
                <w:rFonts w:ascii="Arial" w:hAnsi="Arial" w:cs="Arial"/>
              </w:rPr>
              <w:br/>
              <w:t>The ACCC can "declare" certain telecommunications services (e.g., wholesale access to fixed-line networks, NBN access, mobile roaming).</w:t>
            </w:r>
            <w:r w:rsidRPr="00086293">
              <w:rPr>
                <w:rFonts w:ascii="Arial" w:hAnsi="Arial" w:cs="Arial"/>
              </w:rPr>
              <w:br/>
            </w:r>
            <w:r w:rsidRPr="00086293">
              <w:rPr>
                <w:rFonts w:ascii="Arial" w:hAnsi="Arial" w:cs="Arial"/>
              </w:rPr>
              <w:br/>
              <w:t>Once declared, providers must give competitors access on fair and reasonable terms.</w:t>
            </w:r>
            <w:r w:rsidRPr="00086293">
              <w:rPr>
                <w:rFonts w:ascii="Arial" w:hAnsi="Arial" w:cs="Arial"/>
              </w:rPr>
              <w:br/>
            </w:r>
            <w:r w:rsidRPr="00086293">
              <w:rPr>
                <w:rFonts w:ascii="Arial" w:hAnsi="Arial" w:cs="Arial"/>
              </w:rPr>
              <w:br/>
              <w:t>Access Determinations:</w:t>
            </w:r>
            <w:r w:rsidRPr="00086293">
              <w:rPr>
                <w:rFonts w:ascii="Arial" w:hAnsi="Arial" w:cs="Arial"/>
              </w:rPr>
              <w:br/>
            </w:r>
            <w:r w:rsidRPr="00086293">
              <w:rPr>
                <w:rFonts w:ascii="Arial" w:hAnsi="Arial" w:cs="Arial"/>
              </w:rPr>
              <w:br/>
              <w:t>The ACCC sets binding rules on pricing and non-price terms for declared services.</w:t>
            </w:r>
            <w:r w:rsidRPr="00086293">
              <w:rPr>
                <w:rFonts w:ascii="Arial" w:hAnsi="Arial" w:cs="Arial"/>
              </w:rPr>
              <w:br/>
            </w:r>
            <w:r w:rsidRPr="00086293">
              <w:rPr>
                <w:rFonts w:ascii="Arial" w:hAnsi="Arial" w:cs="Arial"/>
              </w:rPr>
              <w:br/>
              <w:t>Ensures wholesale providers (e.g., Telstra, NBN Co, Optus) cannot exploit dominance by overcharging or restricting access.</w:t>
            </w:r>
            <w:r w:rsidRPr="00086293">
              <w:rPr>
                <w:rFonts w:ascii="Arial" w:hAnsi="Arial" w:cs="Arial"/>
              </w:rPr>
              <w:br/>
            </w:r>
            <w:r w:rsidRPr="00086293">
              <w:rPr>
                <w:rFonts w:ascii="Arial" w:hAnsi="Arial" w:cs="Arial"/>
              </w:rPr>
              <w:br/>
              <w:t>Final Access Determinations (FADs):</w:t>
            </w:r>
            <w:r w:rsidRPr="00086293">
              <w:rPr>
                <w:rFonts w:ascii="Arial" w:hAnsi="Arial" w:cs="Arial"/>
              </w:rPr>
              <w:br/>
            </w:r>
            <w:r w:rsidRPr="00086293">
              <w:rPr>
                <w:rFonts w:ascii="Arial" w:hAnsi="Arial" w:cs="Arial"/>
              </w:rPr>
              <w:br/>
              <w:t>Legally binding terms set by the ACCC if commercial negotiations between providers fail.</w:t>
            </w:r>
          </w:p>
        </w:tc>
      </w:tr>
      <w:tr w:rsidR="001734D9" w:rsidRPr="00086293" w14:paraId="1749C8B8"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FF64E9F" w14:textId="77777777" w:rsidR="001734D9" w:rsidRPr="00086293" w:rsidRDefault="001734D9" w:rsidP="001734D9">
            <w:pPr>
              <w:rPr>
                <w:rFonts w:ascii="Arial" w:hAnsi="Arial" w:cs="Arial"/>
                <w:b/>
                <w:bCs/>
              </w:rPr>
            </w:pPr>
            <w:r w:rsidRPr="00086293">
              <w:rPr>
                <w:rFonts w:ascii="Arial" w:hAnsi="Arial" w:cs="Arial"/>
                <w:b/>
                <w:bCs/>
              </w:rPr>
              <w:t>Price and Tariff Regulation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732EA0E" w14:textId="77777777" w:rsidR="001734D9" w:rsidRPr="00086293" w:rsidRDefault="001734D9" w:rsidP="001734D9">
            <w:pPr>
              <w:rPr>
                <w:rFonts w:ascii="Arial" w:hAnsi="Arial" w:cs="Arial"/>
              </w:rPr>
            </w:pPr>
            <w:r w:rsidRPr="00086293">
              <w:rPr>
                <w:rFonts w:ascii="Arial" w:hAnsi="Arial" w:cs="Arial"/>
              </w:rPr>
              <w:t>Wholesale pricing oversight:</w:t>
            </w:r>
            <w:r w:rsidRPr="00086293">
              <w:rPr>
                <w:rFonts w:ascii="Arial" w:hAnsi="Arial" w:cs="Arial"/>
              </w:rPr>
              <w:br/>
            </w:r>
            <w:r w:rsidRPr="00086293">
              <w:rPr>
                <w:rFonts w:ascii="Arial" w:hAnsi="Arial" w:cs="Arial"/>
              </w:rPr>
              <w:lastRenderedPageBreak/>
              <w:br/>
              <w:t>The ACCC monitors and regulates wholesale charges carriers impose on competitors.</w:t>
            </w:r>
            <w:r w:rsidRPr="00086293">
              <w:rPr>
                <w:rFonts w:ascii="Arial" w:hAnsi="Arial" w:cs="Arial"/>
              </w:rPr>
              <w:br/>
            </w:r>
            <w:r w:rsidRPr="00086293">
              <w:rPr>
                <w:rFonts w:ascii="Arial" w:hAnsi="Arial" w:cs="Arial"/>
              </w:rPr>
              <w:br/>
              <w:t>Example: NBN pricing, mobile roaming, transmission services.</w:t>
            </w:r>
            <w:r w:rsidRPr="00086293">
              <w:rPr>
                <w:rFonts w:ascii="Arial" w:hAnsi="Arial" w:cs="Arial"/>
              </w:rPr>
              <w:br/>
            </w:r>
            <w:r w:rsidRPr="00086293">
              <w:rPr>
                <w:rFonts w:ascii="Arial" w:hAnsi="Arial" w:cs="Arial"/>
              </w:rPr>
              <w:br/>
              <w:t>Retail price controls (historical):</w:t>
            </w:r>
            <w:r w:rsidRPr="00086293">
              <w:rPr>
                <w:rFonts w:ascii="Arial" w:hAnsi="Arial" w:cs="Arial"/>
              </w:rPr>
              <w:br/>
            </w:r>
            <w:r w:rsidRPr="00086293">
              <w:rPr>
                <w:rFonts w:ascii="Arial" w:hAnsi="Arial" w:cs="Arial"/>
              </w:rPr>
              <w:br/>
              <w:t>Used in the past for Telstra to prevent excessive pricing in monopoly areas.</w:t>
            </w:r>
          </w:p>
        </w:tc>
      </w:tr>
      <w:tr w:rsidR="001734D9" w:rsidRPr="00086293" w14:paraId="736E5498"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4A60613" w14:textId="77777777" w:rsidR="001734D9" w:rsidRPr="00086293" w:rsidRDefault="001734D9" w:rsidP="001734D9">
            <w:pPr>
              <w:rPr>
                <w:rFonts w:ascii="Arial" w:hAnsi="Arial" w:cs="Arial"/>
                <w:b/>
                <w:bCs/>
              </w:rPr>
            </w:pPr>
            <w:r w:rsidRPr="00086293">
              <w:rPr>
                <w:rFonts w:ascii="Arial" w:hAnsi="Arial" w:cs="Arial"/>
                <w:b/>
                <w:bCs/>
              </w:rPr>
              <w:lastRenderedPageBreak/>
              <w:t>Merger Control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043C876" w14:textId="77777777" w:rsidR="001734D9" w:rsidRPr="00086293" w:rsidRDefault="001734D9" w:rsidP="001734D9">
            <w:pPr>
              <w:rPr>
                <w:rFonts w:ascii="Arial" w:hAnsi="Arial" w:cs="Arial"/>
              </w:rPr>
            </w:pPr>
            <w:r w:rsidRPr="00086293">
              <w:rPr>
                <w:rFonts w:ascii="Arial" w:hAnsi="Arial" w:cs="Arial"/>
              </w:rPr>
              <w:t>The ACCC assesses proposed mergers and acquisitions to prevent reduction in competition.</w:t>
            </w:r>
            <w:r w:rsidRPr="00086293">
              <w:rPr>
                <w:rFonts w:ascii="Arial" w:hAnsi="Arial" w:cs="Arial"/>
              </w:rPr>
              <w:br/>
            </w:r>
            <w:r w:rsidRPr="00086293">
              <w:rPr>
                <w:rFonts w:ascii="Arial" w:hAnsi="Arial" w:cs="Arial"/>
              </w:rPr>
              <w:br/>
              <w:t>Example: ACCC opposed the TPG–Vodafone merger in 2019 (though later overturned by the Federal Court).</w:t>
            </w:r>
            <w:r w:rsidRPr="00086293">
              <w:rPr>
                <w:rFonts w:ascii="Arial" w:hAnsi="Arial" w:cs="Arial"/>
              </w:rPr>
              <w:br/>
            </w:r>
            <w:r w:rsidRPr="00086293">
              <w:rPr>
                <w:rFonts w:ascii="Arial" w:hAnsi="Arial" w:cs="Arial"/>
              </w:rPr>
              <w:br/>
              <w:t>Focus: whether consolidation would substantially lessen competition in mobile, fixed-line, or wholesale markets.</w:t>
            </w:r>
          </w:p>
        </w:tc>
      </w:tr>
      <w:tr w:rsidR="001734D9" w:rsidRPr="00086293" w14:paraId="56EA5BE9"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6AB043A0" w14:textId="77777777" w:rsidR="001734D9" w:rsidRPr="00086293" w:rsidRDefault="001734D9" w:rsidP="001734D9">
            <w:pPr>
              <w:rPr>
                <w:rFonts w:ascii="Arial" w:hAnsi="Arial" w:cs="Arial"/>
                <w:b/>
                <w:bCs/>
              </w:rPr>
            </w:pPr>
            <w:r w:rsidRPr="00086293">
              <w:rPr>
                <w:rFonts w:ascii="Arial" w:hAnsi="Arial" w:cs="Arial"/>
                <w:b/>
                <w:bCs/>
              </w:rPr>
              <w:t>Anti-Competitive Conduct Enforcement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71F4D6F" w14:textId="77777777" w:rsidR="001734D9" w:rsidRPr="00086293" w:rsidRDefault="001734D9" w:rsidP="001734D9">
            <w:pPr>
              <w:rPr>
                <w:rFonts w:ascii="Arial" w:hAnsi="Arial" w:cs="Arial"/>
              </w:rPr>
            </w:pPr>
            <w:r w:rsidRPr="00086293">
              <w:rPr>
                <w:rFonts w:ascii="Arial" w:hAnsi="Arial" w:cs="Arial"/>
              </w:rPr>
              <w:t>Cartel Enforcement: Pursues agreements between providers that fix prices, share markets, or rig bids.</w:t>
            </w:r>
            <w:r w:rsidRPr="00086293">
              <w:rPr>
                <w:rFonts w:ascii="Arial" w:hAnsi="Arial" w:cs="Arial"/>
              </w:rPr>
              <w:br/>
            </w:r>
            <w:r w:rsidRPr="00086293">
              <w:rPr>
                <w:rFonts w:ascii="Arial" w:hAnsi="Arial" w:cs="Arial"/>
              </w:rPr>
              <w:br/>
              <w:t>Misuse of Market Power: Prevents dominant carriers from leveraging size to damage smaller competitors.</w:t>
            </w:r>
            <w:r w:rsidRPr="00086293">
              <w:rPr>
                <w:rFonts w:ascii="Arial" w:hAnsi="Arial" w:cs="Arial"/>
              </w:rPr>
              <w:br/>
            </w:r>
            <w:r w:rsidRPr="00086293">
              <w:rPr>
                <w:rFonts w:ascii="Arial" w:hAnsi="Arial" w:cs="Arial"/>
              </w:rPr>
              <w:br/>
              <w:t>Exclusive Dealing: Stops practices where a carrier limits another provider’s ability to compete (e.g., tying access to network infrastructure with other conditions).</w:t>
            </w:r>
            <w:r w:rsidRPr="00086293">
              <w:rPr>
                <w:rFonts w:ascii="Arial" w:hAnsi="Arial" w:cs="Arial"/>
              </w:rPr>
              <w:br/>
            </w:r>
            <w:r w:rsidRPr="00086293">
              <w:rPr>
                <w:rFonts w:ascii="Arial" w:hAnsi="Arial" w:cs="Arial"/>
              </w:rPr>
              <w:br/>
              <w:t>Court Action: The ACCC can take carriers to the Federal Court seeking injunctions, penalties, or compensation.</w:t>
            </w:r>
          </w:p>
        </w:tc>
      </w:tr>
      <w:tr w:rsidR="001734D9" w:rsidRPr="00086293" w14:paraId="6672C116"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77D4E982" w14:textId="77777777" w:rsidR="001734D9" w:rsidRPr="00086293" w:rsidRDefault="001734D9" w:rsidP="001734D9">
            <w:pPr>
              <w:rPr>
                <w:rFonts w:ascii="Arial" w:hAnsi="Arial" w:cs="Arial"/>
                <w:b/>
                <w:bCs/>
              </w:rPr>
            </w:pPr>
            <w:r w:rsidRPr="00086293">
              <w:rPr>
                <w:rFonts w:ascii="Arial" w:hAnsi="Arial" w:cs="Arial"/>
                <w:b/>
                <w:bCs/>
              </w:rPr>
              <w:t>Monitoring and Reporting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0F27B3" w14:textId="77777777" w:rsidR="001734D9" w:rsidRPr="00086293" w:rsidRDefault="001734D9" w:rsidP="001734D9">
            <w:pPr>
              <w:rPr>
                <w:rFonts w:ascii="Arial" w:hAnsi="Arial" w:cs="Arial"/>
              </w:rPr>
            </w:pPr>
            <w:r w:rsidRPr="00086293">
              <w:rPr>
                <w:rFonts w:ascii="Arial" w:hAnsi="Arial" w:cs="Arial"/>
              </w:rPr>
              <w:t>Market Studies &amp; Inquiries:</w:t>
            </w:r>
            <w:r w:rsidRPr="00086293">
              <w:rPr>
                <w:rFonts w:ascii="Arial" w:hAnsi="Arial" w:cs="Arial"/>
              </w:rPr>
              <w:br/>
            </w:r>
            <w:r w:rsidRPr="00086293">
              <w:rPr>
                <w:rFonts w:ascii="Arial" w:hAnsi="Arial" w:cs="Arial"/>
              </w:rPr>
              <w:br/>
              <w:t>ACCC regularly conducts market reviews on broadband, mobile, and data services.</w:t>
            </w:r>
            <w:r w:rsidRPr="00086293">
              <w:rPr>
                <w:rFonts w:ascii="Arial" w:hAnsi="Arial" w:cs="Arial"/>
              </w:rPr>
              <w:br/>
            </w:r>
            <w:r w:rsidRPr="00086293">
              <w:rPr>
                <w:rFonts w:ascii="Arial" w:hAnsi="Arial" w:cs="Arial"/>
              </w:rPr>
              <w:br/>
              <w:t>Example: annual Communications Market Report.</w:t>
            </w:r>
            <w:r w:rsidRPr="00086293">
              <w:rPr>
                <w:rFonts w:ascii="Arial" w:hAnsi="Arial" w:cs="Arial"/>
              </w:rPr>
              <w:br/>
            </w:r>
            <w:r w:rsidRPr="00086293">
              <w:rPr>
                <w:rFonts w:ascii="Arial" w:hAnsi="Arial" w:cs="Arial"/>
              </w:rPr>
              <w:br/>
              <w:t>NBN Wholesale Market Indicators Report:</w:t>
            </w:r>
            <w:r w:rsidRPr="00086293">
              <w:rPr>
                <w:rFonts w:ascii="Arial" w:hAnsi="Arial" w:cs="Arial"/>
              </w:rPr>
              <w:br/>
            </w:r>
            <w:r w:rsidRPr="00086293">
              <w:rPr>
                <w:rFonts w:ascii="Arial" w:hAnsi="Arial" w:cs="Arial"/>
              </w:rPr>
              <w:br/>
              <w:t>Tracks competition by publishing data on wholesale services purchased from NBN Co by retailers.</w:t>
            </w:r>
            <w:r w:rsidRPr="00086293">
              <w:rPr>
                <w:rFonts w:ascii="Arial" w:hAnsi="Arial" w:cs="Arial"/>
              </w:rPr>
              <w:br/>
            </w:r>
            <w:r w:rsidRPr="00086293">
              <w:rPr>
                <w:rFonts w:ascii="Arial" w:hAnsi="Arial" w:cs="Arial"/>
              </w:rPr>
              <w:br/>
              <w:t>Price Monitoring:</w:t>
            </w:r>
            <w:r w:rsidRPr="00086293">
              <w:rPr>
                <w:rFonts w:ascii="Arial" w:hAnsi="Arial" w:cs="Arial"/>
              </w:rPr>
              <w:br/>
            </w:r>
            <w:r w:rsidRPr="00086293">
              <w:rPr>
                <w:rFonts w:ascii="Arial" w:hAnsi="Arial" w:cs="Arial"/>
              </w:rPr>
              <w:br/>
              <w:t>Monitors prices for fixed-line, mobile, and internet services to ensure competitive trends.</w:t>
            </w:r>
          </w:p>
        </w:tc>
      </w:tr>
      <w:tr w:rsidR="001734D9" w:rsidRPr="00086293" w14:paraId="786BA54B"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5B6658A2" w14:textId="77777777" w:rsidR="001734D9" w:rsidRPr="00086293" w:rsidRDefault="001734D9" w:rsidP="001734D9">
            <w:pPr>
              <w:rPr>
                <w:rFonts w:ascii="Arial" w:hAnsi="Arial" w:cs="Arial"/>
                <w:b/>
                <w:bCs/>
              </w:rPr>
            </w:pPr>
            <w:r w:rsidRPr="00086293">
              <w:rPr>
                <w:rFonts w:ascii="Arial" w:hAnsi="Arial" w:cs="Arial"/>
                <w:b/>
                <w:bCs/>
              </w:rPr>
              <w:t>Authorisations &amp; Exemptions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063316C" w14:textId="77777777" w:rsidR="001734D9" w:rsidRPr="00086293" w:rsidRDefault="001734D9" w:rsidP="001734D9">
            <w:pPr>
              <w:rPr>
                <w:rFonts w:ascii="Arial" w:hAnsi="Arial" w:cs="Arial"/>
              </w:rPr>
            </w:pPr>
            <w:r w:rsidRPr="00086293">
              <w:rPr>
                <w:rFonts w:ascii="Arial" w:hAnsi="Arial" w:cs="Arial"/>
              </w:rPr>
              <w:t>The ACCC may authorise potentially anti-competitive agreements if the public benefit outweighs detriment.</w:t>
            </w:r>
            <w:r w:rsidRPr="00086293">
              <w:rPr>
                <w:rFonts w:ascii="Arial" w:hAnsi="Arial" w:cs="Arial"/>
              </w:rPr>
              <w:br/>
            </w:r>
            <w:r w:rsidRPr="00086293">
              <w:rPr>
                <w:rFonts w:ascii="Arial" w:hAnsi="Arial" w:cs="Arial"/>
              </w:rPr>
              <w:br/>
              <w:t>Allows collaboration in areas like infrastructure sharing (e.g., regional mobile roaming) where consumer benefits are clear.</w:t>
            </w:r>
          </w:p>
        </w:tc>
      </w:tr>
      <w:tr w:rsidR="001734D9" w:rsidRPr="00086293" w14:paraId="644B1502"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54B11CC4" w14:textId="77777777" w:rsidR="001734D9" w:rsidRPr="00086293" w:rsidRDefault="001734D9" w:rsidP="001734D9">
            <w:pPr>
              <w:rPr>
                <w:rFonts w:ascii="Arial" w:hAnsi="Arial" w:cs="Arial"/>
                <w:b/>
                <w:bCs/>
              </w:rPr>
            </w:pPr>
            <w:r w:rsidRPr="00086293">
              <w:rPr>
                <w:rFonts w:ascii="Arial" w:hAnsi="Arial" w:cs="Arial"/>
                <w:b/>
                <w:bCs/>
              </w:rPr>
              <w:t>Consumer Protection Enforcement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A9706F" w14:textId="77777777" w:rsidR="001734D9" w:rsidRPr="00086293" w:rsidRDefault="001734D9" w:rsidP="001734D9">
            <w:pPr>
              <w:rPr>
                <w:rFonts w:ascii="Arial" w:hAnsi="Arial" w:cs="Arial"/>
              </w:rPr>
            </w:pPr>
            <w:r w:rsidRPr="00086293">
              <w:rPr>
                <w:rFonts w:ascii="Arial" w:hAnsi="Arial" w:cs="Arial"/>
              </w:rPr>
              <w:t>Enforces provisions under the Australian Consumer Law (ACL) against misleading advertising, unfair contract terms, and unconscionable conduct.</w:t>
            </w:r>
            <w:r w:rsidRPr="00086293">
              <w:rPr>
                <w:rFonts w:ascii="Arial" w:hAnsi="Arial" w:cs="Arial"/>
              </w:rPr>
              <w:br/>
            </w:r>
            <w:r w:rsidRPr="00086293">
              <w:rPr>
                <w:rFonts w:ascii="Arial" w:hAnsi="Arial" w:cs="Arial"/>
              </w:rPr>
              <w:br/>
            </w:r>
            <w:r w:rsidRPr="00086293">
              <w:rPr>
                <w:rFonts w:ascii="Arial" w:hAnsi="Arial" w:cs="Arial"/>
              </w:rPr>
              <w:lastRenderedPageBreak/>
              <w:t>Particularly relevant for telcos marketing mobile data inclusions, NBN speeds, or “unlimited” plans.</w:t>
            </w:r>
          </w:p>
        </w:tc>
      </w:tr>
      <w:tr w:rsidR="001734D9" w:rsidRPr="00086293" w14:paraId="69A719C3"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F71E0E5" w14:textId="77777777" w:rsidR="001734D9" w:rsidRPr="00086293" w:rsidRDefault="001734D9" w:rsidP="001734D9">
            <w:pPr>
              <w:rPr>
                <w:rFonts w:ascii="Arial" w:hAnsi="Arial" w:cs="Arial"/>
                <w:b/>
                <w:bCs/>
              </w:rPr>
            </w:pPr>
            <w:r w:rsidRPr="00086293">
              <w:rPr>
                <w:rFonts w:ascii="Arial" w:hAnsi="Arial" w:cs="Arial"/>
                <w:b/>
                <w:bCs/>
              </w:rPr>
              <w:lastRenderedPageBreak/>
              <w:t>Undertakings &amp; Compliance Programs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CD6BA3" w14:textId="77777777" w:rsidR="001734D9" w:rsidRPr="00086293" w:rsidRDefault="001734D9" w:rsidP="001734D9">
            <w:pPr>
              <w:rPr>
                <w:rFonts w:ascii="Arial" w:hAnsi="Arial" w:cs="Arial"/>
              </w:rPr>
            </w:pPr>
            <w:r w:rsidRPr="00086293">
              <w:rPr>
                <w:rFonts w:ascii="Arial" w:hAnsi="Arial" w:cs="Arial"/>
              </w:rPr>
              <w:t>The ACCC may accept court-enforceable undertakings from providers to change behaviour instead of proceeding with litigation.</w:t>
            </w:r>
            <w:r w:rsidRPr="00086293">
              <w:rPr>
                <w:rFonts w:ascii="Arial" w:hAnsi="Arial" w:cs="Arial"/>
              </w:rPr>
              <w:br/>
            </w:r>
            <w:r w:rsidRPr="00086293">
              <w:rPr>
                <w:rFonts w:ascii="Arial" w:hAnsi="Arial" w:cs="Arial"/>
              </w:rPr>
              <w:br/>
              <w:t>Example: Telcos committing to clearer advertising of broadband speeds.</w:t>
            </w:r>
            <w:r w:rsidRPr="00086293">
              <w:rPr>
                <w:rFonts w:ascii="Arial" w:hAnsi="Arial" w:cs="Arial"/>
              </w:rPr>
              <w:br/>
            </w:r>
            <w:r w:rsidRPr="00086293">
              <w:rPr>
                <w:rFonts w:ascii="Arial" w:hAnsi="Arial" w:cs="Arial"/>
              </w:rPr>
              <w:br/>
              <w:t>Requires service providers to implement internal compliance programs to prevent recurrence.</w:t>
            </w:r>
          </w:p>
        </w:tc>
      </w:tr>
    </w:tbl>
    <w:p w14:paraId="5350FEC2" w14:textId="77777777" w:rsidR="001734D9" w:rsidRPr="00086293" w:rsidRDefault="001734D9" w:rsidP="004106C8">
      <w:pPr>
        <w:rPr>
          <w:rFonts w:ascii="Arial" w:hAnsi="Arial" w:cs="Arial"/>
        </w:rPr>
      </w:pPr>
    </w:p>
    <w:p w14:paraId="648275AE" w14:textId="77777777" w:rsidR="004106C8" w:rsidRPr="00086293" w:rsidRDefault="004106C8" w:rsidP="004106C8">
      <w:pPr>
        <w:rPr>
          <w:rFonts w:ascii="Arial" w:hAnsi="Arial" w:cs="Arial"/>
        </w:rPr>
      </w:pPr>
    </w:p>
    <w:p w14:paraId="7BE989C5" w14:textId="77777777" w:rsidR="004106C8" w:rsidRPr="00086293" w:rsidRDefault="004106C8" w:rsidP="004106C8">
      <w:pPr>
        <w:rPr>
          <w:rFonts w:ascii="Arial" w:hAnsi="Arial" w:cs="Arial"/>
        </w:rPr>
      </w:pPr>
    </w:p>
    <w:p w14:paraId="49574A8B" w14:textId="77777777" w:rsidR="004106C8" w:rsidRPr="00086293" w:rsidRDefault="004106C8" w:rsidP="004106C8">
      <w:pPr>
        <w:pStyle w:val="Heading3"/>
      </w:pPr>
      <w:r w:rsidRPr="00086293">
        <w:t>5. What are the planning obligations of USO?</w:t>
      </w:r>
    </w:p>
    <w:p w14:paraId="34D399A1" w14:textId="4CBE2D8E" w:rsidR="004106C8" w:rsidRPr="00086293" w:rsidRDefault="00F24A35" w:rsidP="004106C8">
      <w:pPr>
        <w:rPr>
          <w:rFonts w:ascii="Arial" w:hAnsi="Arial" w:cs="Arial"/>
        </w:rPr>
      </w:pPr>
      <w:hyperlink r:id="rId18" w:history="1">
        <w:r w:rsidRPr="00086293">
          <w:rPr>
            <w:rStyle w:val="Hyperlink"/>
            <w:rFonts w:ascii="Arial" w:hAnsi="Arial" w:cs="Arial"/>
          </w:rPr>
          <w:t>https://www.acma.gov.au/about-universal-service-obligation</w:t>
        </w:r>
      </w:hyperlink>
      <w:r w:rsidRPr="00086293">
        <w:rPr>
          <w:rFonts w:ascii="Arial" w:hAnsi="Arial" w:cs="Arial"/>
        </w:rPr>
        <w:t xml:space="preserve"> </w:t>
      </w:r>
    </w:p>
    <w:p w14:paraId="34B974E1" w14:textId="240F9DD7" w:rsidR="004106C8" w:rsidRPr="00086293" w:rsidRDefault="00F24A35" w:rsidP="004106C8">
      <w:pPr>
        <w:rPr>
          <w:rFonts w:ascii="Arial" w:hAnsi="Arial" w:cs="Arial"/>
        </w:rPr>
      </w:pPr>
      <w:hyperlink r:id="rId19" w:history="1">
        <w:r w:rsidRPr="00086293">
          <w:rPr>
            <w:rStyle w:val="Hyperlink"/>
            <w:rFonts w:ascii="Arial" w:hAnsi="Arial" w:cs="Arial"/>
          </w:rPr>
          <w:t>https://www.telstra.com.au/consumer-advice/customer-service/universal-service-obligation</w:t>
        </w:r>
      </w:hyperlink>
      <w:r w:rsidRPr="00086293">
        <w:rPr>
          <w:rFonts w:ascii="Arial" w:hAnsi="Arial" w:cs="Arial"/>
        </w:rPr>
        <w:t xml:space="preserve"> </w:t>
      </w:r>
    </w:p>
    <w:p w14:paraId="49C5A8D7" w14:textId="1B910566" w:rsidR="004106C8" w:rsidRPr="00086293" w:rsidRDefault="00F24A35" w:rsidP="004106C8">
      <w:pPr>
        <w:rPr>
          <w:rFonts w:ascii="Arial" w:hAnsi="Arial" w:cs="Arial"/>
        </w:rPr>
      </w:pPr>
      <w:hyperlink r:id="rId20" w:history="1">
        <w:r w:rsidRPr="00086293">
          <w:rPr>
            <w:rStyle w:val="Hyperlink"/>
            <w:rFonts w:ascii="Arial" w:hAnsi="Arial" w:cs="Arial"/>
          </w:rPr>
          <w:t>https://www.lgaq.asn.au/News-and-Media/News-articles/The-Universal-Service-Obligation-History-and-future</w:t>
        </w:r>
      </w:hyperlink>
      <w:r w:rsidRPr="00086293">
        <w:rPr>
          <w:rFonts w:ascii="Arial" w:hAnsi="Arial" w:cs="Arial"/>
        </w:rPr>
        <w:t xml:space="preserve"> </w:t>
      </w:r>
    </w:p>
    <w:p w14:paraId="3EEB166C" w14:textId="77777777" w:rsidR="004106C8" w:rsidRPr="00086293" w:rsidRDefault="004106C8" w:rsidP="004106C8">
      <w:pPr>
        <w:rPr>
          <w:rFonts w:ascii="Arial" w:hAnsi="Arial" w:cs="Arial"/>
        </w:rPr>
      </w:pPr>
    </w:p>
    <w:p w14:paraId="5BC810AA" w14:textId="77777777" w:rsidR="004106C8" w:rsidRPr="00086293" w:rsidRDefault="004106C8" w:rsidP="004106C8">
      <w:pPr>
        <w:rPr>
          <w:rFonts w:ascii="Arial" w:hAnsi="Arial" w:cs="Arial"/>
        </w:rPr>
      </w:pPr>
      <w:r w:rsidRPr="00086293">
        <w:rPr>
          <w:rFonts w:ascii="Arial" w:hAnsi="Arial" w:cs="Arial"/>
        </w:rPr>
        <w:t>The USO is a company's obligation to guarantee basic access to essential telecommunications services. Telstra, as the largest company, must comply with the USO; the government funds its implementation.</w:t>
      </w:r>
    </w:p>
    <w:p w14:paraId="25342506" w14:textId="77777777" w:rsidR="004106C8" w:rsidRPr="00086293" w:rsidRDefault="004106C8" w:rsidP="004106C8">
      <w:pPr>
        <w:rPr>
          <w:rFonts w:ascii="Arial" w:hAnsi="Arial" w:cs="Arial"/>
        </w:rPr>
      </w:pPr>
    </w:p>
    <w:p w14:paraId="5C7D13CC" w14:textId="77777777" w:rsidR="004106C8" w:rsidRPr="00086293" w:rsidRDefault="004106C8" w:rsidP="004106C8">
      <w:pPr>
        <w:rPr>
          <w:rFonts w:ascii="Arial" w:hAnsi="Arial" w:cs="Arial"/>
        </w:rPr>
      </w:pPr>
      <w:r w:rsidRPr="00086293">
        <w:rPr>
          <w:rFonts w:ascii="Arial" w:hAnsi="Arial" w:cs="Arial"/>
        </w:rPr>
        <w:t>Teltra's obligations are:</w:t>
      </w:r>
    </w:p>
    <w:p w14:paraId="456D50ED" w14:textId="31EA6CBF" w:rsidR="004106C8" w:rsidRPr="00086293" w:rsidRDefault="004106C8" w:rsidP="004106C8">
      <w:pPr>
        <w:rPr>
          <w:rFonts w:ascii="Arial" w:hAnsi="Arial" w:cs="Arial"/>
        </w:rPr>
      </w:pPr>
      <w:r w:rsidRPr="00086293">
        <w:rPr>
          <w:rFonts w:ascii="Arial" w:hAnsi="Arial" w:cs="Arial"/>
        </w:rPr>
        <w:t xml:space="preserve">1. Provide </w:t>
      </w:r>
      <w:r w:rsidR="007C5930" w:rsidRPr="00086293">
        <w:rPr>
          <w:rFonts w:ascii="Arial" w:hAnsi="Arial" w:cs="Arial"/>
        </w:rPr>
        <w:t>Standard Telephone Services (STS)</w:t>
      </w:r>
    </w:p>
    <w:p w14:paraId="36611B3F" w14:textId="77777777" w:rsidR="007C5930" w:rsidRPr="00086293" w:rsidRDefault="004106C8" w:rsidP="004106C8">
      <w:pPr>
        <w:rPr>
          <w:rFonts w:ascii="Arial" w:hAnsi="Arial" w:cs="Arial"/>
        </w:rPr>
      </w:pPr>
      <w:r w:rsidRPr="00086293">
        <w:rPr>
          <w:rFonts w:ascii="Arial" w:hAnsi="Arial" w:cs="Arial"/>
        </w:rPr>
        <w:t xml:space="preserve">2. </w:t>
      </w:r>
      <w:r w:rsidR="007C5930" w:rsidRPr="00086293">
        <w:rPr>
          <w:rFonts w:ascii="Arial" w:hAnsi="Arial" w:cs="Arial"/>
        </w:rPr>
        <w:t>Provide payphones</w:t>
      </w:r>
    </w:p>
    <w:p w14:paraId="0DC66972" w14:textId="0B5FE8EE" w:rsidR="004106C8" w:rsidRPr="00086293" w:rsidRDefault="007C5930" w:rsidP="004106C8">
      <w:pPr>
        <w:rPr>
          <w:rFonts w:ascii="Arial" w:hAnsi="Arial" w:cs="Arial"/>
        </w:rPr>
      </w:pPr>
      <w:r w:rsidRPr="00086293">
        <w:rPr>
          <w:rFonts w:ascii="Arial" w:hAnsi="Arial" w:cs="Arial"/>
        </w:rPr>
        <w:t xml:space="preserve">3. </w:t>
      </w:r>
      <w:r w:rsidR="004106C8" w:rsidRPr="00086293">
        <w:rPr>
          <w:rFonts w:ascii="Arial" w:hAnsi="Arial" w:cs="Arial"/>
        </w:rPr>
        <w:t xml:space="preserve">Offer access to 24-hour emergency </w:t>
      </w:r>
      <w:r w:rsidRPr="00086293">
        <w:rPr>
          <w:rFonts w:ascii="Arial" w:hAnsi="Arial" w:cs="Arial"/>
        </w:rPr>
        <w:t>numbers</w:t>
      </w:r>
    </w:p>
    <w:p w14:paraId="035A3CE0" w14:textId="77777777" w:rsidR="004106C8" w:rsidRPr="00086293" w:rsidRDefault="004106C8" w:rsidP="004106C8">
      <w:pPr>
        <w:rPr>
          <w:rFonts w:ascii="Arial" w:hAnsi="Arial" w:cs="Arial"/>
        </w:rPr>
      </w:pPr>
    </w:p>
    <w:p w14:paraId="37DE151F" w14:textId="77777777" w:rsidR="004106C8" w:rsidRPr="00086293" w:rsidRDefault="004106C8" w:rsidP="004106C8">
      <w:pPr>
        <w:rPr>
          <w:rFonts w:ascii="Arial" w:hAnsi="Arial" w:cs="Arial"/>
        </w:rPr>
      </w:pPr>
      <w:r w:rsidRPr="00086293">
        <w:rPr>
          <w:rFonts w:ascii="Arial" w:hAnsi="Arial" w:cs="Arial"/>
        </w:rPr>
        <w:t>The current planning obligations are:</w:t>
      </w:r>
    </w:p>
    <w:p w14:paraId="5DDD257E" w14:textId="77777777" w:rsidR="004106C8" w:rsidRPr="00086293" w:rsidRDefault="004106C8" w:rsidP="004106C8">
      <w:pPr>
        <w:rPr>
          <w:rFonts w:ascii="Arial" w:hAnsi="Arial" w:cs="Arial"/>
        </w:rPr>
      </w:pPr>
      <w:r w:rsidRPr="00086293">
        <w:rPr>
          <w:rFonts w:ascii="Arial" w:hAnsi="Arial" w:cs="Arial"/>
        </w:rPr>
        <w:t>1. Universal Access Planning (Modernising Services): Guarantee access to both broadband and voice services for all Australians via NBN.</w:t>
      </w:r>
    </w:p>
    <w:p w14:paraId="07F44DCF" w14:textId="77777777" w:rsidR="004106C8" w:rsidRPr="00086293" w:rsidRDefault="004106C8" w:rsidP="004106C8">
      <w:pPr>
        <w:rPr>
          <w:rFonts w:ascii="Arial" w:hAnsi="Arial" w:cs="Arial"/>
        </w:rPr>
      </w:pPr>
      <w:r w:rsidRPr="00086293">
        <w:rPr>
          <w:rFonts w:ascii="Arial" w:hAnsi="Arial" w:cs="Arial"/>
        </w:rPr>
        <w:t>2. Network Maintenance &amp; Expansion: Ensure access to a standard telephone service (STS) and payphones nationwide.</w:t>
      </w:r>
    </w:p>
    <w:p w14:paraId="4259BB6A" w14:textId="77777777" w:rsidR="004106C8" w:rsidRPr="00086293" w:rsidRDefault="004106C8" w:rsidP="004106C8">
      <w:pPr>
        <w:rPr>
          <w:rFonts w:ascii="Arial" w:hAnsi="Arial" w:cs="Arial"/>
        </w:rPr>
      </w:pPr>
      <w:r w:rsidRPr="00086293">
        <w:rPr>
          <w:rFonts w:ascii="Arial" w:hAnsi="Arial" w:cs="Arial"/>
        </w:rPr>
        <w:t>3. Emergency &amp; Priority Services: Call emergency numbers anytime, anywhere, free of charge.</w:t>
      </w:r>
    </w:p>
    <w:p w14:paraId="0777BAB6" w14:textId="77777777" w:rsidR="004106C8" w:rsidRPr="00086293" w:rsidRDefault="004106C8" w:rsidP="004106C8">
      <w:pPr>
        <w:rPr>
          <w:rFonts w:ascii="Arial" w:hAnsi="Arial" w:cs="Arial"/>
        </w:rPr>
      </w:pPr>
      <w:r w:rsidRPr="00086293">
        <w:rPr>
          <w:rFonts w:ascii="Arial" w:hAnsi="Arial" w:cs="Arial"/>
        </w:rPr>
        <w:t>4. Forward-Looking Plans: Update USO to keep it ahead of new technologies.</w:t>
      </w:r>
    </w:p>
    <w:p w14:paraId="17428C7F" w14:textId="77777777" w:rsidR="004106C8" w:rsidRPr="00086293" w:rsidRDefault="004106C8" w:rsidP="004106C8">
      <w:pPr>
        <w:rPr>
          <w:rFonts w:ascii="Arial" w:hAnsi="Arial" w:cs="Arial"/>
        </w:rPr>
      </w:pPr>
    </w:p>
    <w:p w14:paraId="6F149656" w14:textId="77777777" w:rsidR="004106C8" w:rsidRPr="00086293" w:rsidRDefault="004106C8" w:rsidP="004106C8">
      <w:pPr>
        <w:rPr>
          <w:rFonts w:ascii="Arial" w:hAnsi="Arial" w:cs="Arial"/>
        </w:rPr>
      </w:pPr>
    </w:p>
    <w:p w14:paraId="449981D1" w14:textId="77777777" w:rsidR="004106C8" w:rsidRPr="00086293" w:rsidRDefault="004106C8" w:rsidP="004106C8">
      <w:pPr>
        <w:rPr>
          <w:rFonts w:ascii="Arial" w:hAnsi="Arial" w:cs="Arial"/>
        </w:rPr>
      </w:pPr>
      <w:r w:rsidRPr="00086293">
        <w:rPr>
          <w:rFonts w:ascii="Arial" w:hAnsi="Arial" w:cs="Arial"/>
        </w:rPr>
        <w:t>Next planning:</w:t>
      </w:r>
    </w:p>
    <w:p w14:paraId="501612E1" w14:textId="77777777" w:rsidR="004106C8" w:rsidRPr="00086293" w:rsidRDefault="004106C8" w:rsidP="004106C8">
      <w:pPr>
        <w:rPr>
          <w:rFonts w:ascii="Arial" w:hAnsi="Arial" w:cs="Arial"/>
        </w:rPr>
      </w:pPr>
    </w:p>
    <w:p w14:paraId="79DF276A" w14:textId="77777777" w:rsidR="004106C8" w:rsidRPr="00086293" w:rsidRDefault="004106C8" w:rsidP="004106C8">
      <w:pPr>
        <w:rPr>
          <w:rFonts w:ascii="Arial" w:hAnsi="Arial" w:cs="Arial"/>
        </w:rPr>
      </w:pPr>
      <w:r w:rsidRPr="00086293">
        <w:rPr>
          <w:rFonts w:ascii="Arial" w:hAnsi="Arial" w:cs="Arial"/>
        </w:rPr>
        <w:t>The current government wants to take advantage of new technologies, so it wants to ensure that USO in the future meets the following requirements:</w:t>
      </w:r>
    </w:p>
    <w:p w14:paraId="00F7FA02" w14:textId="77777777" w:rsidR="004106C8" w:rsidRPr="00086293" w:rsidRDefault="004106C8" w:rsidP="004106C8">
      <w:pPr>
        <w:rPr>
          <w:rFonts w:ascii="Arial" w:hAnsi="Arial" w:cs="Arial"/>
        </w:rPr>
      </w:pPr>
    </w:p>
    <w:p w14:paraId="443ED2CD" w14:textId="2DE1C61D" w:rsidR="004106C8" w:rsidRPr="00086293" w:rsidRDefault="004106C8" w:rsidP="004106C8">
      <w:pPr>
        <w:rPr>
          <w:rFonts w:ascii="Arial" w:hAnsi="Arial" w:cs="Arial"/>
        </w:rPr>
      </w:pPr>
      <w:r w:rsidRPr="00086293">
        <w:rPr>
          <w:rFonts w:ascii="Arial" w:hAnsi="Arial" w:cs="Arial"/>
        </w:rPr>
        <w:t>- Broadband services are available to 100</w:t>
      </w:r>
      <w:r w:rsidR="007C5930" w:rsidRPr="00086293">
        <w:rPr>
          <w:rFonts w:ascii="Arial" w:hAnsi="Arial" w:cs="Arial"/>
        </w:rPr>
        <w:t>%</w:t>
      </w:r>
      <w:r w:rsidRPr="00086293">
        <w:rPr>
          <w:rFonts w:ascii="Arial" w:hAnsi="Arial" w:cs="Arial"/>
        </w:rPr>
        <w:t xml:space="preserve"> of Australian premises, on request, at the completion of the NBN rollout in 2020</w:t>
      </w:r>
    </w:p>
    <w:p w14:paraId="3929E588" w14:textId="749C0FA6" w:rsidR="004106C8" w:rsidRPr="00086293" w:rsidRDefault="004106C8" w:rsidP="004106C8">
      <w:pPr>
        <w:rPr>
          <w:rFonts w:ascii="Arial" w:hAnsi="Arial" w:cs="Arial"/>
        </w:rPr>
      </w:pPr>
      <w:r w:rsidRPr="00086293">
        <w:rPr>
          <w:rFonts w:ascii="Arial" w:hAnsi="Arial" w:cs="Arial"/>
        </w:rPr>
        <w:t>- Voice services are available to 100</w:t>
      </w:r>
      <w:r w:rsidR="007C5930" w:rsidRPr="00086293">
        <w:rPr>
          <w:rFonts w:ascii="Arial" w:hAnsi="Arial" w:cs="Arial"/>
        </w:rPr>
        <w:t xml:space="preserve">% </w:t>
      </w:r>
      <w:r w:rsidRPr="00086293">
        <w:rPr>
          <w:rFonts w:ascii="Arial" w:hAnsi="Arial" w:cs="Arial"/>
        </w:rPr>
        <w:t xml:space="preserve">of Australian premises on request  </w:t>
      </w:r>
    </w:p>
    <w:p w14:paraId="1757564B" w14:textId="77777777" w:rsidR="004106C8" w:rsidRPr="00086293" w:rsidRDefault="004106C8" w:rsidP="004106C8">
      <w:pPr>
        <w:rPr>
          <w:rFonts w:ascii="Arial" w:hAnsi="Arial" w:cs="Arial"/>
        </w:rPr>
      </w:pPr>
      <w:r w:rsidRPr="00086293">
        <w:rPr>
          <w:rFonts w:ascii="Arial" w:hAnsi="Arial" w:cs="Arial"/>
        </w:rPr>
        <w:t>- Any proposed new service delivery arrangements are more cost effective than the existing USO contract (including any transitional costs) and,</w:t>
      </w:r>
    </w:p>
    <w:p w14:paraId="0C964474" w14:textId="77777777" w:rsidR="004106C8" w:rsidRPr="00086293" w:rsidRDefault="004106C8" w:rsidP="004106C8">
      <w:pPr>
        <w:rPr>
          <w:rFonts w:ascii="Arial" w:hAnsi="Arial" w:cs="Arial"/>
        </w:rPr>
      </w:pPr>
      <w:r w:rsidRPr="00086293">
        <w:rPr>
          <w:rFonts w:ascii="Arial" w:hAnsi="Arial" w:cs="Arial"/>
        </w:rPr>
        <w:t xml:space="preserve">- A new consumer safeguards framework is in place following a review and associated public consultation process.  </w:t>
      </w:r>
    </w:p>
    <w:p w14:paraId="7BCCDB5F" w14:textId="77777777" w:rsidR="004106C8" w:rsidRPr="00086293" w:rsidRDefault="004106C8" w:rsidP="004106C8">
      <w:pPr>
        <w:rPr>
          <w:rFonts w:ascii="Arial" w:hAnsi="Arial" w:cs="Arial"/>
        </w:rPr>
      </w:pPr>
    </w:p>
    <w:p w14:paraId="7D08C56B" w14:textId="6DE908EC" w:rsidR="004106C8" w:rsidRPr="00086293" w:rsidRDefault="00E30845" w:rsidP="004106C8">
      <w:pPr>
        <w:rPr>
          <w:rFonts w:ascii="Arial" w:hAnsi="Arial" w:cs="Arial"/>
        </w:rPr>
      </w:pPr>
      <w:r w:rsidRPr="00086293">
        <w:rPr>
          <w:rFonts w:ascii="Arial" w:hAnsi="Arial" w:cs="Arial"/>
        </w:rPr>
        <w:lastRenderedPageBreak/>
        <w:drawing>
          <wp:inline distT="0" distB="0" distL="0" distR="0" wp14:anchorId="20084783" wp14:editId="01CC5605">
            <wp:extent cx="13218795" cy="6840855"/>
            <wp:effectExtent l="0" t="0" r="1905" b="0"/>
            <wp:docPr id="68074854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48542" name="Picture 1" descr="A diagram of a company&#10;&#10;AI-generated content may be incorrect."/>
                    <pic:cNvPicPr/>
                  </pic:nvPicPr>
                  <pic:blipFill>
                    <a:blip r:embed="rId21"/>
                    <a:stretch>
                      <a:fillRect/>
                    </a:stretch>
                  </pic:blipFill>
                  <pic:spPr>
                    <a:xfrm>
                      <a:off x="0" y="0"/>
                      <a:ext cx="13218795" cy="6840855"/>
                    </a:xfrm>
                    <a:prstGeom prst="rect">
                      <a:avLst/>
                    </a:prstGeom>
                  </pic:spPr>
                </pic:pic>
              </a:graphicData>
            </a:graphic>
          </wp:inline>
        </w:drawing>
      </w:r>
    </w:p>
    <w:p w14:paraId="548A8817" w14:textId="77777777" w:rsidR="004106C8" w:rsidRPr="00086293" w:rsidRDefault="004106C8" w:rsidP="004106C8">
      <w:pPr>
        <w:pStyle w:val="Heading3"/>
      </w:pPr>
      <w:r w:rsidRPr="00086293">
        <w:lastRenderedPageBreak/>
        <w:t>6. What are the policies and procedures of the USO?</w:t>
      </w:r>
    </w:p>
    <w:p w14:paraId="6193BBB0" w14:textId="1A8AC3C3" w:rsidR="004106C8" w:rsidRPr="00086293" w:rsidRDefault="00F24A35" w:rsidP="004106C8">
      <w:pPr>
        <w:rPr>
          <w:rFonts w:ascii="Arial" w:hAnsi="Arial" w:cs="Arial"/>
        </w:rPr>
      </w:pPr>
      <w:hyperlink r:id="rId22" w:history="1">
        <w:r w:rsidRPr="00086293">
          <w:rPr>
            <w:rStyle w:val="Hyperlink"/>
            <w:rFonts w:ascii="Arial" w:hAnsi="Arial" w:cs="Arial"/>
          </w:rPr>
          <w:t>https://www.infrastructure.gov.au/media-communications-arts/phone/phone-services/universal-service-obligation-voice-services</w:t>
        </w:r>
      </w:hyperlink>
      <w:r w:rsidRPr="00086293">
        <w:rPr>
          <w:rFonts w:ascii="Arial" w:hAnsi="Arial" w:cs="Arial"/>
        </w:rPr>
        <w:t xml:space="preserve"> </w:t>
      </w:r>
    </w:p>
    <w:p w14:paraId="5B6D322B" w14:textId="7BA09FDB" w:rsidR="004106C8" w:rsidRPr="00086293" w:rsidRDefault="000274F8" w:rsidP="004106C8">
      <w:pPr>
        <w:rPr>
          <w:rFonts w:ascii="Arial" w:hAnsi="Arial" w:cs="Arial"/>
        </w:rPr>
      </w:pPr>
      <w:hyperlink r:id="rId23" w:history="1">
        <w:r w:rsidRPr="00086293">
          <w:rPr>
            <w:rStyle w:val="Hyperlink"/>
            <w:rFonts w:ascii="Arial" w:hAnsi="Arial" w:cs="Arial"/>
          </w:rPr>
          <w:t>https://www.anao.gov.au/work/performance-audit/management-contract-telephone-universal-service-obligations</w:t>
        </w:r>
      </w:hyperlink>
    </w:p>
    <w:p w14:paraId="41F96EF1" w14:textId="2A58EF3E" w:rsidR="00E83039" w:rsidRPr="00086293" w:rsidRDefault="007D4923" w:rsidP="004106C8">
      <w:pPr>
        <w:rPr>
          <w:rFonts w:ascii="Arial" w:hAnsi="Arial" w:cs="Arial"/>
        </w:rPr>
      </w:pPr>
      <w:hyperlink r:id="rId24" w:history="1">
        <w:r w:rsidRPr="00086293">
          <w:rPr>
            <w:rStyle w:val="Hyperlink"/>
            <w:rFonts w:ascii="Arial" w:hAnsi="Arial" w:cs="Arial"/>
          </w:rPr>
          <w:t>https://www.acma.gov.au/rules-telstra-payphones</w:t>
        </w:r>
      </w:hyperlink>
      <w:r w:rsidRPr="00086293">
        <w:rPr>
          <w:rFonts w:ascii="Arial" w:hAnsi="Arial" w:cs="Arial"/>
        </w:rPr>
        <w:t xml:space="preserve"> </w:t>
      </w:r>
      <w:r w:rsidR="00E83039" w:rsidRPr="00086293">
        <w:rPr>
          <w:rFonts w:ascii="Arial" w:hAnsi="Arial" w:cs="Arial"/>
        </w:rPr>
        <w:t xml:space="preserve"> </w:t>
      </w:r>
    </w:p>
    <w:p w14:paraId="17E99A8A" w14:textId="77777777" w:rsidR="000274F8" w:rsidRPr="00086293" w:rsidRDefault="000274F8" w:rsidP="004106C8">
      <w:pPr>
        <w:rPr>
          <w:rFonts w:ascii="Arial" w:hAnsi="Arial" w:cs="Arial"/>
        </w:rPr>
      </w:pPr>
    </w:p>
    <w:p w14:paraId="2DE17F8D" w14:textId="41AEA227" w:rsidR="00F24A35" w:rsidRPr="00086293" w:rsidRDefault="003E5078" w:rsidP="004106C8">
      <w:pPr>
        <w:rPr>
          <w:rFonts w:ascii="Arial" w:hAnsi="Arial" w:cs="Arial"/>
        </w:rPr>
      </w:pPr>
      <w:r w:rsidRPr="00086293">
        <w:rPr>
          <w:rFonts w:ascii="Arial" w:hAnsi="Arial" w:cs="Arial"/>
        </w:rPr>
        <w:t xml:space="preserve">Telstra is committed to ensuring USO standard telephone services (STS) and payphones are under policies to ensure that the service is reasonably accessible to all Australians anywhere in Australia. </w:t>
      </w:r>
    </w:p>
    <w:p w14:paraId="6384791C" w14:textId="77777777" w:rsidR="003E5078" w:rsidRPr="00086293" w:rsidRDefault="003E5078" w:rsidP="004106C8">
      <w:pPr>
        <w:rPr>
          <w:rFonts w:ascii="Arial" w:hAnsi="Arial" w:cs="Arial"/>
        </w:rPr>
      </w:pPr>
    </w:p>
    <w:p w14:paraId="24B447CB" w14:textId="77777777" w:rsidR="003E5078" w:rsidRPr="00086293" w:rsidRDefault="003E5078" w:rsidP="003E5078">
      <w:pPr>
        <w:rPr>
          <w:rFonts w:ascii="Arial" w:hAnsi="Arial" w:cs="Arial"/>
        </w:rPr>
      </w:pPr>
      <w:r w:rsidRPr="00086293">
        <w:rPr>
          <w:rFonts w:ascii="Arial" w:hAnsi="Arial" w:cs="Arial"/>
        </w:rPr>
        <w:t>The policies that Telstra complies with are:</w:t>
      </w:r>
    </w:p>
    <w:p w14:paraId="60ADE8DB" w14:textId="503F5A71" w:rsidR="003E5078" w:rsidRPr="00086293" w:rsidRDefault="003E5078" w:rsidP="004106C8">
      <w:pPr>
        <w:pStyle w:val="ListParagraph"/>
        <w:numPr>
          <w:ilvl w:val="0"/>
          <w:numId w:val="1"/>
        </w:numPr>
        <w:rPr>
          <w:rFonts w:ascii="Arial" w:hAnsi="Arial" w:cs="Arial"/>
        </w:rPr>
      </w:pPr>
      <w:r w:rsidRPr="00086293">
        <w:rPr>
          <w:rFonts w:ascii="Arial" w:hAnsi="Arial" w:cs="Arial"/>
        </w:rPr>
        <w:t>Payphones</w:t>
      </w:r>
    </w:p>
    <w:p w14:paraId="540EA1D5" w14:textId="34502C15" w:rsidR="007D4923" w:rsidRPr="00086293" w:rsidRDefault="003E5078" w:rsidP="007D4923">
      <w:pPr>
        <w:pStyle w:val="ListParagraph"/>
        <w:numPr>
          <w:ilvl w:val="0"/>
          <w:numId w:val="1"/>
        </w:numPr>
        <w:rPr>
          <w:rFonts w:ascii="Arial" w:hAnsi="Arial" w:cs="Arial"/>
          <w:b/>
          <w:bCs/>
        </w:rPr>
      </w:pPr>
      <w:r w:rsidRPr="00086293">
        <w:rPr>
          <w:rFonts w:ascii="Arial" w:hAnsi="Arial" w:cs="Arial"/>
        </w:rPr>
        <w:t>Standard telephone service</w:t>
      </w:r>
    </w:p>
    <w:p w14:paraId="5FFA9F94" w14:textId="77777777" w:rsidR="00E83039" w:rsidRPr="00086293" w:rsidRDefault="00E83039" w:rsidP="004106C8">
      <w:pPr>
        <w:rPr>
          <w:rFonts w:ascii="Arial" w:hAnsi="Arial" w:cs="Arial"/>
        </w:rPr>
      </w:pPr>
    </w:p>
    <w:p w14:paraId="73170321" w14:textId="77777777" w:rsidR="00E83039" w:rsidRPr="00086293" w:rsidRDefault="00E83039" w:rsidP="00E83039">
      <w:pPr>
        <w:rPr>
          <w:rFonts w:ascii="Arial" w:hAnsi="Arial" w:cs="Arial"/>
        </w:rPr>
      </w:pPr>
      <w:r w:rsidRPr="00086293">
        <w:rPr>
          <w:rFonts w:ascii="Arial" w:hAnsi="Arial" w:cs="Arial"/>
        </w:rPr>
        <w:t>The "Universal Access to Broadband Services" framework describes the obligations that the infrastructure must meet:</w:t>
      </w:r>
    </w:p>
    <w:p w14:paraId="54DFEBD1" w14:textId="77777777" w:rsidR="00E83039" w:rsidRPr="00086293" w:rsidRDefault="00E83039" w:rsidP="00E83039">
      <w:pPr>
        <w:rPr>
          <w:rFonts w:ascii="Arial" w:hAnsi="Arial" w:cs="Arial"/>
        </w:rPr>
      </w:pPr>
      <w:r w:rsidRPr="00086293">
        <w:rPr>
          <w:rFonts w:ascii="Arial" w:hAnsi="Arial" w:cs="Arial"/>
        </w:rPr>
        <w:t>- Universal Service Guarantee (USG): Access for Australians to both broadband and voice services, anywhere in Australia</w:t>
      </w:r>
    </w:p>
    <w:p w14:paraId="2D66A13F" w14:textId="77777777" w:rsidR="00E83039" w:rsidRPr="00086293" w:rsidRDefault="00E83039" w:rsidP="00E83039">
      <w:pPr>
        <w:rPr>
          <w:rFonts w:ascii="Arial" w:hAnsi="Arial" w:cs="Arial"/>
        </w:rPr>
      </w:pPr>
      <w:r w:rsidRPr="00086293">
        <w:rPr>
          <w:rFonts w:ascii="Arial" w:hAnsi="Arial" w:cs="Arial"/>
        </w:rPr>
        <w:t>- Universal Access to Voice Services: Access for Australians to fixed voice services and payphones</w:t>
      </w:r>
    </w:p>
    <w:p w14:paraId="331C13EA" w14:textId="5544AC14" w:rsidR="00E83039" w:rsidRPr="00086293" w:rsidRDefault="00E83039" w:rsidP="00E83039">
      <w:pPr>
        <w:rPr>
          <w:rFonts w:ascii="Arial" w:hAnsi="Arial" w:cs="Arial"/>
        </w:rPr>
      </w:pPr>
      <w:r w:rsidRPr="00086293">
        <w:rPr>
          <w:rFonts w:ascii="Arial" w:hAnsi="Arial" w:cs="Arial"/>
        </w:rPr>
        <w:t>- Modernizing Universal Telecommunications Services: The government seeks to update voice and broadband services to the latest technology</w:t>
      </w:r>
    </w:p>
    <w:p w14:paraId="2707A241" w14:textId="77777777" w:rsidR="007D4923" w:rsidRPr="00086293" w:rsidRDefault="007D4923" w:rsidP="00E83039">
      <w:pPr>
        <w:rPr>
          <w:rFonts w:ascii="Arial" w:hAnsi="Arial" w:cs="Arial"/>
        </w:rPr>
      </w:pPr>
    </w:p>
    <w:p w14:paraId="716F4B28" w14:textId="7022C275" w:rsidR="007D4923" w:rsidRPr="00086293" w:rsidRDefault="007D4923" w:rsidP="00E83039">
      <w:pPr>
        <w:rPr>
          <w:rFonts w:ascii="Arial" w:hAnsi="Arial" w:cs="Arial"/>
        </w:rPr>
      </w:pPr>
      <w:r w:rsidRPr="00086293">
        <w:rPr>
          <w:rFonts w:ascii="Arial" w:hAnsi="Arial" w:cs="Arial"/>
        </w:rPr>
        <w:t>The procedures that Telstra must follow, which are defined by ACMA, are:</w:t>
      </w:r>
    </w:p>
    <w:p w14:paraId="3C76CFD8" w14:textId="77777777" w:rsidR="007D4923" w:rsidRPr="00086293" w:rsidRDefault="007D4923" w:rsidP="007D4923">
      <w:pPr>
        <w:pStyle w:val="ListParagraph"/>
        <w:numPr>
          <w:ilvl w:val="0"/>
          <w:numId w:val="1"/>
        </w:numPr>
        <w:rPr>
          <w:rFonts w:ascii="Arial" w:hAnsi="Arial" w:cs="Arial"/>
        </w:rPr>
      </w:pPr>
      <w:r w:rsidRPr="00086293">
        <w:rPr>
          <w:rFonts w:ascii="Arial" w:hAnsi="Arial" w:cs="Arial"/>
        </w:rPr>
        <w:t>where to locate payphones.</w:t>
      </w:r>
    </w:p>
    <w:p w14:paraId="52DF1BF7" w14:textId="77777777" w:rsidR="007D4923" w:rsidRPr="00086293" w:rsidRDefault="007D4923" w:rsidP="007D4923">
      <w:pPr>
        <w:pStyle w:val="ListParagraph"/>
        <w:numPr>
          <w:ilvl w:val="0"/>
          <w:numId w:val="1"/>
        </w:numPr>
        <w:rPr>
          <w:rFonts w:ascii="Arial" w:hAnsi="Arial" w:cs="Arial"/>
        </w:rPr>
      </w:pPr>
      <w:r w:rsidRPr="00086293">
        <w:rPr>
          <w:rFonts w:ascii="Arial" w:hAnsi="Arial" w:cs="Arial"/>
        </w:rPr>
        <w:t>the criteria to install, remove and maintain payphones.</w:t>
      </w:r>
    </w:p>
    <w:p w14:paraId="6FA04F53" w14:textId="1024124F" w:rsidR="007D4923" w:rsidRPr="00086293" w:rsidRDefault="007D4923" w:rsidP="007D4923">
      <w:pPr>
        <w:pStyle w:val="ListParagraph"/>
        <w:numPr>
          <w:ilvl w:val="0"/>
          <w:numId w:val="1"/>
        </w:numPr>
        <w:rPr>
          <w:rFonts w:ascii="Arial" w:hAnsi="Arial" w:cs="Arial"/>
        </w:rPr>
      </w:pPr>
      <w:r w:rsidRPr="00086293">
        <w:rPr>
          <w:rFonts w:ascii="Arial" w:hAnsi="Arial" w:cs="Arial"/>
        </w:rPr>
        <w:t>their consultation process.</w:t>
      </w:r>
    </w:p>
    <w:p w14:paraId="42910E42" w14:textId="5EDE6464" w:rsidR="00E83039" w:rsidRPr="00086293" w:rsidRDefault="007D4923" w:rsidP="00E83039">
      <w:pPr>
        <w:pStyle w:val="ListParagraph"/>
        <w:numPr>
          <w:ilvl w:val="0"/>
          <w:numId w:val="1"/>
        </w:numPr>
        <w:rPr>
          <w:rFonts w:ascii="Arial" w:hAnsi="Arial" w:cs="Arial"/>
        </w:rPr>
      </w:pPr>
      <w:r w:rsidRPr="00086293">
        <w:rPr>
          <w:rFonts w:ascii="Arial" w:hAnsi="Arial" w:cs="Arial"/>
        </w:rPr>
        <w:t xml:space="preserve">install or removing payphone </w:t>
      </w:r>
    </w:p>
    <w:p w14:paraId="67A1577A" w14:textId="77777777" w:rsidR="007D4923" w:rsidRPr="00086293" w:rsidRDefault="007D4923" w:rsidP="007D4923">
      <w:pPr>
        <w:rPr>
          <w:rFonts w:ascii="Arial" w:hAnsi="Arial" w:cs="Arial"/>
        </w:rPr>
      </w:pPr>
    </w:p>
    <w:p w14:paraId="6CB12687" w14:textId="77777777" w:rsidR="007D4923" w:rsidRPr="00086293" w:rsidRDefault="007D4923" w:rsidP="007D4923">
      <w:pPr>
        <w:rPr>
          <w:rFonts w:ascii="Arial" w:hAnsi="Arial" w:cs="Arial"/>
        </w:rPr>
      </w:pPr>
      <w:r w:rsidRPr="00086293">
        <w:rPr>
          <w:rFonts w:ascii="Arial" w:hAnsi="Arial" w:cs="Arial"/>
        </w:rPr>
        <w:t>Other services and procedures are also described by Telstra:</w:t>
      </w:r>
    </w:p>
    <w:p w14:paraId="631FEE45" w14:textId="77777777" w:rsidR="007D4923" w:rsidRPr="00086293" w:rsidRDefault="007D4923" w:rsidP="007D4923">
      <w:pPr>
        <w:pStyle w:val="ListParagraph"/>
        <w:numPr>
          <w:ilvl w:val="0"/>
          <w:numId w:val="1"/>
        </w:numPr>
        <w:rPr>
          <w:rFonts w:ascii="Arial" w:hAnsi="Arial" w:cs="Arial"/>
        </w:rPr>
      </w:pPr>
      <w:r w:rsidRPr="00086293">
        <w:rPr>
          <w:rFonts w:ascii="Arial" w:hAnsi="Arial" w:cs="Arial"/>
        </w:rPr>
        <w:t>Payphone enquiries &amp; applications</w:t>
      </w:r>
    </w:p>
    <w:p w14:paraId="5ECE4992" w14:textId="3BC44EA8" w:rsidR="007D4923" w:rsidRPr="00086293" w:rsidRDefault="007D4923" w:rsidP="007D4923">
      <w:pPr>
        <w:pStyle w:val="ListParagraph"/>
        <w:numPr>
          <w:ilvl w:val="0"/>
          <w:numId w:val="1"/>
        </w:numPr>
        <w:rPr>
          <w:rFonts w:ascii="Arial" w:hAnsi="Arial" w:cs="Arial"/>
        </w:rPr>
      </w:pPr>
      <w:r w:rsidRPr="00086293">
        <w:rPr>
          <w:rFonts w:ascii="Arial" w:hAnsi="Arial" w:cs="Arial"/>
        </w:rPr>
        <w:t>Reporting faults</w:t>
      </w:r>
    </w:p>
    <w:p w14:paraId="2A79DE99" w14:textId="0A1E66C8" w:rsidR="007D4923" w:rsidRPr="00086293" w:rsidRDefault="007D4923" w:rsidP="007D4923">
      <w:pPr>
        <w:pStyle w:val="ListParagraph"/>
        <w:numPr>
          <w:ilvl w:val="0"/>
          <w:numId w:val="1"/>
        </w:numPr>
        <w:rPr>
          <w:rFonts w:ascii="Arial" w:hAnsi="Arial" w:cs="Arial"/>
        </w:rPr>
      </w:pPr>
      <w:r w:rsidRPr="00086293">
        <w:rPr>
          <w:rFonts w:ascii="Arial" w:hAnsi="Arial" w:cs="Arial"/>
        </w:rPr>
        <w:t>Telstra Smart Payphone</w:t>
      </w:r>
    </w:p>
    <w:p w14:paraId="4C9CB825" w14:textId="46151FD6" w:rsidR="007D4923" w:rsidRPr="00086293" w:rsidRDefault="007D4923" w:rsidP="007D4923">
      <w:pPr>
        <w:pStyle w:val="ListParagraph"/>
        <w:numPr>
          <w:ilvl w:val="0"/>
          <w:numId w:val="1"/>
        </w:numPr>
        <w:rPr>
          <w:rFonts w:ascii="Arial" w:hAnsi="Arial" w:cs="Arial"/>
        </w:rPr>
      </w:pPr>
      <w:r w:rsidRPr="00086293">
        <w:rPr>
          <w:rFonts w:ascii="Arial" w:hAnsi="Arial" w:cs="Arial"/>
        </w:rPr>
        <w:t>TTY payphones  (payphones for deaf people)</w:t>
      </w:r>
    </w:p>
    <w:p w14:paraId="647B968D" w14:textId="54A976FE" w:rsidR="007D4923" w:rsidRPr="00086293" w:rsidRDefault="007D4923" w:rsidP="007D4923">
      <w:pPr>
        <w:pStyle w:val="ListParagraph"/>
        <w:numPr>
          <w:ilvl w:val="0"/>
          <w:numId w:val="1"/>
        </w:numPr>
        <w:rPr>
          <w:rFonts w:ascii="Arial" w:hAnsi="Arial" w:cs="Arial"/>
        </w:rPr>
      </w:pPr>
      <w:r w:rsidRPr="00086293">
        <w:rPr>
          <w:rFonts w:ascii="Arial" w:hAnsi="Arial" w:cs="Arial"/>
        </w:rPr>
        <w:t>Making a complaint about a payphone</w:t>
      </w:r>
    </w:p>
    <w:p w14:paraId="48E3F815" w14:textId="77777777" w:rsidR="007D4923" w:rsidRPr="00086293" w:rsidRDefault="007D4923" w:rsidP="007D4923">
      <w:pPr>
        <w:rPr>
          <w:rFonts w:ascii="Arial" w:hAnsi="Arial" w:cs="Arial"/>
        </w:rPr>
      </w:pPr>
    </w:p>
    <w:p w14:paraId="2040C464" w14:textId="77777777" w:rsidR="00E83039" w:rsidRPr="00086293" w:rsidRDefault="00E83039" w:rsidP="00E83039">
      <w:pPr>
        <w:rPr>
          <w:rFonts w:ascii="Arial" w:hAnsi="Arial" w:cs="Arial"/>
        </w:rPr>
      </w:pPr>
    </w:p>
    <w:p w14:paraId="079EB50B" w14:textId="77777777" w:rsidR="00E83039" w:rsidRPr="00086293" w:rsidRDefault="00E83039" w:rsidP="00E83039">
      <w:pPr>
        <w:rPr>
          <w:rFonts w:ascii="Arial" w:hAnsi="Arial" w:cs="Arial"/>
        </w:rPr>
      </w:pPr>
      <w:r w:rsidRPr="00086293">
        <w:rPr>
          <w:rFonts w:ascii="Arial" w:hAnsi="Arial" w:cs="Arial"/>
        </w:rPr>
        <w:t>The Department of Infrastructure, Transport, Regional Development, Communications and the Arts monitors and oversees the implementation of the USO.</w:t>
      </w:r>
    </w:p>
    <w:p w14:paraId="138DEAD3" w14:textId="77777777" w:rsidR="003E5078" w:rsidRPr="00086293" w:rsidRDefault="003E5078" w:rsidP="004106C8">
      <w:pPr>
        <w:rPr>
          <w:rFonts w:ascii="Arial" w:hAnsi="Arial" w:cs="Arial"/>
        </w:rPr>
      </w:pPr>
    </w:p>
    <w:p w14:paraId="4A9BA529" w14:textId="77777777" w:rsidR="007C76BB" w:rsidRPr="00086293" w:rsidRDefault="007C76BB" w:rsidP="004106C8">
      <w:pPr>
        <w:rPr>
          <w:rFonts w:ascii="Arial" w:hAnsi="Arial" w:cs="Arial"/>
        </w:rPr>
      </w:pPr>
    </w:p>
    <w:p w14:paraId="5F8DFB21" w14:textId="6327E5CA" w:rsidR="00DD208C" w:rsidRPr="00086293" w:rsidRDefault="00E30845">
      <w:pPr>
        <w:suppressAutoHyphens/>
        <w:rPr>
          <w:rFonts w:ascii="Arial" w:eastAsia="Arial" w:hAnsi="Arial" w:cs="Arial"/>
          <w:spacing w:val="-10"/>
          <w:sz w:val="56"/>
          <w:szCs w:val="56"/>
        </w:rPr>
      </w:pPr>
      <w:r w:rsidRPr="00086293">
        <w:rPr>
          <w:rFonts w:ascii="Arial" w:hAnsi="Arial" w:cs="Arial"/>
        </w:rPr>
        <w:lastRenderedPageBreak/>
        <w:drawing>
          <wp:inline distT="0" distB="0" distL="0" distR="0" wp14:anchorId="0CA756BE" wp14:editId="3CE19B1E">
            <wp:extent cx="13218795" cy="6840855"/>
            <wp:effectExtent l="0" t="0" r="1905" b="0"/>
            <wp:docPr id="538901665"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01665" name="Picture 1" descr="A diagram of a company&#10;&#10;AI-generated content may be incorrect."/>
                    <pic:cNvPicPr/>
                  </pic:nvPicPr>
                  <pic:blipFill>
                    <a:blip r:embed="rId21"/>
                    <a:stretch>
                      <a:fillRect/>
                    </a:stretch>
                  </pic:blipFill>
                  <pic:spPr>
                    <a:xfrm>
                      <a:off x="0" y="0"/>
                      <a:ext cx="13218795" cy="6840855"/>
                    </a:xfrm>
                    <a:prstGeom prst="rect">
                      <a:avLst/>
                    </a:prstGeom>
                  </pic:spPr>
                </pic:pic>
              </a:graphicData>
            </a:graphic>
          </wp:inline>
        </w:drawing>
      </w:r>
      <w:r w:rsidR="00DD208C" w:rsidRPr="00086293">
        <w:rPr>
          <w:rFonts w:ascii="Arial" w:hAnsi="Arial" w:cs="Arial"/>
        </w:rPr>
        <w:br w:type="page"/>
      </w:r>
    </w:p>
    <w:p w14:paraId="5C7ADD70" w14:textId="7D0FBB36" w:rsidR="007C76BB" w:rsidRPr="00086293" w:rsidRDefault="00DD208C" w:rsidP="00DD208C">
      <w:pPr>
        <w:pStyle w:val="Title"/>
      </w:pPr>
      <w:r w:rsidRPr="00086293">
        <w:lastRenderedPageBreak/>
        <w:t>Plan and summarise additional research required for your reports.</w:t>
      </w:r>
    </w:p>
    <w:p w14:paraId="1DB58106" w14:textId="77777777" w:rsidR="00DD208C" w:rsidRPr="00086293" w:rsidRDefault="00DD208C" w:rsidP="00DD208C">
      <w:pPr>
        <w:rPr>
          <w:rFonts w:ascii="Arial" w:hAnsi="Arial" w:cs="Arial"/>
        </w:rPr>
      </w:pPr>
    </w:p>
    <w:p w14:paraId="09FE5501" w14:textId="77777777" w:rsidR="00DD208C" w:rsidRPr="00086293" w:rsidRDefault="00DD208C" w:rsidP="00DD208C">
      <w:pPr>
        <w:rPr>
          <w:rFonts w:ascii="Arial" w:hAnsi="Arial" w:cs="Arial"/>
        </w:rPr>
      </w:pPr>
    </w:p>
    <w:p w14:paraId="35294AAF" w14:textId="7C915D80" w:rsidR="00DD208C" w:rsidRPr="00086293" w:rsidRDefault="00DD208C" w:rsidP="001F6552">
      <w:pPr>
        <w:pStyle w:val="Heading2"/>
        <w:numPr>
          <w:ilvl w:val="0"/>
          <w:numId w:val="4"/>
        </w:numPr>
      </w:pPr>
      <w:r w:rsidRPr="00086293">
        <w:t>Australian economic conditions</w:t>
      </w:r>
    </w:p>
    <w:p w14:paraId="15ED7C1C" w14:textId="2B5F6B5B" w:rsidR="00D362B3" w:rsidRPr="00086293" w:rsidRDefault="00D362B3" w:rsidP="00D362B3">
      <w:pPr>
        <w:suppressAutoHyphens/>
        <w:rPr>
          <w:rFonts w:ascii="Arial" w:hAnsi="Arial" w:cs="Arial"/>
        </w:rPr>
      </w:pPr>
      <w:hyperlink r:id="rId25" w:history="1">
        <w:r w:rsidRPr="00086293">
          <w:rPr>
            <w:rStyle w:val="Hyperlink"/>
            <w:rFonts w:ascii="Arial" w:hAnsi="Arial" w:cs="Arial"/>
          </w:rPr>
          <w:t>https://www.abs.gov.au/articles/9-facts-about-economy-march-quarter</w:t>
        </w:r>
      </w:hyperlink>
      <w:r w:rsidRPr="00086293">
        <w:rPr>
          <w:rFonts w:ascii="Arial" w:hAnsi="Arial" w:cs="Arial"/>
        </w:rPr>
        <w:t xml:space="preserve"> </w:t>
      </w:r>
    </w:p>
    <w:p w14:paraId="52BEFA0A" w14:textId="77777777" w:rsidR="00D362B3" w:rsidRPr="00086293" w:rsidRDefault="00D362B3" w:rsidP="00D362B3">
      <w:pPr>
        <w:suppressAutoHyphens/>
        <w:rPr>
          <w:rFonts w:ascii="Arial" w:hAnsi="Arial" w:cs="Arial"/>
        </w:rPr>
      </w:pPr>
    </w:p>
    <w:p w14:paraId="6EC1CC0A" w14:textId="216FA05F" w:rsidR="00D362B3" w:rsidRPr="00086293" w:rsidRDefault="00D362B3" w:rsidP="00D362B3">
      <w:pPr>
        <w:suppressAutoHyphens/>
        <w:rPr>
          <w:rFonts w:ascii="Arial" w:hAnsi="Arial" w:cs="Arial"/>
        </w:rPr>
      </w:pPr>
      <w:hyperlink r:id="rId26" w:history="1">
        <w:r w:rsidRPr="00086293">
          <w:rPr>
            <w:rStyle w:val="Hyperlink"/>
            <w:rFonts w:ascii="Arial" w:hAnsi="Arial" w:cs="Arial"/>
          </w:rPr>
          <w:t>https://www.oecd.org/en/topics/sub-issues/economic-surveys/Australia-Economic-Snapshot.html</w:t>
        </w:r>
      </w:hyperlink>
      <w:r w:rsidRPr="00086293">
        <w:rPr>
          <w:rFonts w:ascii="Arial" w:hAnsi="Arial" w:cs="Arial"/>
        </w:rPr>
        <w:t xml:space="preserve"> </w:t>
      </w:r>
    </w:p>
    <w:p w14:paraId="0D6B05C8" w14:textId="77777777" w:rsidR="006F21C0" w:rsidRPr="00086293" w:rsidRDefault="006F21C0" w:rsidP="00D362B3">
      <w:pPr>
        <w:suppressAutoHyphens/>
        <w:rPr>
          <w:rFonts w:ascii="Arial" w:hAnsi="Arial" w:cs="Arial"/>
        </w:rPr>
      </w:pPr>
    </w:p>
    <w:p w14:paraId="1096C33A" w14:textId="605B7200" w:rsidR="006F21C0" w:rsidRPr="00086293" w:rsidRDefault="006F21C0" w:rsidP="00D362B3">
      <w:pPr>
        <w:suppressAutoHyphens/>
        <w:rPr>
          <w:rFonts w:ascii="Arial" w:hAnsi="Arial" w:cs="Arial"/>
        </w:rPr>
      </w:pPr>
      <w:hyperlink r:id="rId27" w:history="1">
        <w:r w:rsidRPr="00086293">
          <w:rPr>
            <w:rStyle w:val="Hyperlink"/>
            <w:rFonts w:ascii="Arial" w:hAnsi="Arial" w:cs="Arial"/>
          </w:rPr>
          <w:t>https://www.rba.gov.au/snapshots/economy-indicators-snapshot/</w:t>
        </w:r>
      </w:hyperlink>
      <w:r w:rsidRPr="00086293">
        <w:rPr>
          <w:rFonts w:ascii="Arial" w:hAnsi="Arial" w:cs="Arial"/>
        </w:rPr>
        <w:t xml:space="preserve"> </w:t>
      </w:r>
    </w:p>
    <w:p w14:paraId="4F5EA88C" w14:textId="77777777" w:rsidR="00D362B3" w:rsidRPr="00086293" w:rsidRDefault="00D362B3" w:rsidP="00D362B3">
      <w:pPr>
        <w:rPr>
          <w:rFonts w:ascii="Arial" w:hAnsi="Arial" w:cs="Arial"/>
        </w:rPr>
      </w:pPr>
    </w:p>
    <w:p w14:paraId="2DEE5478" w14:textId="77777777" w:rsidR="00D57822" w:rsidRPr="00086293" w:rsidRDefault="00D57822" w:rsidP="00D362B3">
      <w:pPr>
        <w:rPr>
          <w:rFonts w:ascii="Arial" w:hAnsi="Arial" w:cs="Arial"/>
        </w:rPr>
      </w:pPr>
    </w:p>
    <w:p w14:paraId="1AA92500" w14:textId="1B7D656D" w:rsidR="00D57822" w:rsidRPr="00086293" w:rsidRDefault="00D57822" w:rsidP="00D57822">
      <w:pPr>
        <w:jc w:val="both"/>
        <w:rPr>
          <w:rFonts w:ascii="Arial" w:hAnsi="Arial" w:cs="Arial"/>
        </w:rPr>
      </w:pPr>
      <w:r w:rsidRPr="00086293">
        <w:rPr>
          <w:rFonts w:ascii="Arial" w:hAnsi="Arial" w:cs="Arial"/>
        </w:rPr>
        <w:t>Australia’s economy in the March quarter 2025 recorded modest growth, with real GDP up just 0.2% for the quarter (1.3% annually), weighed down by severe weather events and the strongest detraction from public sector activity since 2017. Private demand supported the economy through rising household consumption (+0.4%) and private investment (+0.7%), while public investment (-2.0%) and weaker net trade (exports -0.8%) detracted from growth. Prices continued to rise, with nominal GDP up 1.4% and the implicit price deflator rising 1.2%, reflecting higher labour costs and strong increases in services such as health, education, rent, and energy. Export and import prices both rose (led by iron ore and rural goods on the export side), leaving the terms of trade only marginally higher (+0.1%). Mining output fell sharply due to cyclones, while non-mining industries such as construction, information media and telecommunications provided positive contributions. Compensation of employees grew 1.5% amid a still-tight labour market (unemployment around 4.1%), lifting household disposable income and pushing the household saving ratio up to 5.2% from 3.9%. Overall, growth momentum remains fragile, underpinned by household spending resilience but offset by weak trade and subdued public sector demand.</w:t>
      </w:r>
    </w:p>
    <w:p w14:paraId="39326793" w14:textId="77777777" w:rsidR="00D57822" w:rsidRPr="00086293" w:rsidRDefault="00D57822" w:rsidP="00D362B3">
      <w:pPr>
        <w:rPr>
          <w:rFonts w:ascii="Arial" w:hAnsi="Arial" w:cs="Arial"/>
        </w:rPr>
      </w:pPr>
    </w:p>
    <w:p w14:paraId="0FA5F785" w14:textId="77777777" w:rsidR="00C4410D" w:rsidRPr="00086293" w:rsidRDefault="00C4410D" w:rsidP="00D362B3">
      <w:pPr>
        <w:rPr>
          <w:rFonts w:ascii="Arial" w:hAnsi="Arial" w:cs="Arial"/>
        </w:rPr>
      </w:pPr>
    </w:p>
    <w:p w14:paraId="688FBE2A" w14:textId="6D4441FA" w:rsidR="00C4410D" w:rsidRPr="00086293" w:rsidRDefault="00C4410D" w:rsidP="00D362B3">
      <w:pPr>
        <w:rPr>
          <w:rFonts w:ascii="Arial" w:hAnsi="Arial" w:cs="Arial"/>
          <w:b/>
          <w:bCs/>
          <w:u w:val="single"/>
        </w:rPr>
      </w:pPr>
      <w:r w:rsidRPr="00086293">
        <w:rPr>
          <w:rFonts w:ascii="Arial" w:hAnsi="Arial" w:cs="Arial"/>
          <w:b/>
          <w:bCs/>
          <w:u w:val="single"/>
        </w:rPr>
        <w:t>Supports growth:</w:t>
      </w:r>
    </w:p>
    <w:p w14:paraId="2CDABE9E" w14:textId="5270FAB5" w:rsidR="00C4410D" w:rsidRPr="00086293" w:rsidRDefault="00C4410D" w:rsidP="00C4410D">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Household consumption</w:t>
      </w:r>
      <w:r w:rsidRPr="00086293">
        <w:rPr>
          <w:rFonts w:ascii="Arial" w:eastAsia="Times New Roman" w:hAnsi="Arial" w:cs="Arial"/>
          <w:noProof w:val="0"/>
          <w:lang w:eastAsia="en-AU" w:bidi="ar-SA"/>
        </w:rPr>
        <w:t xml:space="preserve"> (+0.4%), particularly essential spending on electricity, gas and food, as well as recreation and culture.</w:t>
      </w:r>
    </w:p>
    <w:p w14:paraId="41F5E1A5" w14:textId="0B9AB81D" w:rsidR="00C4410D" w:rsidRPr="00086293" w:rsidRDefault="00C4410D" w:rsidP="00C4410D">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Private investment</w:t>
      </w:r>
      <w:r w:rsidRPr="00086293">
        <w:rPr>
          <w:rFonts w:ascii="Arial" w:eastAsia="Times New Roman" w:hAnsi="Arial" w:cs="Arial"/>
          <w:noProof w:val="0"/>
          <w:lang w:eastAsia="en-AU" w:bidi="ar-SA"/>
        </w:rPr>
        <w:t xml:space="preserve"> (+0.7%), driven by dwelling investment (+2.6%) and non-dwelling construction (+1.3%), especially in mining and electricity projects.</w:t>
      </w:r>
    </w:p>
    <w:p w14:paraId="10DE4086" w14:textId="3A38A7F3" w:rsidR="00C4410D" w:rsidRPr="00086293" w:rsidRDefault="00C4410D" w:rsidP="00C4410D">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Changes in inventories</w:t>
      </w:r>
      <w:r w:rsidRPr="00086293">
        <w:rPr>
          <w:rFonts w:ascii="Arial" w:eastAsia="Times New Roman" w:hAnsi="Arial" w:cs="Arial"/>
          <w:noProof w:val="0"/>
          <w:lang w:eastAsia="en-AU" w:bidi="ar-SA"/>
        </w:rPr>
        <w:t xml:space="preserve"> (+0.1ppt), with build-ups in mining, manufacturing (gold, steel, alumina), and some public authorities.</w:t>
      </w:r>
    </w:p>
    <w:p w14:paraId="395E1664" w14:textId="6EA20F6F" w:rsidR="00C4410D" w:rsidRPr="00086293" w:rsidRDefault="00C4410D" w:rsidP="00C4410D">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Non-mining industries</w:t>
      </w:r>
      <w:r w:rsidRPr="00086293">
        <w:rPr>
          <w:rFonts w:ascii="Arial" w:eastAsia="Times New Roman" w:hAnsi="Arial" w:cs="Arial"/>
          <w:noProof w:val="0"/>
          <w:lang w:eastAsia="en-AU" w:bidi="ar-SA"/>
        </w:rPr>
        <w:t>: Construction, Information Media &amp; Telecommunications (+2.1%), and Administrative &amp; Support Services (+1.9%).</w:t>
      </w:r>
    </w:p>
    <w:p w14:paraId="698DDFA1" w14:textId="0658A694" w:rsidR="00C4410D" w:rsidRPr="00086293" w:rsidRDefault="00C4410D" w:rsidP="00C4410D">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Agriculture, Forestry &amp; Fishing</w:t>
      </w:r>
      <w:r w:rsidRPr="00086293">
        <w:rPr>
          <w:rFonts w:ascii="Arial" w:eastAsia="Times New Roman" w:hAnsi="Arial" w:cs="Arial"/>
          <w:noProof w:val="0"/>
          <w:lang w:eastAsia="en-AU" w:bidi="ar-SA"/>
        </w:rPr>
        <w:t xml:space="preserve"> (+4.3%), supported by strong livestock demand from overseas markets.</w:t>
      </w:r>
    </w:p>
    <w:p w14:paraId="02C91383" w14:textId="630AC772" w:rsidR="00C4410D" w:rsidRPr="00086293" w:rsidRDefault="00C4410D" w:rsidP="00C4410D">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Compensation of employees</w:t>
      </w:r>
      <w:r w:rsidRPr="00086293">
        <w:rPr>
          <w:rFonts w:ascii="Arial" w:eastAsia="Times New Roman" w:hAnsi="Arial" w:cs="Arial"/>
          <w:noProof w:val="0"/>
          <w:lang w:eastAsia="en-AU" w:bidi="ar-SA"/>
        </w:rPr>
        <w:t xml:space="preserve"> (+1.5%), with wage growth across private and public sectors, boosting household incomes.</w:t>
      </w:r>
    </w:p>
    <w:p w14:paraId="76FE2AE7" w14:textId="5257133D" w:rsidR="00C4410D" w:rsidRPr="00086293" w:rsidRDefault="00C4410D" w:rsidP="00C4410D">
      <w:pPr>
        <w:pStyle w:val="ListParagraph"/>
        <w:numPr>
          <w:ilvl w:val="0"/>
          <w:numId w:val="2"/>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Household saving ratio</w:t>
      </w:r>
      <w:r w:rsidRPr="00086293">
        <w:rPr>
          <w:rFonts w:ascii="Arial" w:eastAsia="Times New Roman" w:hAnsi="Arial" w:cs="Arial"/>
          <w:noProof w:val="0"/>
          <w:lang w:eastAsia="en-AU" w:bidi="ar-SA"/>
        </w:rPr>
        <w:t xml:space="preserve"> rose to 5.2%, reflecting stronger disposable income relative to consumption.</w:t>
      </w:r>
    </w:p>
    <w:p w14:paraId="2C1DC7A1" w14:textId="77777777" w:rsidR="00C4410D" w:rsidRPr="00086293" w:rsidRDefault="00C4410D" w:rsidP="00D362B3">
      <w:pPr>
        <w:rPr>
          <w:rFonts w:ascii="Arial" w:hAnsi="Arial" w:cs="Arial"/>
        </w:rPr>
      </w:pPr>
    </w:p>
    <w:p w14:paraId="25427724" w14:textId="77777777" w:rsidR="00C4410D" w:rsidRPr="00086293" w:rsidRDefault="00C4410D" w:rsidP="00D362B3">
      <w:pPr>
        <w:rPr>
          <w:rFonts w:ascii="Arial" w:hAnsi="Arial" w:cs="Arial"/>
        </w:rPr>
      </w:pPr>
    </w:p>
    <w:p w14:paraId="401514CE" w14:textId="11368405" w:rsidR="00C4410D" w:rsidRPr="00086293" w:rsidRDefault="00C4410D" w:rsidP="00D362B3">
      <w:pPr>
        <w:rPr>
          <w:rFonts w:ascii="Arial" w:hAnsi="Arial" w:cs="Arial"/>
          <w:b/>
          <w:bCs/>
          <w:u w:val="single"/>
        </w:rPr>
      </w:pPr>
      <w:r w:rsidRPr="00086293">
        <w:rPr>
          <w:rFonts w:ascii="Arial" w:hAnsi="Arial" w:cs="Arial"/>
          <w:b/>
          <w:bCs/>
          <w:u w:val="single"/>
        </w:rPr>
        <w:t>Detracted growth:</w:t>
      </w:r>
    </w:p>
    <w:p w14:paraId="4DBB3C51" w14:textId="77777777" w:rsidR="00C4410D" w:rsidRPr="00086293" w:rsidRDefault="00C4410D" w:rsidP="00D362B3">
      <w:pPr>
        <w:rPr>
          <w:rFonts w:ascii="Arial" w:hAnsi="Arial" w:cs="Arial"/>
        </w:rPr>
      </w:pPr>
    </w:p>
    <w:p w14:paraId="04F09435" w14:textId="77777777" w:rsidR="00C4410D" w:rsidRPr="00C4410D" w:rsidRDefault="00C4410D" w:rsidP="00C4410D">
      <w:pPr>
        <w:numPr>
          <w:ilvl w:val="0"/>
          <w:numId w:val="9"/>
        </w:numPr>
        <w:rPr>
          <w:rFonts w:ascii="Arial" w:hAnsi="Arial" w:cs="Arial"/>
        </w:rPr>
      </w:pPr>
      <w:r w:rsidRPr="00C4410D">
        <w:rPr>
          <w:rFonts w:ascii="Arial" w:hAnsi="Arial" w:cs="Arial"/>
          <w:b/>
          <w:bCs/>
        </w:rPr>
        <w:t>Public sector activity</w:t>
      </w:r>
      <w:r w:rsidRPr="00C4410D">
        <w:rPr>
          <w:rFonts w:ascii="Arial" w:hAnsi="Arial" w:cs="Arial"/>
        </w:rPr>
        <w:t>: public investment (–2.0%) detracted 0.1ppt, with major projects delayed or completed, and government consumption flat.</w:t>
      </w:r>
    </w:p>
    <w:p w14:paraId="1C726B5B" w14:textId="77777777" w:rsidR="00C4410D" w:rsidRPr="00C4410D" w:rsidRDefault="00C4410D" w:rsidP="00C4410D">
      <w:pPr>
        <w:numPr>
          <w:ilvl w:val="0"/>
          <w:numId w:val="9"/>
        </w:numPr>
        <w:rPr>
          <w:rFonts w:ascii="Arial" w:hAnsi="Arial" w:cs="Arial"/>
        </w:rPr>
      </w:pPr>
      <w:r w:rsidRPr="00C4410D">
        <w:rPr>
          <w:rFonts w:ascii="Arial" w:hAnsi="Arial" w:cs="Arial"/>
          <w:b/>
          <w:bCs/>
        </w:rPr>
        <w:t>Net trade</w:t>
      </w:r>
      <w:r w:rsidRPr="00C4410D">
        <w:rPr>
          <w:rFonts w:ascii="Arial" w:hAnsi="Arial" w:cs="Arial"/>
        </w:rPr>
        <w:t xml:space="preserve"> (–0.1ppt), with exports down (–0.8%) more than imports (–0.4%); services exports fell 3.0% (lower student arrivals, weaker spending), and coal/LNG exports declined.</w:t>
      </w:r>
    </w:p>
    <w:p w14:paraId="6C8D3B14" w14:textId="77777777" w:rsidR="00C4410D" w:rsidRPr="00C4410D" w:rsidRDefault="00C4410D" w:rsidP="00C4410D">
      <w:pPr>
        <w:numPr>
          <w:ilvl w:val="0"/>
          <w:numId w:val="9"/>
        </w:numPr>
        <w:rPr>
          <w:rFonts w:ascii="Arial" w:hAnsi="Arial" w:cs="Arial"/>
        </w:rPr>
      </w:pPr>
      <w:r w:rsidRPr="00C4410D">
        <w:rPr>
          <w:rFonts w:ascii="Arial" w:hAnsi="Arial" w:cs="Arial"/>
          <w:b/>
          <w:bCs/>
        </w:rPr>
        <w:t>Mining output</w:t>
      </w:r>
      <w:r w:rsidRPr="00C4410D">
        <w:rPr>
          <w:rFonts w:ascii="Arial" w:hAnsi="Arial" w:cs="Arial"/>
        </w:rPr>
        <w:t xml:space="preserve"> (–2.0%), with severe weather events disrupting production and exports of coal, iron ore, and oil &amp; gas.</w:t>
      </w:r>
    </w:p>
    <w:p w14:paraId="012050E0" w14:textId="77777777" w:rsidR="00C4410D" w:rsidRPr="00C4410D" w:rsidRDefault="00C4410D" w:rsidP="00C4410D">
      <w:pPr>
        <w:numPr>
          <w:ilvl w:val="0"/>
          <w:numId w:val="9"/>
        </w:numPr>
        <w:rPr>
          <w:rFonts w:ascii="Arial" w:hAnsi="Arial" w:cs="Arial"/>
        </w:rPr>
      </w:pPr>
      <w:r w:rsidRPr="00C4410D">
        <w:rPr>
          <w:rFonts w:ascii="Arial" w:hAnsi="Arial" w:cs="Arial"/>
          <w:b/>
          <w:bCs/>
        </w:rPr>
        <w:lastRenderedPageBreak/>
        <w:t>Weather impacts</w:t>
      </w:r>
      <w:r w:rsidRPr="00C4410D">
        <w:rPr>
          <w:rFonts w:ascii="Arial" w:hAnsi="Arial" w:cs="Arial"/>
        </w:rPr>
        <w:t xml:space="preserve"> more broadly, which reduced tourism, shipping, and crop planting.</w:t>
      </w:r>
    </w:p>
    <w:p w14:paraId="4FCB5659" w14:textId="77777777" w:rsidR="00C4410D" w:rsidRPr="00C4410D" w:rsidRDefault="00C4410D" w:rsidP="00C4410D">
      <w:pPr>
        <w:numPr>
          <w:ilvl w:val="0"/>
          <w:numId w:val="9"/>
        </w:numPr>
        <w:rPr>
          <w:rFonts w:ascii="Arial" w:hAnsi="Arial" w:cs="Arial"/>
        </w:rPr>
      </w:pPr>
      <w:r w:rsidRPr="00C4410D">
        <w:rPr>
          <w:rFonts w:ascii="Arial" w:hAnsi="Arial" w:cs="Arial"/>
          <w:b/>
          <w:bCs/>
        </w:rPr>
        <w:t>Weak discretionary household spending</w:t>
      </w:r>
      <w:r w:rsidRPr="00C4410D">
        <w:rPr>
          <w:rFonts w:ascii="Arial" w:hAnsi="Arial" w:cs="Arial"/>
        </w:rPr>
        <w:t xml:space="preserve"> (+0.3%), softer after a strong December 2024 quarter.</w:t>
      </w:r>
    </w:p>
    <w:p w14:paraId="46BC7E48" w14:textId="77777777" w:rsidR="00C4410D" w:rsidRPr="00C4410D" w:rsidRDefault="00C4410D" w:rsidP="00C4410D">
      <w:pPr>
        <w:numPr>
          <w:ilvl w:val="0"/>
          <w:numId w:val="9"/>
        </w:numPr>
        <w:rPr>
          <w:rFonts w:ascii="Arial" w:hAnsi="Arial" w:cs="Arial"/>
        </w:rPr>
      </w:pPr>
      <w:r w:rsidRPr="00C4410D">
        <w:rPr>
          <w:rFonts w:ascii="Arial" w:hAnsi="Arial" w:cs="Arial"/>
          <w:b/>
          <w:bCs/>
        </w:rPr>
        <w:t>Falling public sector contributions</w:t>
      </w:r>
      <w:r w:rsidRPr="00C4410D">
        <w:rPr>
          <w:rFonts w:ascii="Arial" w:hAnsi="Arial" w:cs="Arial"/>
        </w:rPr>
        <w:t xml:space="preserve"> after nine consecutive quarters of government consumption growth.</w:t>
      </w:r>
    </w:p>
    <w:p w14:paraId="311AFAF6" w14:textId="77777777" w:rsidR="00C4410D" w:rsidRPr="00086293" w:rsidRDefault="00C4410D" w:rsidP="00D362B3">
      <w:pPr>
        <w:rPr>
          <w:rFonts w:ascii="Arial" w:hAnsi="Arial" w:cs="Arial"/>
        </w:rPr>
      </w:pPr>
    </w:p>
    <w:p w14:paraId="661ABA81" w14:textId="77777777" w:rsidR="00086293" w:rsidRPr="00086293" w:rsidRDefault="00086293" w:rsidP="00086293">
      <w:pPr>
        <w:spacing w:before="100" w:beforeAutospacing="1" w:after="100" w:afterAutospacing="1"/>
        <w:outlineLvl w:val="2"/>
        <w:rPr>
          <w:rFonts w:ascii="Arial" w:eastAsia="Times New Roman" w:hAnsi="Arial" w:cs="Arial"/>
          <w:b/>
          <w:bCs/>
          <w:noProof w:val="0"/>
          <w:sz w:val="27"/>
          <w:szCs w:val="27"/>
          <w:lang w:eastAsia="en-AU" w:bidi="ar-SA"/>
        </w:rPr>
      </w:pPr>
      <w:r w:rsidRPr="00086293">
        <w:rPr>
          <w:rFonts w:ascii="Arial" w:eastAsia="Times New Roman" w:hAnsi="Arial" w:cs="Arial"/>
          <w:b/>
          <w:bCs/>
          <w:noProof w:val="0"/>
          <w:sz w:val="27"/>
          <w:szCs w:val="27"/>
          <w:lang w:eastAsia="en-AU" w:bidi="ar-SA"/>
        </w:rPr>
        <w:t>Key economic indicators (March quarter 2025)</w:t>
      </w:r>
    </w:p>
    <w:p w14:paraId="2A71D888" w14:textId="77777777" w:rsidR="00086293" w:rsidRPr="00086293" w:rsidRDefault="00086293" w:rsidP="00086293">
      <w:pPr>
        <w:numPr>
          <w:ilvl w:val="0"/>
          <w:numId w:val="10"/>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Real GDP growth (q/q):</w:t>
      </w:r>
      <w:r w:rsidRPr="00086293">
        <w:rPr>
          <w:rFonts w:ascii="Arial" w:eastAsia="Times New Roman" w:hAnsi="Arial" w:cs="Arial"/>
          <w:noProof w:val="0"/>
          <w:lang w:eastAsia="en-AU" w:bidi="ar-SA"/>
        </w:rPr>
        <w:t xml:space="preserve"> +0.2%</w:t>
      </w:r>
    </w:p>
    <w:p w14:paraId="6C8CA1EF" w14:textId="77777777" w:rsidR="00086293" w:rsidRPr="00086293" w:rsidRDefault="00086293" w:rsidP="00086293">
      <w:pPr>
        <w:numPr>
          <w:ilvl w:val="0"/>
          <w:numId w:val="10"/>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Real GDP growth (y/y):</w:t>
      </w:r>
      <w:r w:rsidRPr="00086293">
        <w:rPr>
          <w:rFonts w:ascii="Arial" w:eastAsia="Times New Roman" w:hAnsi="Arial" w:cs="Arial"/>
          <w:noProof w:val="0"/>
          <w:lang w:eastAsia="en-AU" w:bidi="ar-SA"/>
        </w:rPr>
        <w:t xml:space="preserve"> +1.3%</w:t>
      </w:r>
    </w:p>
    <w:p w14:paraId="6A2D476E" w14:textId="77777777" w:rsidR="00086293" w:rsidRPr="00086293" w:rsidRDefault="00086293" w:rsidP="00086293">
      <w:pPr>
        <w:numPr>
          <w:ilvl w:val="0"/>
          <w:numId w:val="10"/>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Nominal GDP growth (q/q):</w:t>
      </w:r>
      <w:r w:rsidRPr="00086293">
        <w:rPr>
          <w:rFonts w:ascii="Arial" w:eastAsia="Times New Roman" w:hAnsi="Arial" w:cs="Arial"/>
          <w:noProof w:val="0"/>
          <w:lang w:eastAsia="en-AU" w:bidi="ar-SA"/>
        </w:rPr>
        <w:t xml:space="preserve"> +1.4%</w:t>
      </w:r>
    </w:p>
    <w:p w14:paraId="661A3FAB" w14:textId="77777777" w:rsidR="00086293" w:rsidRPr="00086293" w:rsidRDefault="00086293" w:rsidP="00086293">
      <w:pPr>
        <w:numPr>
          <w:ilvl w:val="0"/>
          <w:numId w:val="10"/>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Terms of trade:</w:t>
      </w:r>
      <w:r w:rsidRPr="00086293">
        <w:rPr>
          <w:rFonts w:ascii="Arial" w:eastAsia="Times New Roman" w:hAnsi="Arial" w:cs="Arial"/>
          <w:noProof w:val="0"/>
          <w:lang w:eastAsia="en-AU" w:bidi="ar-SA"/>
        </w:rPr>
        <w:t xml:space="preserve"> +0.1%</w:t>
      </w:r>
    </w:p>
    <w:p w14:paraId="180974DD" w14:textId="77777777" w:rsidR="00086293" w:rsidRPr="00086293" w:rsidRDefault="00086293" w:rsidP="00086293">
      <w:pPr>
        <w:numPr>
          <w:ilvl w:val="0"/>
          <w:numId w:val="10"/>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Household saving ratio:</w:t>
      </w:r>
      <w:r w:rsidRPr="00086293">
        <w:rPr>
          <w:rFonts w:ascii="Arial" w:eastAsia="Times New Roman" w:hAnsi="Arial" w:cs="Arial"/>
          <w:noProof w:val="0"/>
          <w:lang w:eastAsia="en-AU" w:bidi="ar-SA"/>
        </w:rPr>
        <w:t xml:space="preserve"> 5.2% (up from 3.9%)</w:t>
      </w:r>
    </w:p>
    <w:p w14:paraId="3DD511C9" w14:textId="77777777" w:rsidR="00086293" w:rsidRPr="00086293" w:rsidRDefault="00086293" w:rsidP="00086293">
      <w:pPr>
        <w:numPr>
          <w:ilvl w:val="0"/>
          <w:numId w:val="10"/>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Household consumption:</w:t>
      </w:r>
      <w:r w:rsidRPr="00086293">
        <w:rPr>
          <w:rFonts w:ascii="Arial" w:eastAsia="Times New Roman" w:hAnsi="Arial" w:cs="Arial"/>
          <w:noProof w:val="0"/>
          <w:lang w:eastAsia="en-AU" w:bidi="ar-SA"/>
        </w:rPr>
        <w:t xml:space="preserve"> +0.4%</w:t>
      </w:r>
    </w:p>
    <w:p w14:paraId="32181B25" w14:textId="77777777" w:rsidR="00086293" w:rsidRPr="00086293" w:rsidRDefault="00086293" w:rsidP="00086293">
      <w:pPr>
        <w:numPr>
          <w:ilvl w:val="0"/>
          <w:numId w:val="10"/>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Private investment:</w:t>
      </w:r>
      <w:r w:rsidRPr="00086293">
        <w:rPr>
          <w:rFonts w:ascii="Arial" w:eastAsia="Times New Roman" w:hAnsi="Arial" w:cs="Arial"/>
          <w:noProof w:val="0"/>
          <w:lang w:eastAsia="en-AU" w:bidi="ar-SA"/>
        </w:rPr>
        <w:t xml:space="preserve"> +0.7%</w:t>
      </w:r>
    </w:p>
    <w:p w14:paraId="61D62D16" w14:textId="77777777" w:rsidR="00086293" w:rsidRPr="00086293" w:rsidRDefault="00086293" w:rsidP="00086293">
      <w:pPr>
        <w:numPr>
          <w:ilvl w:val="0"/>
          <w:numId w:val="10"/>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Public investment:</w:t>
      </w:r>
      <w:r w:rsidRPr="00086293">
        <w:rPr>
          <w:rFonts w:ascii="Arial" w:eastAsia="Times New Roman" w:hAnsi="Arial" w:cs="Arial"/>
          <w:noProof w:val="0"/>
          <w:lang w:eastAsia="en-AU" w:bidi="ar-SA"/>
        </w:rPr>
        <w:t xml:space="preserve"> –2.0%</w:t>
      </w:r>
    </w:p>
    <w:p w14:paraId="708C8C3E" w14:textId="77777777" w:rsidR="00086293" w:rsidRPr="00086293" w:rsidRDefault="00086293" w:rsidP="00086293">
      <w:pPr>
        <w:numPr>
          <w:ilvl w:val="0"/>
          <w:numId w:val="10"/>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Exports:</w:t>
      </w:r>
      <w:r w:rsidRPr="00086293">
        <w:rPr>
          <w:rFonts w:ascii="Arial" w:eastAsia="Times New Roman" w:hAnsi="Arial" w:cs="Arial"/>
          <w:noProof w:val="0"/>
          <w:lang w:eastAsia="en-AU" w:bidi="ar-SA"/>
        </w:rPr>
        <w:t xml:space="preserve"> –0.8%</w:t>
      </w:r>
    </w:p>
    <w:p w14:paraId="5AED0BE6" w14:textId="77777777" w:rsidR="00086293" w:rsidRPr="00086293" w:rsidRDefault="00086293" w:rsidP="00086293">
      <w:pPr>
        <w:numPr>
          <w:ilvl w:val="0"/>
          <w:numId w:val="10"/>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Imports:</w:t>
      </w:r>
      <w:r w:rsidRPr="00086293">
        <w:rPr>
          <w:rFonts w:ascii="Arial" w:eastAsia="Times New Roman" w:hAnsi="Arial" w:cs="Arial"/>
          <w:noProof w:val="0"/>
          <w:lang w:eastAsia="en-AU" w:bidi="ar-SA"/>
        </w:rPr>
        <w:t xml:space="preserve"> –0.4%</w:t>
      </w:r>
    </w:p>
    <w:p w14:paraId="52EE6D9D" w14:textId="77777777" w:rsidR="00086293" w:rsidRPr="00086293" w:rsidRDefault="00086293" w:rsidP="00086293">
      <w:pPr>
        <w:numPr>
          <w:ilvl w:val="0"/>
          <w:numId w:val="10"/>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Compensation of employees:</w:t>
      </w:r>
      <w:r w:rsidRPr="00086293">
        <w:rPr>
          <w:rFonts w:ascii="Arial" w:eastAsia="Times New Roman" w:hAnsi="Arial" w:cs="Arial"/>
          <w:noProof w:val="0"/>
          <w:lang w:eastAsia="en-AU" w:bidi="ar-SA"/>
        </w:rPr>
        <w:t xml:space="preserve"> +1.5%</w:t>
      </w:r>
    </w:p>
    <w:p w14:paraId="1FF011EE" w14:textId="77777777" w:rsidR="00086293" w:rsidRPr="00086293" w:rsidRDefault="00086293" w:rsidP="00086293">
      <w:pPr>
        <w:numPr>
          <w:ilvl w:val="0"/>
          <w:numId w:val="10"/>
        </w:numPr>
        <w:spacing w:before="100" w:beforeAutospacing="1" w:after="100" w:afterAutospacing="1"/>
        <w:rPr>
          <w:rFonts w:ascii="Arial" w:eastAsia="Times New Roman" w:hAnsi="Arial" w:cs="Arial"/>
          <w:noProof w:val="0"/>
          <w:lang w:eastAsia="en-AU" w:bidi="ar-SA"/>
        </w:rPr>
      </w:pPr>
      <w:r w:rsidRPr="00086293">
        <w:rPr>
          <w:rFonts w:ascii="Arial" w:eastAsia="Times New Roman" w:hAnsi="Arial" w:cs="Arial"/>
          <w:b/>
          <w:bCs/>
          <w:noProof w:val="0"/>
          <w:lang w:eastAsia="en-AU" w:bidi="ar-SA"/>
        </w:rPr>
        <w:t>Unemployment rate:</w:t>
      </w:r>
      <w:r w:rsidRPr="00086293">
        <w:rPr>
          <w:rFonts w:ascii="Arial" w:eastAsia="Times New Roman" w:hAnsi="Arial" w:cs="Arial"/>
          <w:noProof w:val="0"/>
          <w:lang w:eastAsia="en-AU" w:bidi="ar-SA"/>
        </w:rPr>
        <w:t xml:space="preserve"> ~4.1%</w:t>
      </w:r>
    </w:p>
    <w:p w14:paraId="5463E999" w14:textId="77777777" w:rsidR="00086293" w:rsidRPr="00086293" w:rsidRDefault="00086293" w:rsidP="00D362B3">
      <w:pPr>
        <w:rPr>
          <w:rFonts w:ascii="Arial" w:hAnsi="Arial" w:cs="Arial"/>
        </w:rPr>
      </w:pPr>
    </w:p>
    <w:p w14:paraId="2578E1C0" w14:textId="77777777" w:rsidR="00086293" w:rsidRPr="00086293" w:rsidRDefault="00086293" w:rsidP="00D362B3">
      <w:pPr>
        <w:rPr>
          <w:rFonts w:ascii="Arial" w:hAnsi="Arial" w:cs="Arial"/>
        </w:rPr>
      </w:pPr>
    </w:p>
    <w:p w14:paraId="42D10F52" w14:textId="68D1BB01" w:rsidR="00DD208C" w:rsidRPr="00086293" w:rsidRDefault="00DD208C" w:rsidP="001F6552">
      <w:pPr>
        <w:pStyle w:val="Heading2"/>
        <w:numPr>
          <w:ilvl w:val="0"/>
          <w:numId w:val="4"/>
        </w:numPr>
      </w:pPr>
      <w:r w:rsidRPr="00086293">
        <w:t>Economic factors that can affect growth (x5)</w:t>
      </w:r>
    </w:p>
    <w:p w14:paraId="5231C028" w14:textId="77777777" w:rsidR="00F2744F" w:rsidRPr="00086293" w:rsidRDefault="00F2744F" w:rsidP="00F2744F">
      <w:pPr>
        <w:rPr>
          <w:rFonts w:ascii="Arial" w:hAnsi="Arial" w:cs="Arial"/>
        </w:rPr>
      </w:pPr>
    </w:p>
    <w:p w14:paraId="10BFEB19" w14:textId="1B284864" w:rsidR="00070A1E" w:rsidRPr="00086293" w:rsidRDefault="00070A1E" w:rsidP="00070A1E">
      <w:pPr>
        <w:rPr>
          <w:rFonts w:ascii="Arial" w:hAnsi="Arial" w:cs="Arial"/>
        </w:rPr>
      </w:pPr>
      <w:hyperlink r:id="rId28" w:history="1">
        <w:r w:rsidRPr="00086293">
          <w:rPr>
            <w:rStyle w:val="Hyperlink"/>
            <w:rFonts w:ascii="Arial" w:hAnsi="Arial" w:cs="Arial"/>
          </w:rPr>
          <w:t>https://www.oecd.org/en/publications/oecd-economic-outlook-volume-2025-issue-1_83363382-en/full-report/australia_b563f928.html</w:t>
        </w:r>
      </w:hyperlink>
      <w:r w:rsidRPr="00086293">
        <w:rPr>
          <w:rFonts w:ascii="Arial" w:hAnsi="Arial" w:cs="Arial"/>
        </w:rPr>
        <w:t xml:space="preserve"> </w:t>
      </w:r>
    </w:p>
    <w:p w14:paraId="110D4065" w14:textId="77777777" w:rsidR="00070A1E" w:rsidRPr="00086293" w:rsidRDefault="00070A1E" w:rsidP="00070A1E">
      <w:pPr>
        <w:rPr>
          <w:rFonts w:ascii="Arial" w:hAnsi="Arial" w:cs="Arial"/>
        </w:rPr>
      </w:pPr>
    </w:p>
    <w:p w14:paraId="50C32631" w14:textId="67716882" w:rsidR="00F2744F" w:rsidRPr="00086293" w:rsidRDefault="00070A1E" w:rsidP="00070A1E">
      <w:pPr>
        <w:rPr>
          <w:rFonts w:ascii="Arial" w:hAnsi="Arial" w:cs="Arial"/>
        </w:rPr>
      </w:pPr>
      <w:hyperlink r:id="rId29" w:history="1">
        <w:r w:rsidRPr="00086293">
          <w:rPr>
            <w:rStyle w:val="Hyperlink"/>
            <w:rFonts w:ascii="Arial" w:hAnsi="Arial" w:cs="Arial"/>
          </w:rPr>
          <w:t>https://programsandcourses.anu.edu.au/course/pols2094</w:t>
        </w:r>
      </w:hyperlink>
      <w:r w:rsidRPr="00086293">
        <w:rPr>
          <w:rFonts w:ascii="Arial" w:hAnsi="Arial" w:cs="Arial"/>
        </w:rPr>
        <w:t xml:space="preserve"> </w:t>
      </w:r>
    </w:p>
    <w:p w14:paraId="0539B330" w14:textId="77777777" w:rsidR="00F2744F" w:rsidRPr="00086293" w:rsidRDefault="00F2744F" w:rsidP="00F2744F">
      <w:pPr>
        <w:rPr>
          <w:rFonts w:ascii="Arial" w:hAnsi="Arial" w:cs="Arial"/>
        </w:rPr>
      </w:pPr>
    </w:p>
    <w:p w14:paraId="44A48B20" w14:textId="77777777" w:rsidR="00070A1E" w:rsidRPr="00086293" w:rsidRDefault="00070A1E" w:rsidP="00F2744F">
      <w:pPr>
        <w:rPr>
          <w:rFonts w:ascii="Arial" w:hAnsi="Arial" w:cs="Arial"/>
        </w:rPr>
      </w:pPr>
    </w:p>
    <w:p w14:paraId="21B5181D" w14:textId="68218035" w:rsidR="00CD1C3D" w:rsidRPr="00CD1C3D" w:rsidRDefault="00CD1C3D" w:rsidP="00CD1C3D">
      <w:pPr>
        <w:pStyle w:val="ListParagraph"/>
        <w:numPr>
          <w:ilvl w:val="0"/>
          <w:numId w:val="12"/>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Household consumption</w:t>
      </w:r>
      <w:r>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Essential vs. discretionary spending; electricity and fuel costs significantly influence demand.</w:t>
      </w:r>
    </w:p>
    <w:p w14:paraId="3B6AD8D7" w14:textId="23E78AE8" w:rsidR="00CD1C3D" w:rsidRPr="00CD1C3D" w:rsidRDefault="00CD1C3D" w:rsidP="00CD1C3D">
      <w:pPr>
        <w:pStyle w:val="ListParagraph"/>
        <w:numPr>
          <w:ilvl w:val="0"/>
          <w:numId w:val="12"/>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Private investment</w:t>
      </w:r>
      <w:r>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Housing construction, non-dwelling construction, and machinery/equipment spending drive or restrain growth.</w:t>
      </w:r>
    </w:p>
    <w:p w14:paraId="0D0D94D0" w14:textId="2D8C5E4F" w:rsidR="00CD1C3D" w:rsidRPr="00CD1C3D" w:rsidRDefault="00CD1C3D" w:rsidP="00CD1C3D">
      <w:pPr>
        <w:pStyle w:val="ListParagraph"/>
        <w:numPr>
          <w:ilvl w:val="0"/>
          <w:numId w:val="12"/>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Public sector and investment</w:t>
      </w:r>
      <w:r>
        <w:rPr>
          <w:rFonts w:ascii="Times New Roman" w:eastAsia="Times New Roman" w:hAnsi="Times New Roman" w:cs="Times New Roman"/>
          <w:noProof w:val="0"/>
          <w:lang w:eastAsia="en-AU" w:bidi="ar-SA"/>
        </w:rPr>
        <w:t>:</w:t>
      </w:r>
      <w:r w:rsidRPr="00CD1C3D">
        <w:rPr>
          <w:rFonts w:ascii="Times New Roman" w:eastAsia="Times New Roman" w:hAnsi="Times New Roman" w:cs="Times New Roman"/>
          <w:noProof w:val="0"/>
          <w:lang w:eastAsia="en-AU" w:bidi="ar-SA"/>
        </w:rPr>
        <w:t xml:space="preserve"> Government consumption and infrastructure projects can either support or detract from GDP depending on funding cycles.</w:t>
      </w:r>
    </w:p>
    <w:p w14:paraId="2FBD8007" w14:textId="30DB6D87" w:rsidR="00CD1C3D" w:rsidRPr="00CD1C3D" w:rsidRDefault="00B53257" w:rsidP="00CD1C3D">
      <w:pPr>
        <w:pStyle w:val="ListParagraph"/>
        <w:numPr>
          <w:ilvl w:val="0"/>
          <w:numId w:val="12"/>
        </w:numPr>
        <w:spacing w:before="100" w:beforeAutospacing="1" w:after="100" w:afterAutospacing="1"/>
        <w:rPr>
          <w:rFonts w:ascii="Times New Roman" w:eastAsia="Times New Roman" w:hAnsi="Times New Roman" w:cs="Times New Roman"/>
          <w:noProof w:val="0"/>
          <w:lang w:eastAsia="en-AU" w:bidi="ar-SA"/>
        </w:rPr>
      </w:pPr>
      <w:r>
        <w:rPr>
          <w:rFonts w:ascii="Times New Roman" w:eastAsia="Times New Roman" w:hAnsi="Times New Roman" w:cs="Times New Roman"/>
          <w:b/>
          <w:bCs/>
          <w:noProof w:val="0"/>
          <w:lang w:eastAsia="en-AU" w:bidi="ar-SA"/>
        </w:rPr>
        <w:t>Trade:</w:t>
      </w:r>
      <w:r w:rsidR="00CD1C3D" w:rsidRPr="00CD1C3D">
        <w:rPr>
          <w:rFonts w:ascii="Times New Roman" w:eastAsia="Times New Roman" w:hAnsi="Times New Roman" w:cs="Times New Roman"/>
          <w:noProof w:val="0"/>
          <w:lang w:eastAsia="en-AU" w:bidi="ar-SA"/>
        </w:rPr>
        <w:t xml:space="preserve"> Shifts in export and import prices, influenced by global demand and exchange rate movements.</w:t>
      </w:r>
    </w:p>
    <w:p w14:paraId="13E56ABB" w14:textId="21DB699C" w:rsidR="00CD1C3D" w:rsidRPr="00CD1C3D" w:rsidRDefault="00CD1C3D" w:rsidP="00CD1C3D">
      <w:pPr>
        <w:pStyle w:val="ListParagraph"/>
        <w:numPr>
          <w:ilvl w:val="0"/>
          <w:numId w:val="12"/>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Weather and natural events</w:t>
      </w:r>
      <w:r>
        <w:rPr>
          <w:rFonts w:ascii="Times New Roman" w:eastAsia="Times New Roman" w:hAnsi="Times New Roman" w:cs="Times New Roman"/>
          <w:noProof w:val="0"/>
          <w:lang w:eastAsia="en-AU" w:bidi="ar-SA"/>
        </w:rPr>
        <w:t>:</w:t>
      </w:r>
      <w:r w:rsidRPr="00CD1C3D">
        <w:rPr>
          <w:rFonts w:ascii="Times New Roman" w:eastAsia="Times New Roman" w:hAnsi="Times New Roman" w:cs="Times New Roman"/>
          <w:noProof w:val="0"/>
          <w:lang w:eastAsia="en-AU" w:bidi="ar-SA"/>
        </w:rPr>
        <w:t xml:space="preserve"> Cyclones, floods and other extreme events disrupt mining, agriculture, shipping, and tourism.</w:t>
      </w:r>
    </w:p>
    <w:p w14:paraId="633C47C5" w14:textId="11031FEF" w:rsidR="00CD1C3D" w:rsidRPr="00CD1C3D" w:rsidRDefault="00CD1C3D" w:rsidP="00CD1C3D">
      <w:pPr>
        <w:pStyle w:val="ListParagraph"/>
        <w:numPr>
          <w:ilvl w:val="0"/>
          <w:numId w:val="12"/>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Labour market</w:t>
      </w:r>
      <w:r w:rsidR="00B53257">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Employment levels, wages, and compensation of employees affect disposable income and household spending.</w:t>
      </w:r>
    </w:p>
    <w:p w14:paraId="1A9A477B" w14:textId="2DD25A11" w:rsidR="00CD1C3D" w:rsidRPr="00CD1C3D" w:rsidRDefault="00CD1C3D" w:rsidP="00CD1C3D">
      <w:pPr>
        <w:pStyle w:val="ListParagraph"/>
        <w:numPr>
          <w:ilvl w:val="0"/>
          <w:numId w:val="12"/>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Household savin</w:t>
      </w:r>
      <w:r w:rsidR="00B53257">
        <w:rPr>
          <w:rFonts w:ascii="Times New Roman" w:eastAsia="Times New Roman" w:hAnsi="Times New Roman" w:cs="Times New Roman"/>
          <w:b/>
          <w:bCs/>
          <w:noProof w:val="0"/>
          <w:lang w:eastAsia="en-AU" w:bidi="ar-SA"/>
        </w:rPr>
        <w:t>g:</w:t>
      </w:r>
      <w:r w:rsidRPr="00CD1C3D">
        <w:rPr>
          <w:rFonts w:ascii="Times New Roman" w:eastAsia="Times New Roman" w:hAnsi="Times New Roman" w:cs="Times New Roman"/>
          <w:noProof w:val="0"/>
          <w:lang w:eastAsia="en-AU" w:bidi="ar-SA"/>
        </w:rPr>
        <w:t xml:space="preserve"> Changes in the saving to income ratio influence consumption capacity and financial resilience.</w:t>
      </w:r>
    </w:p>
    <w:p w14:paraId="2BB4F747" w14:textId="3F8F243E" w:rsidR="00CD1C3D" w:rsidRPr="00CD1C3D" w:rsidRDefault="00CD1C3D" w:rsidP="00CD1C3D">
      <w:pPr>
        <w:pStyle w:val="ListParagraph"/>
        <w:numPr>
          <w:ilvl w:val="0"/>
          <w:numId w:val="12"/>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lastRenderedPageBreak/>
        <w:t>Commodity</w:t>
      </w:r>
      <w:r w:rsidR="00B53257">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Particularly Chinese demand for iron ore, and international trends for coal, LNG, and rural products.</w:t>
      </w:r>
    </w:p>
    <w:p w14:paraId="587F1E1B" w14:textId="29C93932" w:rsidR="00CD1C3D" w:rsidRPr="00CD1C3D" w:rsidRDefault="00CD1C3D" w:rsidP="00CD1C3D">
      <w:pPr>
        <w:pStyle w:val="ListParagraph"/>
        <w:numPr>
          <w:ilvl w:val="0"/>
          <w:numId w:val="12"/>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Exchange rate</w:t>
      </w:r>
      <w:r w:rsidR="00B53257">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A weaker Australian dollar raises import prices but can support export competitiveness.</w:t>
      </w:r>
    </w:p>
    <w:p w14:paraId="1FB2DE4F" w14:textId="686EAD28" w:rsidR="00CD1C3D" w:rsidRPr="00CD1C3D" w:rsidRDefault="00CD1C3D" w:rsidP="00CD1C3D">
      <w:pPr>
        <w:pStyle w:val="ListParagraph"/>
        <w:numPr>
          <w:ilvl w:val="0"/>
          <w:numId w:val="12"/>
        </w:numPr>
        <w:spacing w:before="100" w:beforeAutospacing="1" w:after="100" w:afterAutospacing="1"/>
        <w:rPr>
          <w:rFonts w:ascii="Times New Roman" w:eastAsia="Times New Roman" w:hAnsi="Times New Roman" w:cs="Times New Roman"/>
          <w:noProof w:val="0"/>
          <w:lang w:eastAsia="en-AU" w:bidi="ar-SA"/>
        </w:rPr>
      </w:pPr>
      <w:r w:rsidRPr="00CD1C3D">
        <w:rPr>
          <w:rFonts w:ascii="Times New Roman" w:eastAsia="Times New Roman" w:hAnsi="Times New Roman" w:cs="Times New Roman"/>
          <w:b/>
          <w:bCs/>
          <w:noProof w:val="0"/>
          <w:lang w:eastAsia="en-AU" w:bidi="ar-SA"/>
        </w:rPr>
        <w:t>Inflation</w:t>
      </w:r>
      <w:r w:rsidR="00B53257">
        <w:rPr>
          <w:rFonts w:ascii="Times New Roman" w:eastAsia="Times New Roman" w:hAnsi="Times New Roman" w:cs="Times New Roman"/>
          <w:b/>
          <w:bCs/>
          <w:noProof w:val="0"/>
          <w:lang w:eastAsia="en-AU" w:bidi="ar-SA"/>
        </w:rPr>
        <w:t>:</w:t>
      </w:r>
      <w:r w:rsidRPr="00CD1C3D">
        <w:rPr>
          <w:rFonts w:ascii="Times New Roman" w:eastAsia="Times New Roman" w:hAnsi="Times New Roman" w:cs="Times New Roman"/>
          <w:noProof w:val="0"/>
          <w:lang w:eastAsia="en-AU" w:bidi="ar-SA"/>
        </w:rPr>
        <w:t xml:space="preserve"> Rising labour costs, rents, fuel and services prices shape both household budgets and business margins.</w:t>
      </w:r>
    </w:p>
    <w:p w14:paraId="4590C9B2" w14:textId="77777777" w:rsidR="00CD1C3D" w:rsidRPr="00CD1C3D" w:rsidRDefault="00CD1C3D" w:rsidP="00CD1C3D">
      <w:pPr>
        <w:spacing w:before="100" w:beforeAutospacing="1" w:after="100" w:afterAutospacing="1"/>
        <w:rPr>
          <w:rFonts w:ascii="Times New Roman" w:eastAsia="Times New Roman" w:hAnsi="Times New Roman" w:cs="Times New Roman"/>
          <w:noProof w:val="0"/>
          <w:lang w:eastAsia="en-AU" w:bidi="ar-SA"/>
        </w:rPr>
      </w:pPr>
    </w:p>
    <w:p w14:paraId="2A074CAB" w14:textId="5B2103D6" w:rsidR="00DD208C" w:rsidRPr="00086293" w:rsidRDefault="00DD208C" w:rsidP="001F6552">
      <w:pPr>
        <w:pStyle w:val="Heading2"/>
        <w:numPr>
          <w:ilvl w:val="0"/>
          <w:numId w:val="4"/>
        </w:numPr>
      </w:pPr>
      <w:r w:rsidRPr="00086293">
        <w:t>Political influences on public and commercial enterprises that provide services in networking markets. “</w:t>
      </w:r>
      <w:r w:rsidRPr="00086293">
        <w:rPr>
          <w:i/>
          <w:iCs/>
        </w:rPr>
        <w:t>Describe at least one political influence on public and commercial network services.</w:t>
      </w:r>
      <w:r w:rsidRPr="00086293">
        <w:t>”</w:t>
      </w:r>
    </w:p>
    <w:p w14:paraId="0EDC0190" w14:textId="77777777" w:rsidR="00DD208C" w:rsidRPr="00086293" w:rsidRDefault="00DD208C" w:rsidP="00DD208C">
      <w:pPr>
        <w:rPr>
          <w:rFonts w:ascii="Arial" w:hAnsi="Arial" w:cs="Arial"/>
        </w:rPr>
      </w:pPr>
    </w:p>
    <w:p w14:paraId="5D7DF956" w14:textId="5BD105AC" w:rsidR="00DE0686" w:rsidRPr="00086293" w:rsidRDefault="00C92EEB" w:rsidP="00DD208C">
      <w:pPr>
        <w:rPr>
          <w:rFonts w:ascii="Arial" w:hAnsi="Arial" w:cs="Arial"/>
        </w:rPr>
      </w:pPr>
      <w:hyperlink r:id="rId30" w:history="1">
        <w:r w:rsidRPr="00086293">
          <w:rPr>
            <w:rStyle w:val="Hyperlink"/>
            <w:rFonts w:ascii="Arial" w:hAnsi="Arial" w:cs="Arial"/>
          </w:rPr>
          <w:t>https://www.homeaffairs.gov.au/cyber-security-subsite/files/factsheet-ransomware-payment-reporting.pdf</w:t>
        </w:r>
      </w:hyperlink>
      <w:r w:rsidRPr="00086293">
        <w:rPr>
          <w:rFonts w:ascii="Arial" w:hAnsi="Arial" w:cs="Arial"/>
        </w:rPr>
        <w:t xml:space="preserve"> </w:t>
      </w:r>
    </w:p>
    <w:p w14:paraId="58391D1B" w14:textId="22EA6B69" w:rsidR="00C92EEB" w:rsidRPr="00086293" w:rsidRDefault="00C92EEB" w:rsidP="00DD208C">
      <w:pPr>
        <w:rPr>
          <w:rFonts w:ascii="Arial" w:hAnsi="Arial" w:cs="Arial"/>
        </w:rPr>
      </w:pPr>
    </w:p>
    <w:p w14:paraId="58B7E240" w14:textId="77777777" w:rsidR="00DE0686" w:rsidRPr="00086293" w:rsidRDefault="00DE0686" w:rsidP="00DD208C">
      <w:pPr>
        <w:rPr>
          <w:rFonts w:ascii="Arial" w:hAnsi="Arial" w:cs="Arial"/>
        </w:rPr>
      </w:pPr>
    </w:p>
    <w:p w14:paraId="29D7B30A" w14:textId="77777777" w:rsidR="00836127" w:rsidRPr="00086293" w:rsidRDefault="00836127" w:rsidP="00836127">
      <w:pPr>
        <w:rPr>
          <w:rFonts w:ascii="Arial" w:hAnsi="Arial" w:cs="Arial"/>
        </w:rPr>
      </w:pPr>
      <w:r w:rsidRPr="00086293">
        <w:rPr>
          <w:rFonts w:ascii="Arial" w:hAnsi="Arial" w:cs="Arial"/>
        </w:rPr>
        <w:t>The government created the "Cyber ​​Security Act 2024" in response to the lack of a legal framework for cybersecurity.</w:t>
      </w:r>
    </w:p>
    <w:p w14:paraId="52FC4965" w14:textId="77777777" w:rsidR="00836127" w:rsidRPr="00086293" w:rsidRDefault="00836127" w:rsidP="00836127">
      <w:pPr>
        <w:rPr>
          <w:rFonts w:ascii="Arial" w:hAnsi="Arial" w:cs="Arial"/>
        </w:rPr>
      </w:pPr>
    </w:p>
    <w:p w14:paraId="4AE7FE0B" w14:textId="33987B76" w:rsidR="00836127" w:rsidRPr="00086293" w:rsidRDefault="00836127" w:rsidP="00836127">
      <w:pPr>
        <w:rPr>
          <w:rFonts w:ascii="Arial" w:hAnsi="Arial" w:cs="Arial"/>
        </w:rPr>
      </w:pPr>
      <w:r w:rsidRPr="00086293">
        <w:rPr>
          <w:rFonts w:ascii="Arial" w:hAnsi="Arial" w:cs="Arial"/>
        </w:rPr>
        <w:t>Between 2022 and 2023, the data theft scandals that rocked the country highlighted the lack of legal measures to respond to cybercriminals. In 2022, Optus suffered an attack that allowed the personal data of 40% of the population to be published. That same year, Medibank suffered a ransomware attack that compromised the personal data of 9.7 million people, resulting in the data being leaked to the dark web after the ransom was not received. Finally, in 2023, Latitude Financial suffered an attack that exposed the personal data of 14 million people online.</w:t>
      </w:r>
    </w:p>
    <w:p w14:paraId="58642783" w14:textId="77777777" w:rsidR="00836127" w:rsidRPr="00086293" w:rsidRDefault="00836127" w:rsidP="00836127">
      <w:pPr>
        <w:rPr>
          <w:rFonts w:ascii="Arial" w:hAnsi="Arial" w:cs="Arial"/>
        </w:rPr>
      </w:pPr>
    </w:p>
    <w:p w14:paraId="15BFD4E0" w14:textId="77777777" w:rsidR="004D04F7" w:rsidRPr="00086293" w:rsidRDefault="004D04F7" w:rsidP="004D04F7">
      <w:pPr>
        <w:rPr>
          <w:rFonts w:ascii="Arial" w:hAnsi="Arial" w:cs="Arial"/>
        </w:rPr>
      </w:pPr>
      <w:r w:rsidRPr="00086293">
        <w:rPr>
          <w:rFonts w:ascii="Arial" w:hAnsi="Arial" w:cs="Arial"/>
        </w:rPr>
        <w:t>Prior to the Cyber ​​Security Act, the legal framework was provided by the Privacy Act 1988, on the protection of personal data, and the Security of Critical Infrastructure Act 2018, on the protection of critical sectors for the country. Despite the existence of these laws, there were no laws regarding the legal obligations of companies.</w:t>
      </w:r>
    </w:p>
    <w:p w14:paraId="7B5665B2" w14:textId="77777777" w:rsidR="004D04F7" w:rsidRPr="00086293" w:rsidRDefault="004D04F7" w:rsidP="004D04F7">
      <w:pPr>
        <w:rPr>
          <w:rFonts w:ascii="Arial" w:hAnsi="Arial" w:cs="Arial"/>
        </w:rPr>
      </w:pPr>
    </w:p>
    <w:p w14:paraId="3C885314" w14:textId="77777777" w:rsidR="004D04F7" w:rsidRPr="00086293" w:rsidRDefault="004D04F7" w:rsidP="004D04F7">
      <w:pPr>
        <w:rPr>
          <w:rFonts w:ascii="Arial" w:hAnsi="Arial" w:cs="Arial"/>
        </w:rPr>
      </w:pPr>
      <w:r w:rsidRPr="00086293">
        <w:rPr>
          <w:rFonts w:ascii="Arial" w:hAnsi="Arial" w:cs="Arial"/>
        </w:rPr>
        <w:t>The Cyber ​​Security Act requires companies to report serious cybersecurity incidents and report ransom demands starting May 30 of this year. This response to cyber extortion also increased fines for security breaches from 2.2 million to 50 million, or more as determined by law.</w:t>
      </w:r>
    </w:p>
    <w:p w14:paraId="54E7F204" w14:textId="77777777" w:rsidR="004D04F7" w:rsidRPr="00086293" w:rsidRDefault="004D04F7" w:rsidP="004D04F7">
      <w:pPr>
        <w:rPr>
          <w:rFonts w:ascii="Arial" w:hAnsi="Arial" w:cs="Arial"/>
        </w:rPr>
      </w:pPr>
    </w:p>
    <w:p w14:paraId="380FA1D7" w14:textId="613C75CB" w:rsidR="00836127" w:rsidRPr="00086293" w:rsidRDefault="004D04F7" w:rsidP="004D04F7">
      <w:pPr>
        <w:rPr>
          <w:rFonts w:ascii="Arial" w:hAnsi="Arial" w:cs="Arial"/>
        </w:rPr>
      </w:pPr>
      <w:r w:rsidRPr="00086293">
        <w:rPr>
          <w:rFonts w:ascii="Arial" w:hAnsi="Arial" w:cs="Arial"/>
        </w:rPr>
        <w:t>In short, the law was created to protect Australians' data, increase transparency in the face of cyberattack incidents, and strengthen national resilience to cyber threats.</w:t>
      </w:r>
    </w:p>
    <w:p w14:paraId="2D006E02" w14:textId="77777777" w:rsidR="004D04F7" w:rsidRPr="00086293" w:rsidRDefault="004D04F7" w:rsidP="004D04F7">
      <w:pPr>
        <w:rPr>
          <w:rFonts w:ascii="Arial" w:hAnsi="Arial" w:cs="Arial"/>
        </w:rPr>
      </w:pPr>
    </w:p>
    <w:p w14:paraId="43950EE2" w14:textId="5B5F99CF" w:rsidR="00DD208C" w:rsidRPr="00086293" w:rsidRDefault="00DD208C" w:rsidP="001F6552">
      <w:pPr>
        <w:pStyle w:val="Heading2"/>
        <w:numPr>
          <w:ilvl w:val="0"/>
          <w:numId w:val="4"/>
        </w:numPr>
      </w:pPr>
      <w:r w:rsidRPr="00086293">
        <w:t>Accessibility of networking services to individuals and organisations across Australia</w:t>
      </w:r>
    </w:p>
    <w:p w14:paraId="14E936FD" w14:textId="77777777" w:rsidR="007773B1" w:rsidRPr="00086293" w:rsidRDefault="007773B1" w:rsidP="007773B1">
      <w:pPr>
        <w:rPr>
          <w:rFonts w:ascii="Arial" w:hAnsi="Arial" w:cs="Arial"/>
        </w:rPr>
      </w:pPr>
    </w:p>
    <w:p w14:paraId="0DCA4B15" w14:textId="36B0F6BF" w:rsidR="007773B1" w:rsidRPr="00086293" w:rsidRDefault="007773B1" w:rsidP="007773B1">
      <w:pPr>
        <w:pStyle w:val="ListParagraph"/>
        <w:numPr>
          <w:ilvl w:val="0"/>
          <w:numId w:val="5"/>
        </w:numPr>
        <w:rPr>
          <w:rFonts w:ascii="Arial" w:hAnsi="Arial" w:cs="Arial"/>
        </w:rPr>
      </w:pPr>
      <w:r w:rsidRPr="00086293">
        <w:rPr>
          <w:rFonts w:ascii="Arial" w:hAnsi="Arial" w:cs="Arial"/>
        </w:rPr>
        <w:t>Describe the accessibility of Optus</w:t>
      </w:r>
    </w:p>
    <w:p w14:paraId="1CB4994F" w14:textId="3E34EBD6" w:rsidR="00B441DA" w:rsidRPr="00086293" w:rsidRDefault="00B441DA" w:rsidP="00B441DA">
      <w:pPr>
        <w:rPr>
          <w:rFonts w:ascii="Arial" w:hAnsi="Arial" w:cs="Arial"/>
        </w:rPr>
      </w:pPr>
      <w:hyperlink r:id="rId31" w:history="1">
        <w:r w:rsidRPr="00086293">
          <w:rPr>
            <w:rStyle w:val="Hyperlink"/>
            <w:rFonts w:ascii="Arial" w:hAnsi="Arial" w:cs="Arial"/>
          </w:rPr>
          <w:t>https://www.optus.com.au/content/dam/optus/documents/about-us/inclusion-diversity/accessibility/optus-access-and-inclusion-action-plan-2024-2029.pdf</w:t>
        </w:r>
      </w:hyperlink>
    </w:p>
    <w:p w14:paraId="3912622C" w14:textId="77777777" w:rsidR="00B441DA" w:rsidRPr="00086293" w:rsidRDefault="00B441DA" w:rsidP="00B441DA">
      <w:pPr>
        <w:rPr>
          <w:rFonts w:ascii="Arial" w:hAnsi="Arial" w:cs="Arial"/>
        </w:rPr>
      </w:pPr>
    </w:p>
    <w:p w14:paraId="33E0EFCC" w14:textId="77777777" w:rsidR="005A095A" w:rsidRPr="00086293" w:rsidRDefault="005A095A" w:rsidP="005A095A">
      <w:pPr>
        <w:rPr>
          <w:rFonts w:ascii="Arial" w:hAnsi="Arial" w:cs="Arial"/>
        </w:rPr>
      </w:pPr>
      <w:r w:rsidRPr="00086293">
        <w:rPr>
          <w:rFonts w:ascii="Arial" w:hAnsi="Arial" w:cs="Arial"/>
        </w:rPr>
        <w:t>Optus has an accessibility plan called the "Optus Access and Inclusion Action Plan 2024–2029," which describes industry-leading policies and best practices. It consists of:</w:t>
      </w:r>
    </w:p>
    <w:p w14:paraId="08D6B9DC" w14:textId="77777777" w:rsidR="005A095A" w:rsidRPr="00086293" w:rsidRDefault="005A095A" w:rsidP="005A095A">
      <w:pPr>
        <w:rPr>
          <w:rFonts w:ascii="Arial" w:hAnsi="Arial" w:cs="Arial"/>
        </w:rPr>
      </w:pPr>
    </w:p>
    <w:p w14:paraId="575C2C4A" w14:textId="77777777" w:rsidR="005A095A" w:rsidRPr="00086293" w:rsidRDefault="005A095A" w:rsidP="005A095A">
      <w:pPr>
        <w:rPr>
          <w:rFonts w:ascii="Arial" w:hAnsi="Arial" w:cs="Arial"/>
        </w:rPr>
      </w:pPr>
      <w:r w:rsidRPr="00086293">
        <w:rPr>
          <w:rFonts w:ascii="Arial" w:hAnsi="Arial" w:cs="Arial"/>
        </w:rPr>
        <w:t>- Respect and Rights: Optus is free from discrimination and all types of violence.</w:t>
      </w:r>
    </w:p>
    <w:p w14:paraId="061C0228" w14:textId="77777777" w:rsidR="005A095A" w:rsidRPr="00086293" w:rsidRDefault="005A095A" w:rsidP="005A095A">
      <w:pPr>
        <w:rPr>
          <w:rFonts w:ascii="Arial" w:hAnsi="Arial" w:cs="Arial"/>
        </w:rPr>
      </w:pPr>
      <w:r w:rsidRPr="00086293">
        <w:rPr>
          <w:rFonts w:ascii="Arial" w:hAnsi="Arial" w:cs="Arial"/>
        </w:rPr>
        <w:t>- Social Inclusion: Improves understanding of disability.</w:t>
      </w:r>
    </w:p>
    <w:p w14:paraId="7B8B61E3" w14:textId="77777777" w:rsidR="005A095A" w:rsidRPr="00086293" w:rsidRDefault="005A095A" w:rsidP="005A095A">
      <w:pPr>
        <w:rPr>
          <w:rFonts w:ascii="Arial" w:hAnsi="Arial" w:cs="Arial"/>
        </w:rPr>
      </w:pPr>
      <w:r w:rsidRPr="00086293">
        <w:rPr>
          <w:rFonts w:ascii="Arial" w:hAnsi="Arial" w:cs="Arial"/>
        </w:rPr>
        <w:t>- Individualized: Optus understands that people with disabilities experience their environment differently.</w:t>
      </w:r>
    </w:p>
    <w:p w14:paraId="2D374BDC" w14:textId="77777777" w:rsidR="005A095A" w:rsidRPr="00086293" w:rsidRDefault="005A095A" w:rsidP="005A095A">
      <w:pPr>
        <w:rPr>
          <w:rFonts w:ascii="Arial" w:hAnsi="Arial" w:cs="Arial"/>
        </w:rPr>
      </w:pPr>
      <w:r w:rsidRPr="00086293">
        <w:rPr>
          <w:rFonts w:ascii="Arial" w:hAnsi="Arial" w:cs="Arial"/>
        </w:rPr>
        <w:t>- Confidence and Acceptance: Optus encourages building confidence in disability.</w:t>
      </w:r>
    </w:p>
    <w:p w14:paraId="3D65FD48" w14:textId="77777777" w:rsidR="005A095A" w:rsidRPr="00086293" w:rsidRDefault="005A095A" w:rsidP="005A095A">
      <w:pPr>
        <w:rPr>
          <w:rFonts w:ascii="Arial" w:hAnsi="Arial" w:cs="Arial"/>
        </w:rPr>
      </w:pPr>
      <w:r w:rsidRPr="00086293">
        <w:rPr>
          <w:rFonts w:ascii="Arial" w:hAnsi="Arial" w:cs="Arial"/>
        </w:rPr>
        <w:t>- Diversity as a Strength: Optus celebrates the strength of people with disabilities.</w:t>
      </w:r>
    </w:p>
    <w:p w14:paraId="0CB27C24" w14:textId="77777777" w:rsidR="005A095A" w:rsidRPr="00086293" w:rsidRDefault="005A095A" w:rsidP="005A095A">
      <w:pPr>
        <w:rPr>
          <w:rFonts w:ascii="Arial" w:hAnsi="Arial" w:cs="Arial"/>
        </w:rPr>
      </w:pPr>
      <w:r w:rsidRPr="00086293">
        <w:rPr>
          <w:rFonts w:ascii="Arial" w:hAnsi="Arial" w:cs="Arial"/>
        </w:rPr>
        <w:lastRenderedPageBreak/>
        <w:t>- Independence: Optus celebrates the freedom of choice.</w:t>
      </w:r>
    </w:p>
    <w:p w14:paraId="36512168" w14:textId="77777777" w:rsidR="005A095A" w:rsidRPr="00086293" w:rsidRDefault="005A095A" w:rsidP="005A095A">
      <w:pPr>
        <w:rPr>
          <w:rFonts w:ascii="Arial" w:hAnsi="Arial" w:cs="Arial"/>
        </w:rPr>
      </w:pPr>
      <w:r w:rsidRPr="00086293">
        <w:rPr>
          <w:rFonts w:ascii="Arial" w:hAnsi="Arial" w:cs="Arial"/>
        </w:rPr>
        <w:t>- Accessible: Optus seeks to remove all barriers.</w:t>
      </w:r>
    </w:p>
    <w:p w14:paraId="48769861" w14:textId="617B72B0" w:rsidR="005A095A" w:rsidRPr="00086293" w:rsidRDefault="005A095A" w:rsidP="005A095A">
      <w:pPr>
        <w:rPr>
          <w:rFonts w:ascii="Arial" w:hAnsi="Arial" w:cs="Arial"/>
        </w:rPr>
      </w:pPr>
      <w:r w:rsidRPr="00086293">
        <w:rPr>
          <w:rFonts w:ascii="Arial" w:hAnsi="Arial" w:cs="Arial"/>
        </w:rPr>
        <w:t>- In Partnership: At Optus, everyone makes decisions together.</w:t>
      </w:r>
    </w:p>
    <w:p w14:paraId="58C4241E" w14:textId="77777777" w:rsidR="007773B1" w:rsidRPr="00086293" w:rsidRDefault="007773B1" w:rsidP="007773B1">
      <w:pPr>
        <w:rPr>
          <w:rFonts w:ascii="Arial" w:hAnsi="Arial" w:cs="Arial"/>
        </w:rPr>
      </w:pPr>
    </w:p>
    <w:p w14:paraId="61C336C4" w14:textId="28A99BCA" w:rsidR="007773B1" w:rsidRPr="00086293" w:rsidRDefault="007773B1" w:rsidP="007773B1">
      <w:pPr>
        <w:pStyle w:val="ListParagraph"/>
        <w:numPr>
          <w:ilvl w:val="0"/>
          <w:numId w:val="5"/>
        </w:numPr>
        <w:rPr>
          <w:rFonts w:ascii="Arial" w:hAnsi="Arial" w:cs="Arial"/>
        </w:rPr>
      </w:pPr>
      <w:r w:rsidRPr="00086293">
        <w:rPr>
          <w:rFonts w:ascii="Arial" w:hAnsi="Arial" w:cs="Arial"/>
        </w:rPr>
        <w:t>Describe the accessibility of Lebara mobile</w:t>
      </w:r>
    </w:p>
    <w:p w14:paraId="4DD07387" w14:textId="4AA0E263" w:rsidR="00B441DA" w:rsidRPr="00086293" w:rsidRDefault="00B441DA" w:rsidP="00B441DA">
      <w:pPr>
        <w:rPr>
          <w:rFonts w:ascii="Arial" w:hAnsi="Arial" w:cs="Arial"/>
        </w:rPr>
      </w:pPr>
      <w:hyperlink r:id="rId32" w:history="1">
        <w:r w:rsidRPr="00086293">
          <w:rPr>
            <w:rStyle w:val="Hyperlink"/>
            <w:rFonts w:ascii="Arial" w:hAnsi="Arial" w:cs="Arial"/>
          </w:rPr>
          <w:t>https://www.lebara.com.au/support/accessibility/</w:t>
        </w:r>
      </w:hyperlink>
      <w:r w:rsidRPr="00086293">
        <w:rPr>
          <w:rFonts w:ascii="Arial" w:hAnsi="Arial" w:cs="Arial"/>
        </w:rPr>
        <w:t xml:space="preserve"> </w:t>
      </w:r>
    </w:p>
    <w:p w14:paraId="2F70E527" w14:textId="77777777" w:rsidR="007773B1" w:rsidRPr="00086293" w:rsidRDefault="007773B1" w:rsidP="007773B1">
      <w:pPr>
        <w:rPr>
          <w:rFonts w:ascii="Arial" w:hAnsi="Arial" w:cs="Arial"/>
        </w:rPr>
      </w:pPr>
    </w:p>
    <w:p w14:paraId="1D745261" w14:textId="77777777" w:rsidR="008072AA" w:rsidRPr="00086293" w:rsidRDefault="008072AA" w:rsidP="008072AA">
      <w:pPr>
        <w:rPr>
          <w:rFonts w:ascii="Arial" w:hAnsi="Arial" w:cs="Arial"/>
        </w:rPr>
      </w:pPr>
      <w:r w:rsidRPr="00086293">
        <w:rPr>
          <w:rFonts w:ascii="Arial" w:hAnsi="Arial" w:cs="Arial"/>
        </w:rPr>
        <w:t>Lebara follows the best practices described in the "AMTA Mobile Phone Industry Good Practice Guide: Accessibility for People with Disabilities."</w:t>
      </w:r>
    </w:p>
    <w:p w14:paraId="128917F3" w14:textId="77777777" w:rsidR="008072AA" w:rsidRPr="00086293" w:rsidRDefault="008072AA" w:rsidP="008072AA">
      <w:pPr>
        <w:rPr>
          <w:rFonts w:ascii="Arial" w:hAnsi="Arial" w:cs="Arial"/>
        </w:rPr>
      </w:pPr>
    </w:p>
    <w:p w14:paraId="30688E69" w14:textId="77777777" w:rsidR="008072AA" w:rsidRPr="00086293" w:rsidRDefault="008072AA" w:rsidP="008072AA">
      <w:pPr>
        <w:rPr>
          <w:rFonts w:ascii="Arial" w:hAnsi="Arial" w:cs="Arial"/>
        </w:rPr>
      </w:pPr>
      <w:r w:rsidRPr="00086293">
        <w:rPr>
          <w:rFonts w:ascii="Arial" w:hAnsi="Arial" w:cs="Arial"/>
        </w:rPr>
        <w:t>The services Lebara offers primarily focus on communication. Lebara provides a direct number to access the National Relay Service (NSR) for assistance to people with disabilities.</w:t>
      </w:r>
    </w:p>
    <w:p w14:paraId="5B3E5F56" w14:textId="2F582F3E" w:rsidR="005660F8" w:rsidRPr="00086293" w:rsidRDefault="008072AA" w:rsidP="008072AA">
      <w:pPr>
        <w:rPr>
          <w:rFonts w:ascii="Arial" w:hAnsi="Arial" w:cs="Arial"/>
        </w:rPr>
      </w:pPr>
      <w:r w:rsidRPr="00086293">
        <w:rPr>
          <w:rFonts w:ascii="Arial" w:hAnsi="Arial" w:cs="Arial"/>
        </w:rPr>
        <w:t>They also offer the option of requesting an interpreter for those seeking assistance in a language other than English.</w:t>
      </w:r>
    </w:p>
    <w:p w14:paraId="0F126EA4" w14:textId="77777777" w:rsidR="005660F8" w:rsidRPr="00086293" w:rsidRDefault="005660F8" w:rsidP="008072AA">
      <w:pPr>
        <w:rPr>
          <w:rFonts w:ascii="Arial" w:hAnsi="Arial" w:cs="Arial"/>
        </w:rPr>
      </w:pPr>
    </w:p>
    <w:p w14:paraId="26966297" w14:textId="15441D36" w:rsidR="005660F8" w:rsidRPr="00086293" w:rsidRDefault="005660F8" w:rsidP="008072AA">
      <w:pPr>
        <w:rPr>
          <w:rFonts w:ascii="Arial" w:hAnsi="Arial" w:cs="Arial"/>
        </w:rPr>
      </w:pPr>
      <w:r w:rsidRPr="00086293">
        <w:rPr>
          <w:rFonts w:ascii="Arial" w:hAnsi="Arial" w:cs="Arial"/>
        </w:rPr>
        <w:lastRenderedPageBreak/>
        <w:drawing>
          <wp:inline distT="0" distB="0" distL="0" distR="0" wp14:anchorId="27E4ECC2" wp14:editId="7AEA5863">
            <wp:extent cx="8553450" cy="5122939"/>
            <wp:effectExtent l="0" t="0" r="0" b="0"/>
            <wp:docPr id="155317447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74476" name="Picture 1" descr="A diagram of a diagram&#10;&#10;AI-generated content may be incorrect."/>
                    <pic:cNvPicPr/>
                  </pic:nvPicPr>
                  <pic:blipFill>
                    <a:blip r:embed="rId33"/>
                    <a:stretch>
                      <a:fillRect/>
                    </a:stretch>
                  </pic:blipFill>
                  <pic:spPr>
                    <a:xfrm>
                      <a:off x="0" y="0"/>
                      <a:ext cx="8560827" cy="5127357"/>
                    </a:xfrm>
                    <a:prstGeom prst="rect">
                      <a:avLst/>
                    </a:prstGeom>
                  </pic:spPr>
                </pic:pic>
              </a:graphicData>
            </a:graphic>
          </wp:inline>
        </w:drawing>
      </w:r>
      <w:r w:rsidRPr="00086293">
        <w:rPr>
          <w:rFonts w:ascii="Arial" w:hAnsi="Arial" w:cs="Arial"/>
        </w:rPr>
        <w:t xml:space="preserve"> </w:t>
      </w:r>
    </w:p>
    <w:p w14:paraId="7121585C" w14:textId="77777777" w:rsidR="005660F8" w:rsidRPr="00086293" w:rsidRDefault="005660F8">
      <w:pPr>
        <w:suppressAutoHyphens/>
        <w:rPr>
          <w:rFonts w:ascii="Arial" w:hAnsi="Arial" w:cs="Arial"/>
        </w:rPr>
      </w:pPr>
      <w:r w:rsidRPr="00086293">
        <w:rPr>
          <w:rFonts w:ascii="Arial" w:hAnsi="Arial" w:cs="Arial"/>
        </w:rPr>
        <w:br w:type="page"/>
      </w:r>
    </w:p>
    <w:p w14:paraId="28DBD9ED" w14:textId="77777777" w:rsidR="005660F8" w:rsidRPr="00086293" w:rsidRDefault="005660F8" w:rsidP="008072AA">
      <w:pPr>
        <w:rPr>
          <w:rFonts w:ascii="Arial" w:hAnsi="Arial" w:cs="Arial"/>
        </w:rPr>
      </w:pPr>
    </w:p>
    <w:p w14:paraId="3E42E169" w14:textId="1EA9A05B" w:rsidR="00DD208C" w:rsidRPr="00086293" w:rsidRDefault="00DD208C" w:rsidP="001F6552">
      <w:pPr>
        <w:pStyle w:val="Heading2"/>
        <w:numPr>
          <w:ilvl w:val="0"/>
          <w:numId w:val="4"/>
        </w:numPr>
      </w:pPr>
      <w:r w:rsidRPr="00086293">
        <w:t>Issues that contravene relevant policies, procedures, and legal requirements “Identify issues associated with Optus/</w:t>
      </w:r>
      <w:r w:rsidR="007D3EEE" w:rsidRPr="00086293">
        <w:t>Lebara</w:t>
      </w:r>
      <w:r w:rsidRPr="00086293">
        <w:t xml:space="preserve"> that contravenes relevant policies, procedures, and legal requirements (at least one).”</w:t>
      </w:r>
    </w:p>
    <w:p w14:paraId="47C4B4E6" w14:textId="41B9CD8A" w:rsidR="00915BC1" w:rsidRPr="00086293" w:rsidRDefault="00915BC1" w:rsidP="00915BC1">
      <w:pPr>
        <w:rPr>
          <w:rFonts w:ascii="Arial" w:hAnsi="Arial" w:cs="Arial"/>
        </w:rPr>
      </w:pPr>
      <w:hyperlink r:id="rId34" w:history="1">
        <w:r w:rsidRPr="00086293">
          <w:rPr>
            <w:rStyle w:val="Hyperlink"/>
            <w:rFonts w:ascii="Arial" w:hAnsi="Arial" w:cs="Arial"/>
          </w:rPr>
          <w:t>https://www.acma.gov.au/sites/default/files/2024-11/Investigation%20report%20-%20Optus%20outage%201Nov23%20%28redacted%29.pdf</w:t>
        </w:r>
      </w:hyperlink>
      <w:r w:rsidRPr="00086293">
        <w:rPr>
          <w:rFonts w:ascii="Arial" w:hAnsi="Arial" w:cs="Arial"/>
        </w:rPr>
        <w:t xml:space="preserve"> </w:t>
      </w:r>
    </w:p>
    <w:p w14:paraId="5FAEF4A3" w14:textId="77777777" w:rsidR="00465598" w:rsidRPr="00086293" w:rsidRDefault="00465598" w:rsidP="00915BC1">
      <w:pPr>
        <w:rPr>
          <w:rFonts w:ascii="Arial" w:hAnsi="Arial" w:cs="Arial"/>
        </w:rPr>
      </w:pPr>
    </w:p>
    <w:p w14:paraId="798B3CBA" w14:textId="40F0A299" w:rsidR="00465598" w:rsidRPr="00086293" w:rsidRDefault="00465598" w:rsidP="00915BC1">
      <w:pPr>
        <w:rPr>
          <w:rFonts w:ascii="Arial" w:hAnsi="Arial" w:cs="Arial"/>
        </w:rPr>
      </w:pPr>
      <w:hyperlink r:id="rId35" w:history="1">
        <w:r w:rsidRPr="00086293">
          <w:rPr>
            <w:rStyle w:val="Hyperlink"/>
            <w:rFonts w:ascii="Arial" w:hAnsi="Arial" w:cs="Arial"/>
          </w:rPr>
          <w:t>https://en.wikipedia.org/wiki/2022_Optus_data_breach</w:t>
        </w:r>
      </w:hyperlink>
      <w:r w:rsidRPr="00086293">
        <w:rPr>
          <w:rFonts w:ascii="Arial" w:hAnsi="Arial" w:cs="Arial"/>
        </w:rPr>
        <w:t xml:space="preserve"> </w:t>
      </w:r>
    </w:p>
    <w:p w14:paraId="78E18C04" w14:textId="77777777" w:rsidR="00915BC1" w:rsidRPr="00086293" w:rsidRDefault="00915BC1" w:rsidP="00915BC1">
      <w:pPr>
        <w:rPr>
          <w:rFonts w:ascii="Arial" w:hAnsi="Arial" w:cs="Arial"/>
        </w:rPr>
      </w:pPr>
    </w:p>
    <w:p w14:paraId="3758FAA4" w14:textId="77777777" w:rsidR="00DD61D0" w:rsidRPr="00086293" w:rsidRDefault="00DD61D0" w:rsidP="00DD61D0">
      <w:pPr>
        <w:rPr>
          <w:rFonts w:ascii="Arial" w:hAnsi="Arial" w:cs="Arial"/>
        </w:rPr>
      </w:pPr>
      <w:r w:rsidRPr="00086293">
        <w:rPr>
          <w:rFonts w:ascii="Arial" w:hAnsi="Arial" w:cs="Arial"/>
        </w:rPr>
        <w:t>In September 2022, Optus suffered a cyberattack where the personal data of around 10 million people was leaked on the dark web and offered for $400,000. This led to the OAIC (the Office of the Australian Information Commissioner) and ACMA (the Australian Communications and Media Authority) initiating an investigation into possible violations of the data privacy act. The AFP (the Australian Federal Police) is also investigating the data theft.</w:t>
      </w:r>
    </w:p>
    <w:p w14:paraId="6B943B4C" w14:textId="77777777" w:rsidR="00DD61D0" w:rsidRPr="00086293" w:rsidRDefault="00DD61D0" w:rsidP="00DD61D0">
      <w:pPr>
        <w:rPr>
          <w:rFonts w:ascii="Arial" w:hAnsi="Arial" w:cs="Arial"/>
        </w:rPr>
      </w:pPr>
    </w:p>
    <w:p w14:paraId="30B3BBA9" w14:textId="77777777" w:rsidR="00DD61D0" w:rsidRPr="00086293" w:rsidRDefault="00DD61D0" w:rsidP="00DD61D0">
      <w:pPr>
        <w:rPr>
          <w:rFonts w:ascii="Arial" w:hAnsi="Arial" w:cs="Arial"/>
        </w:rPr>
      </w:pPr>
      <w:r w:rsidRPr="00086293">
        <w:rPr>
          <w:rFonts w:ascii="Arial" w:hAnsi="Arial" w:cs="Arial"/>
        </w:rPr>
        <w:t>Class-action lawsuits were also filed against Optus seeking compensation for the damages incurred and to compensate customers for lost time and distress.</w:t>
      </w:r>
    </w:p>
    <w:p w14:paraId="7A330F58" w14:textId="77777777" w:rsidR="00DD61D0" w:rsidRPr="00086293" w:rsidRDefault="00DD61D0" w:rsidP="00DD61D0">
      <w:pPr>
        <w:rPr>
          <w:rFonts w:ascii="Arial" w:hAnsi="Arial" w:cs="Arial"/>
        </w:rPr>
      </w:pPr>
    </w:p>
    <w:p w14:paraId="13E091B7" w14:textId="77777777" w:rsidR="00DD61D0" w:rsidRPr="00086293" w:rsidRDefault="00DD61D0" w:rsidP="00DD61D0">
      <w:pPr>
        <w:rPr>
          <w:rFonts w:ascii="Arial" w:hAnsi="Arial" w:cs="Arial"/>
        </w:rPr>
      </w:pPr>
      <w:r w:rsidRPr="00086293">
        <w:rPr>
          <w:rFonts w:ascii="Arial" w:hAnsi="Arial" w:cs="Arial"/>
        </w:rPr>
        <w:t>Optus had to cover $140 million in costs to replace documents, such as passports and licenses, whose data was leaked.</w:t>
      </w:r>
    </w:p>
    <w:p w14:paraId="2942DEF1" w14:textId="77777777" w:rsidR="00DD61D0" w:rsidRPr="00086293" w:rsidRDefault="00DD61D0" w:rsidP="00DD61D0">
      <w:pPr>
        <w:rPr>
          <w:rFonts w:ascii="Arial" w:hAnsi="Arial" w:cs="Arial"/>
        </w:rPr>
      </w:pPr>
    </w:p>
    <w:p w14:paraId="5ABB831F" w14:textId="056F85A4" w:rsidR="00DD208C" w:rsidRPr="00086293" w:rsidRDefault="00DD61D0" w:rsidP="00DD61D0">
      <w:pPr>
        <w:rPr>
          <w:rFonts w:ascii="Arial" w:hAnsi="Arial" w:cs="Arial"/>
        </w:rPr>
      </w:pPr>
      <w:r w:rsidRPr="00086293">
        <w:rPr>
          <w:rFonts w:ascii="Arial" w:hAnsi="Arial" w:cs="Arial"/>
        </w:rPr>
        <w:t>No fines have yet been imposed against Optus in this case. Due to this and other related cases, the government created the Cyber ​​Security Act in 2024.</w:t>
      </w:r>
    </w:p>
    <w:p w14:paraId="0DAB5E29" w14:textId="77777777" w:rsidR="00346A83" w:rsidRPr="00086293" w:rsidRDefault="00346A83" w:rsidP="00DD61D0">
      <w:pPr>
        <w:rPr>
          <w:rFonts w:ascii="Arial" w:hAnsi="Arial" w:cs="Arial"/>
        </w:rPr>
      </w:pPr>
    </w:p>
    <w:p w14:paraId="6476E732" w14:textId="77777777" w:rsidR="00346A83" w:rsidRPr="00086293" w:rsidRDefault="00346A83" w:rsidP="00346A83">
      <w:pPr>
        <w:rPr>
          <w:rFonts w:ascii="Arial" w:hAnsi="Arial" w:cs="Arial"/>
        </w:rPr>
      </w:pPr>
      <w:r w:rsidRPr="00086293">
        <w:rPr>
          <w:rFonts w:ascii="Arial" w:hAnsi="Arial" w:cs="Arial"/>
        </w:rPr>
        <w:t>-----------------------------------------------------------------------------------</w:t>
      </w:r>
    </w:p>
    <w:p w14:paraId="40904793" w14:textId="77777777" w:rsidR="00346A83" w:rsidRPr="00086293" w:rsidRDefault="00346A83" w:rsidP="00346A83">
      <w:pPr>
        <w:rPr>
          <w:rFonts w:ascii="Arial" w:hAnsi="Arial" w:cs="Arial"/>
        </w:rPr>
      </w:pPr>
    </w:p>
    <w:p w14:paraId="1F5AEFA9" w14:textId="7A16A725" w:rsidR="00346A83" w:rsidRPr="00086293" w:rsidRDefault="00346A83" w:rsidP="00346A83">
      <w:pPr>
        <w:rPr>
          <w:rFonts w:ascii="Arial" w:hAnsi="Arial" w:cs="Arial"/>
        </w:rPr>
      </w:pPr>
      <w:r w:rsidRPr="00086293">
        <w:rPr>
          <w:rFonts w:ascii="Arial" w:hAnsi="Arial" w:cs="Arial"/>
        </w:rPr>
        <w:t>Lebara</w:t>
      </w:r>
    </w:p>
    <w:p w14:paraId="5C596F23" w14:textId="77777777" w:rsidR="00346A83" w:rsidRPr="00086293" w:rsidRDefault="00346A83" w:rsidP="00346A83">
      <w:pPr>
        <w:rPr>
          <w:rFonts w:ascii="Arial" w:hAnsi="Arial" w:cs="Arial"/>
        </w:rPr>
      </w:pPr>
    </w:p>
    <w:p w14:paraId="7CB77E00" w14:textId="651B07F7" w:rsidR="00346A83" w:rsidRPr="00086293" w:rsidRDefault="00346A83" w:rsidP="00346A83">
      <w:pPr>
        <w:rPr>
          <w:rFonts w:ascii="Arial" w:hAnsi="Arial" w:cs="Arial"/>
        </w:rPr>
      </w:pPr>
      <w:hyperlink r:id="rId36" w:history="1">
        <w:r w:rsidRPr="00086293">
          <w:rPr>
            <w:rStyle w:val="Hyperlink"/>
            <w:rFonts w:ascii="Arial" w:hAnsi="Arial" w:cs="Arial"/>
          </w:rPr>
          <w:t>https://www.aph.gov.au/Parliamentary_Business/Bills_Legislation/Bills_Search_Results/Result?bId=r7317</w:t>
        </w:r>
      </w:hyperlink>
      <w:r w:rsidRPr="00086293">
        <w:rPr>
          <w:rFonts w:ascii="Arial" w:hAnsi="Arial" w:cs="Arial"/>
        </w:rPr>
        <w:t xml:space="preserve"> </w:t>
      </w:r>
    </w:p>
    <w:p w14:paraId="7C653696" w14:textId="77777777" w:rsidR="00346A83" w:rsidRPr="00086293" w:rsidRDefault="00346A83" w:rsidP="00346A83">
      <w:pPr>
        <w:rPr>
          <w:rFonts w:ascii="Arial" w:hAnsi="Arial" w:cs="Arial"/>
        </w:rPr>
      </w:pPr>
    </w:p>
    <w:p w14:paraId="7BA02A5E" w14:textId="77777777" w:rsidR="00614652" w:rsidRPr="00086293" w:rsidRDefault="00614652" w:rsidP="00614652">
      <w:pPr>
        <w:rPr>
          <w:rFonts w:ascii="Arial" w:hAnsi="Arial" w:cs="Arial"/>
        </w:rPr>
      </w:pPr>
      <w:r w:rsidRPr="00086293">
        <w:rPr>
          <w:rFonts w:ascii="Arial" w:hAnsi="Arial" w:cs="Arial"/>
        </w:rPr>
        <w:t>Lebara doesn't have any issues. So I'm going to talk about what will likely happen in the future, generally, for all carriers and service providers.</w:t>
      </w:r>
    </w:p>
    <w:p w14:paraId="4A8655CE" w14:textId="77777777" w:rsidR="00614652" w:rsidRPr="00086293" w:rsidRDefault="00614652" w:rsidP="00614652">
      <w:pPr>
        <w:rPr>
          <w:rFonts w:ascii="Arial" w:hAnsi="Arial" w:cs="Arial"/>
        </w:rPr>
      </w:pPr>
    </w:p>
    <w:p w14:paraId="1E968AD7" w14:textId="77777777" w:rsidR="00614652" w:rsidRPr="00086293" w:rsidRDefault="00614652" w:rsidP="00614652">
      <w:pPr>
        <w:rPr>
          <w:rFonts w:ascii="Arial" w:hAnsi="Arial" w:cs="Arial"/>
        </w:rPr>
      </w:pPr>
      <w:r w:rsidRPr="00086293">
        <w:rPr>
          <w:rFonts w:ascii="Arial" w:hAnsi="Arial" w:cs="Arial"/>
        </w:rPr>
        <w:t>The new reform called the "Telecommunications Amendment (Enhancing Consumer Safeguards)" is underway. In short, if the reform is approved, three major changes are expected.</w:t>
      </w:r>
    </w:p>
    <w:p w14:paraId="10592D21" w14:textId="77777777" w:rsidR="00614652" w:rsidRPr="00086293" w:rsidRDefault="00614652" w:rsidP="00614652">
      <w:pPr>
        <w:rPr>
          <w:rFonts w:ascii="Arial" w:hAnsi="Arial" w:cs="Arial"/>
        </w:rPr>
      </w:pPr>
    </w:p>
    <w:p w14:paraId="4825085B" w14:textId="77777777" w:rsidR="00614652" w:rsidRPr="00086293" w:rsidRDefault="00614652" w:rsidP="00614652">
      <w:pPr>
        <w:rPr>
          <w:rFonts w:ascii="Arial" w:hAnsi="Arial" w:cs="Arial"/>
        </w:rPr>
      </w:pPr>
      <w:r w:rsidRPr="00086293">
        <w:rPr>
          <w:rFonts w:ascii="Arial" w:hAnsi="Arial" w:cs="Arial"/>
        </w:rPr>
        <w:t>First, service providers would be required to register with the so-called "Carriage Service Provider Register," managed by ACMA. ACMA will now have the power to take action more quickly and impose much higher fines, increasing from $250,000 to $10 million.</w:t>
      </w:r>
    </w:p>
    <w:p w14:paraId="4FBE5BD5" w14:textId="77777777" w:rsidR="00614652" w:rsidRPr="00086293" w:rsidRDefault="00614652" w:rsidP="00614652">
      <w:pPr>
        <w:rPr>
          <w:rFonts w:ascii="Arial" w:hAnsi="Arial" w:cs="Arial"/>
        </w:rPr>
      </w:pPr>
    </w:p>
    <w:p w14:paraId="54D5CCE0" w14:textId="77777777" w:rsidR="00614652" w:rsidRPr="00086293" w:rsidRDefault="00614652" w:rsidP="00614652">
      <w:pPr>
        <w:rPr>
          <w:rFonts w:ascii="Arial" w:hAnsi="Arial" w:cs="Arial"/>
        </w:rPr>
      </w:pPr>
      <w:r w:rsidRPr="00086293">
        <w:rPr>
          <w:rFonts w:ascii="Arial" w:hAnsi="Arial" w:cs="Arial"/>
        </w:rPr>
        <w:t>Second, the creation of the Universal Outdoor Mobile Obligation (UOMO), which is the equivalent of USO but focused on mobile coverage. It is expected to guarantee mobile coverage throughout Australia using low-Earth orbit (LEO) satellites.</w:t>
      </w:r>
    </w:p>
    <w:p w14:paraId="292186B1" w14:textId="77777777" w:rsidR="00614652" w:rsidRPr="00086293" w:rsidRDefault="00614652" w:rsidP="00614652">
      <w:pPr>
        <w:rPr>
          <w:rFonts w:ascii="Arial" w:hAnsi="Arial" w:cs="Arial"/>
        </w:rPr>
      </w:pPr>
    </w:p>
    <w:p w14:paraId="6B875EDF" w14:textId="0638FB90" w:rsidR="00346A83" w:rsidRPr="00086293" w:rsidRDefault="00614652" w:rsidP="00614652">
      <w:pPr>
        <w:rPr>
          <w:rFonts w:ascii="Arial" w:hAnsi="Arial" w:cs="Arial"/>
        </w:rPr>
      </w:pPr>
      <w:r w:rsidRPr="00086293">
        <w:rPr>
          <w:rFonts w:ascii="Arial" w:hAnsi="Arial" w:cs="Arial"/>
        </w:rPr>
        <w:t>Finally, telecommunications providers will be required to implement a mandatory Telecommunications Security and Risk Management Program (TSRMP). Currently, some asset registrations were optional, so the new reform requires the registration of all critical assets and the reporting of all cyber incidents.</w:t>
      </w:r>
    </w:p>
    <w:p w14:paraId="44B6A641" w14:textId="77777777" w:rsidR="00614652" w:rsidRPr="00086293" w:rsidRDefault="00614652" w:rsidP="00614652">
      <w:pPr>
        <w:rPr>
          <w:rFonts w:ascii="Arial" w:hAnsi="Arial" w:cs="Arial"/>
        </w:rPr>
      </w:pPr>
    </w:p>
    <w:p w14:paraId="77D9DFB4" w14:textId="316790DD" w:rsidR="00DD208C" w:rsidRPr="00086293" w:rsidRDefault="00DD208C" w:rsidP="001F6552">
      <w:pPr>
        <w:pStyle w:val="Heading2"/>
        <w:numPr>
          <w:ilvl w:val="0"/>
          <w:numId w:val="4"/>
        </w:numPr>
      </w:pPr>
      <w:r w:rsidRPr="00086293">
        <w:t>Other research “If you require any further research, summarise it here.”</w:t>
      </w:r>
    </w:p>
    <w:p w14:paraId="7CF3CDDD" w14:textId="77777777" w:rsidR="00DD208C" w:rsidRPr="00086293" w:rsidRDefault="00DD208C" w:rsidP="00DD208C">
      <w:pPr>
        <w:rPr>
          <w:rFonts w:ascii="Arial" w:hAnsi="Arial" w:cs="Arial"/>
        </w:rPr>
      </w:pPr>
    </w:p>
    <w:p w14:paraId="6FB5C218" w14:textId="5E90B817" w:rsidR="00614652" w:rsidRPr="00086293" w:rsidRDefault="00B35E46" w:rsidP="00614652">
      <w:pPr>
        <w:rPr>
          <w:rFonts w:ascii="Arial" w:hAnsi="Arial" w:cs="Arial"/>
        </w:rPr>
      </w:pPr>
      <w:r w:rsidRPr="00086293">
        <w:rPr>
          <w:rFonts w:ascii="Arial" w:hAnsi="Arial" w:cs="Arial"/>
        </w:rPr>
        <w:lastRenderedPageBreak/>
        <w:t>USO financing</w:t>
      </w:r>
    </w:p>
    <w:p w14:paraId="3E9D3759" w14:textId="77777777" w:rsidR="00B35E46" w:rsidRPr="00086293" w:rsidRDefault="00B35E46" w:rsidP="00614652">
      <w:pPr>
        <w:rPr>
          <w:rFonts w:ascii="Arial" w:hAnsi="Arial" w:cs="Arial"/>
        </w:rPr>
      </w:pPr>
    </w:p>
    <w:tbl>
      <w:tblPr>
        <w:tblW w:w="0" w:type="dxa"/>
        <w:tblCellMar>
          <w:left w:w="0" w:type="dxa"/>
          <w:right w:w="0" w:type="dxa"/>
        </w:tblCellMar>
        <w:tblLook w:val="04A0" w:firstRow="1" w:lastRow="0" w:firstColumn="1" w:lastColumn="0" w:noHBand="0" w:noVBand="1"/>
      </w:tblPr>
      <w:tblGrid>
        <w:gridCol w:w="2095"/>
        <w:gridCol w:w="25211"/>
      </w:tblGrid>
      <w:tr w:rsidR="00B35E46" w:rsidRPr="00086293" w14:paraId="2A23D97C" w14:textId="77777777">
        <w:trPr>
          <w:trHeight w:val="300"/>
        </w:trPr>
        <w:tc>
          <w:tcPr>
            <w:tcW w:w="0" w:type="auto"/>
            <w:gridSpan w:val="2"/>
            <w:tcBorders>
              <w:top w:val="single" w:sz="6" w:space="0" w:color="CCCCCC"/>
              <w:left w:val="single" w:sz="6" w:space="0" w:color="CCCCCC"/>
              <w:bottom w:val="single" w:sz="6" w:space="0" w:color="000000"/>
              <w:right w:val="single" w:sz="6" w:space="0" w:color="CCCCCC"/>
            </w:tcBorders>
            <w:shd w:val="clear" w:color="auto" w:fill="FF9900"/>
            <w:tcMar>
              <w:top w:w="0" w:type="dxa"/>
              <w:left w:w="45" w:type="dxa"/>
              <w:bottom w:w="0" w:type="dxa"/>
              <w:right w:w="45" w:type="dxa"/>
            </w:tcMar>
            <w:hideMark/>
          </w:tcPr>
          <w:p w14:paraId="5662DF78" w14:textId="77777777" w:rsidR="00B35E46" w:rsidRPr="00086293" w:rsidRDefault="00B35E46" w:rsidP="00B35E46">
            <w:pPr>
              <w:rPr>
                <w:rFonts w:ascii="Arial" w:hAnsi="Arial" w:cs="Arial"/>
                <w:b/>
                <w:bCs/>
              </w:rPr>
            </w:pPr>
            <w:r w:rsidRPr="00086293">
              <w:rPr>
                <w:rFonts w:ascii="Arial" w:hAnsi="Arial" w:cs="Arial"/>
                <w:b/>
                <w:bCs/>
              </w:rPr>
              <w:t>Telstra | USO FINANCING</w:t>
            </w:r>
          </w:p>
        </w:tc>
      </w:tr>
      <w:tr w:rsidR="00B35E46" w:rsidRPr="00086293" w14:paraId="6FA0909B"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vAlign w:val="bottom"/>
            <w:hideMark/>
          </w:tcPr>
          <w:p w14:paraId="3C5B2A30" w14:textId="77777777" w:rsidR="00B35E46" w:rsidRPr="00086293" w:rsidRDefault="00B35E46" w:rsidP="00B35E46">
            <w:pPr>
              <w:rPr>
                <w:rFonts w:ascii="Arial" w:hAnsi="Arial" w:cs="Arial"/>
                <w:b/>
                <w:bCs/>
              </w:rPr>
            </w:pPr>
            <w:r w:rsidRPr="00086293">
              <w:rPr>
                <w:rFonts w:ascii="Arial" w:hAnsi="Arial" w:cs="Arial"/>
                <w:b/>
                <w:bCs/>
              </w:rPr>
              <w:t>Budget</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0" w:type="dxa"/>
              <w:left w:w="45" w:type="dxa"/>
              <w:bottom w:w="0" w:type="dxa"/>
              <w:right w:w="45" w:type="dxa"/>
            </w:tcMar>
            <w:vAlign w:val="bottom"/>
            <w:hideMark/>
          </w:tcPr>
          <w:p w14:paraId="106E3980" w14:textId="77777777" w:rsidR="00B35E46" w:rsidRPr="00086293" w:rsidRDefault="00B35E46" w:rsidP="00B35E46">
            <w:pPr>
              <w:rPr>
                <w:rFonts w:ascii="Arial" w:hAnsi="Arial" w:cs="Arial"/>
                <w:b/>
                <w:bCs/>
              </w:rPr>
            </w:pPr>
            <w:r w:rsidRPr="00086293">
              <w:rPr>
                <w:rFonts w:ascii="Arial" w:hAnsi="Arial" w:cs="Arial"/>
                <w:b/>
                <w:bCs/>
              </w:rPr>
              <w:t>Summary</w:t>
            </w:r>
          </w:p>
        </w:tc>
      </w:tr>
      <w:tr w:rsidR="00B35E46" w:rsidRPr="00086293" w14:paraId="09FDBD32"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vAlign w:val="bottom"/>
            <w:hideMark/>
          </w:tcPr>
          <w:p w14:paraId="7DD8717B" w14:textId="77777777" w:rsidR="00B35E46" w:rsidRPr="00086293" w:rsidRDefault="00B35E46" w:rsidP="00B35E46">
            <w:pPr>
              <w:rPr>
                <w:rFonts w:ascii="Arial" w:hAnsi="Arial" w:cs="Arial"/>
                <w:b/>
                <w:bCs/>
              </w:rPr>
            </w:pPr>
            <w:r w:rsidRPr="00086293">
              <w:rPr>
                <w:rFonts w:ascii="Arial" w:hAnsi="Arial" w:cs="Arial"/>
                <w:b/>
                <w:bCs/>
              </w:rPr>
              <w:t>Main Mechanism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868087" w14:textId="77777777" w:rsidR="00B35E46" w:rsidRPr="00086293" w:rsidRDefault="00B35E46" w:rsidP="00B35E46">
            <w:pPr>
              <w:rPr>
                <w:rFonts w:ascii="Arial" w:hAnsi="Arial" w:cs="Arial"/>
              </w:rPr>
            </w:pPr>
            <w:r w:rsidRPr="00086293">
              <w:rPr>
                <w:rFonts w:ascii="Arial" w:hAnsi="Arial" w:cs="Arial"/>
              </w:rPr>
              <w:t>The Government enters into contracts with Telstra (currently the Telstra Universal Service Obligation Performance Agreement – TUSOPA). This contract ensures the provision of fixed-line voice services and public payphones nationwide.</w:t>
            </w:r>
          </w:p>
        </w:tc>
      </w:tr>
      <w:tr w:rsidR="00B35E46" w:rsidRPr="00086293" w14:paraId="4F5EAAFE"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vAlign w:val="bottom"/>
            <w:hideMark/>
          </w:tcPr>
          <w:p w14:paraId="664FEE45" w14:textId="77777777" w:rsidR="00B35E46" w:rsidRPr="00086293" w:rsidRDefault="00B35E46" w:rsidP="00B35E46">
            <w:pPr>
              <w:rPr>
                <w:rFonts w:ascii="Arial" w:hAnsi="Arial" w:cs="Arial"/>
                <w:b/>
                <w:bCs/>
              </w:rPr>
            </w:pPr>
            <w:r w:rsidRPr="00086293">
              <w:rPr>
                <w:rFonts w:ascii="Arial" w:hAnsi="Arial" w:cs="Arial"/>
                <w:b/>
                <w:bCs/>
              </w:rPr>
              <w:t>Funding Amount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74B55E" w14:textId="77777777" w:rsidR="00B35E46" w:rsidRPr="00086293" w:rsidRDefault="00B35E46" w:rsidP="00B35E46">
            <w:pPr>
              <w:rPr>
                <w:rFonts w:ascii="Arial" w:hAnsi="Arial" w:cs="Arial"/>
              </w:rPr>
            </w:pPr>
            <w:r w:rsidRPr="00086293">
              <w:rPr>
                <w:rFonts w:ascii="Arial" w:hAnsi="Arial" w:cs="Arial"/>
              </w:rPr>
              <w:t>Telstra receives approxily AUD 270 million per year to fulfil the USO.</w:t>
            </w:r>
          </w:p>
        </w:tc>
      </w:tr>
      <w:tr w:rsidR="00B35E46" w:rsidRPr="00086293" w14:paraId="11FA4866"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vAlign w:val="bottom"/>
            <w:hideMark/>
          </w:tcPr>
          <w:p w14:paraId="7DD2B5ED" w14:textId="77777777" w:rsidR="00B35E46" w:rsidRPr="00086293" w:rsidRDefault="00B35E46" w:rsidP="00B35E46">
            <w:pPr>
              <w:rPr>
                <w:rFonts w:ascii="Arial" w:hAnsi="Arial" w:cs="Arial"/>
                <w:b/>
                <w:bCs/>
              </w:rPr>
            </w:pPr>
            <w:r w:rsidRPr="00086293">
              <w:rPr>
                <w:rFonts w:ascii="Arial" w:hAnsi="Arial" w:cs="Arial"/>
                <w:b/>
                <w:bCs/>
              </w:rPr>
              <w:t>Source of Funds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9A3545" w14:textId="77777777" w:rsidR="00B35E46" w:rsidRPr="00086293" w:rsidRDefault="00B35E46" w:rsidP="00B35E46">
            <w:pPr>
              <w:rPr>
                <w:rFonts w:ascii="Arial" w:hAnsi="Arial" w:cs="Arial"/>
              </w:rPr>
            </w:pPr>
            <w:r w:rsidRPr="00086293">
              <w:rPr>
                <w:rFonts w:ascii="Arial" w:hAnsi="Arial" w:cs="Arial"/>
              </w:rPr>
              <w:t>- Part comes directly from the Federal Budget.- Another part is raised via the Telecommunications Industry Levy (TIL), which requires major telecom operators (e.g., Optus, TPG, Vodafone) to contribute, as they also benefit from the national market.</w:t>
            </w:r>
          </w:p>
        </w:tc>
      </w:tr>
      <w:tr w:rsidR="00B35E46" w:rsidRPr="00086293" w14:paraId="782124CC"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vAlign w:val="bottom"/>
            <w:hideMark/>
          </w:tcPr>
          <w:p w14:paraId="49B82A99" w14:textId="77777777" w:rsidR="00B35E46" w:rsidRPr="00086293" w:rsidRDefault="00B35E46" w:rsidP="00B35E46">
            <w:pPr>
              <w:rPr>
                <w:rFonts w:ascii="Arial" w:hAnsi="Arial" w:cs="Arial"/>
                <w:b/>
                <w:bCs/>
              </w:rPr>
            </w:pPr>
            <w:r w:rsidRPr="00086293">
              <w:rPr>
                <w:rFonts w:ascii="Arial" w:hAnsi="Arial" w:cs="Arial"/>
                <w:b/>
                <w:bCs/>
              </w:rPr>
              <w:t>Use of Funding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471C9A" w14:textId="77777777" w:rsidR="00B35E46" w:rsidRPr="00086293" w:rsidRDefault="00B35E46" w:rsidP="00B35E46">
            <w:pPr>
              <w:rPr>
                <w:rFonts w:ascii="Arial" w:hAnsi="Arial" w:cs="Arial"/>
              </w:rPr>
            </w:pPr>
            <w:r w:rsidRPr="00086293">
              <w:rPr>
                <w:rFonts w:ascii="Arial" w:hAnsi="Arial" w:cs="Arial"/>
              </w:rPr>
              <w:t>- Maintain the copper and satellite networks used for the Standard Telephone Service (STS).- Operation and maintenance of payphones.- Serve customers in rural and remote areas, where service is not commercially viable.</w:t>
            </w:r>
          </w:p>
        </w:tc>
      </w:tr>
      <w:tr w:rsidR="00B35E46" w:rsidRPr="00086293" w14:paraId="1C77B235"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vAlign w:val="bottom"/>
            <w:hideMark/>
          </w:tcPr>
          <w:p w14:paraId="2A8D92AF" w14:textId="77777777" w:rsidR="00B35E46" w:rsidRPr="00086293" w:rsidRDefault="00B35E46" w:rsidP="00B35E46">
            <w:pPr>
              <w:rPr>
                <w:rFonts w:ascii="Arial" w:hAnsi="Arial" w:cs="Arial"/>
                <w:b/>
                <w:bCs/>
              </w:rPr>
            </w:pPr>
            <w:r w:rsidRPr="00086293">
              <w:rPr>
                <w:rFonts w:ascii="Arial" w:hAnsi="Arial" w:cs="Arial"/>
                <w:b/>
                <w:bCs/>
              </w:rPr>
              <w:t>Oversight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40FEB2" w14:textId="77777777" w:rsidR="00B35E46" w:rsidRPr="00086293" w:rsidRDefault="00B35E46" w:rsidP="00B35E46">
            <w:pPr>
              <w:rPr>
                <w:rFonts w:ascii="Arial" w:hAnsi="Arial" w:cs="Arial"/>
              </w:rPr>
            </w:pPr>
            <w:r w:rsidRPr="00086293">
              <w:rPr>
                <w:rFonts w:ascii="Arial" w:hAnsi="Arial" w:cs="Arial"/>
              </w:rPr>
              <w:t>Funding and Telstra’s performance is monitored by the Department of Infrastructure, Transport, Regional Development, Communications and the Arts. Telstra must provide annual compliance and expenditure reports.</w:t>
            </w:r>
          </w:p>
        </w:tc>
      </w:tr>
      <w:tr w:rsidR="00B35E46" w:rsidRPr="00086293" w14:paraId="10FA0AF4"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vAlign w:val="bottom"/>
            <w:hideMark/>
          </w:tcPr>
          <w:p w14:paraId="36FC4FEE" w14:textId="77777777" w:rsidR="00B35E46" w:rsidRPr="00086293" w:rsidRDefault="00B35E46" w:rsidP="00B35E46">
            <w:pPr>
              <w:rPr>
                <w:rFonts w:ascii="Arial" w:hAnsi="Arial" w:cs="Arial"/>
                <w:b/>
                <w:bCs/>
              </w:rPr>
            </w:pPr>
            <w:r w:rsidRPr="00086293">
              <w:rPr>
                <w:rFonts w:ascii="Arial" w:hAnsi="Arial" w:cs="Arial"/>
                <w:b/>
                <w:bCs/>
              </w:rPr>
              <w:t>Contract Duration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932B8A" w14:textId="77777777" w:rsidR="00B35E46" w:rsidRPr="00086293" w:rsidRDefault="00B35E46" w:rsidP="00B35E46">
            <w:pPr>
              <w:rPr>
                <w:rFonts w:ascii="Arial" w:hAnsi="Arial" w:cs="Arial"/>
              </w:rPr>
            </w:pPr>
            <w:r w:rsidRPr="00086293">
              <w:rPr>
                <w:rFonts w:ascii="Arial" w:hAnsi="Arial" w:cs="Arial"/>
              </w:rPr>
              <w:t>The most recent agreement was established in 2012 and runs for 20 years (until 2032), subject to periodic reviews.</w:t>
            </w:r>
          </w:p>
        </w:tc>
      </w:tr>
      <w:tr w:rsidR="00B35E46" w:rsidRPr="00086293" w14:paraId="13405AA2"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vAlign w:val="bottom"/>
            <w:hideMark/>
          </w:tcPr>
          <w:p w14:paraId="6382E07F" w14:textId="77777777" w:rsidR="00B35E46" w:rsidRPr="00086293" w:rsidRDefault="00B35E46" w:rsidP="00B35E46">
            <w:pPr>
              <w:rPr>
                <w:rFonts w:ascii="Arial" w:hAnsi="Arial" w:cs="Arial"/>
                <w:b/>
                <w:bCs/>
              </w:rPr>
            </w:pPr>
            <w:r w:rsidRPr="00086293">
              <w:rPr>
                <w:rFonts w:ascii="Arial" w:hAnsi="Arial" w:cs="Arial"/>
                <w:b/>
                <w:bCs/>
              </w:rPr>
              <w:t>Criticisms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EEB4845" w14:textId="77777777" w:rsidR="00B35E46" w:rsidRPr="00086293" w:rsidRDefault="00B35E46" w:rsidP="00B35E46">
            <w:pPr>
              <w:rPr>
                <w:rFonts w:ascii="Arial" w:hAnsi="Arial" w:cs="Arial"/>
              </w:rPr>
            </w:pPr>
            <w:r w:rsidRPr="00086293">
              <w:rPr>
                <w:rFonts w:ascii="Arial" w:hAnsi="Arial" w:cs="Arial"/>
              </w:rPr>
              <w:t>- Primarily funds fixed-line voice services, which many Australians no longer use as their main service.- There is pressure to reform the scheme and redirect funding towards broadband and mobile services.</w:t>
            </w:r>
          </w:p>
        </w:tc>
      </w:tr>
    </w:tbl>
    <w:p w14:paraId="1AFB8613" w14:textId="77777777" w:rsidR="00B35E46" w:rsidRPr="00086293" w:rsidRDefault="00B35E46" w:rsidP="00614652">
      <w:pPr>
        <w:rPr>
          <w:rFonts w:ascii="Arial" w:hAnsi="Arial" w:cs="Arial"/>
        </w:rPr>
      </w:pPr>
    </w:p>
    <w:p w14:paraId="4C7B7E7F" w14:textId="2AE3FB3F" w:rsidR="00614652" w:rsidRPr="00086293" w:rsidRDefault="00614652" w:rsidP="00614652">
      <w:pPr>
        <w:rPr>
          <w:rFonts w:ascii="Arial" w:hAnsi="Arial" w:cs="Arial"/>
          <w:b/>
          <w:bCs/>
        </w:rPr>
      </w:pPr>
    </w:p>
    <w:p w14:paraId="7627E072" w14:textId="38B0BC95" w:rsidR="00614652" w:rsidRPr="00086293" w:rsidRDefault="00614652" w:rsidP="00614652">
      <w:pPr>
        <w:rPr>
          <w:rFonts w:ascii="Arial" w:hAnsi="Arial" w:cs="Arial"/>
        </w:rPr>
      </w:pPr>
    </w:p>
    <w:p w14:paraId="60A361F3" w14:textId="1FDE9E38" w:rsidR="00DD208C" w:rsidRPr="00086293" w:rsidRDefault="00B35E46" w:rsidP="00DD208C">
      <w:pPr>
        <w:rPr>
          <w:rFonts w:ascii="Arial" w:hAnsi="Arial" w:cs="Arial"/>
        </w:rPr>
      </w:pPr>
      <w:r w:rsidRPr="00086293">
        <w:rPr>
          <w:rFonts w:ascii="Arial" w:hAnsi="Arial" w:cs="Arial"/>
        </w:rPr>
        <w:t>Telstra and USO implementation</w:t>
      </w:r>
    </w:p>
    <w:p w14:paraId="2D80041B" w14:textId="77777777" w:rsidR="00B35E46" w:rsidRPr="00086293" w:rsidRDefault="00B35E46" w:rsidP="00DD208C">
      <w:pPr>
        <w:rPr>
          <w:rFonts w:ascii="Arial" w:hAnsi="Arial" w:cs="Arial"/>
        </w:rPr>
      </w:pPr>
    </w:p>
    <w:tbl>
      <w:tblPr>
        <w:tblW w:w="0" w:type="dxa"/>
        <w:tblCellMar>
          <w:left w:w="0" w:type="dxa"/>
          <w:right w:w="0" w:type="dxa"/>
        </w:tblCellMar>
        <w:tblLook w:val="04A0" w:firstRow="1" w:lastRow="0" w:firstColumn="1" w:lastColumn="0" w:noHBand="0" w:noVBand="1"/>
      </w:tblPr>
      <w:tblGrid>
        <w:gridCol w:w="2917"/>
        <w:gridCol w:w="21782"/>
      </w:tblGrid>
      <w:tr w:rsidR="00B35E46" w:rsidRPr="00086293" w14:paraId="515D0C32" w14:textId="77777777">
        <w:trPr>
          <w:trHeight w:val="300"/>
        </w:trPr>
        <w:tc>
          <w:tcPr>
            <w:tcW w:w="0" w:type="auto"/>
            <w:gridSpan w:val="2"/>
            <w:tcBorders>
              <w:top w:val="single" w:sz="6" w:space="0" w:color="CCCCCC"/>
              <w:left w:val="single" w:sz="6" w:space="0" w:color="CCCCCC"/>
              <w:bottom w:val="single" w:sz="6" w:space="0" w:color="000000"/>
              <w:right w:val="single" w:sz="6" w:space="0" w:color="CCCCCC"/>
            </w:tcBorders>
            <w:shd w:val="clear" w:color="auto" w:fill="FF9900"/>
            <w:tcMar>
              <w:top w:w="0" w:type="dxa"/>
              <w:left w:w="45" w:type="dxa"/>
              <w:bottom w:w="0" w:type="dxa"/>
              <w:right w:w="45" w:type="dxa"/>
            </w:tcMar>
            <w:hideMark/>
          </w:tcPr>
          <w:p w14:paraId="7CFEADC3" w14:textId="77777777" w:rsidR="00B35E46" w:rsidRPr="00086293" w:rsidRDefault="00B35E46" w:rsidP="00B35E46">
            <w:pPr>
              <w:rPr>
                <w:rFonts w:ascii="Arial" w:hAnsi="Arial" w:cs="Arial"/>
                <w:b/>
                <w:bCs/>
              </w:rPr>
            </w:pPr>
            <w:r w:rsidRPr="00086293">
              <w:rPr>
                <w:rFonts w:ascii="Arial" w:hAnsi="Arial" w:cs="Arial"/>
                <w:b/>
                <w:bCs/>
              </w:rPr>
              <w:t>USO and Telstra</w:t>
            </w:r>
          </w:p>
        </w:tc>
      </w:tr>
      <w:tr w:rsidR="00B35E46" w:rsidRPr="00086293" w14:paraId="732E27E3"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79A9CBD4" w14:textId="77777777" w:rsidR="00B35E46" w:rsidRPr="00086293" w:rsidRDefault="00B35E46" w:rsidP="00B35E46">
            <w:pPr>
              <w:rPr>
                <w:rFonts w:ascii="Arial" w:hAnsi="Arial" w:cs="Arial"/>
                <w:b/>
                <w:bCs/>
              </w:rPr>
            </w:pPr>
            <w:r w:rsidRPr="00086293">
              <w:rPr>
                <w:rFonts w:ascii="Arial" w:hAnsi="Arial" w:cs="Arial"/>
                <w:b/>
                <w:bCs/>
              </w:rPr>
              <w:t xml:space="preserve">Telstra comply with </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01FD72EA" w14:textId="77777777" w:rsidR="00B35E46" w:rsidRPr="00086293" w:rsidRDefault="00B35E46" w:rsidP="00B35E46">
            <w:pPr>
              <w:rPr>
                <w:rFonts w:ascii="Arial" w:hAnsi="Arial" w:cs="Arial"/>
                <w:b/>
                <w:bCs/>
              </w:rPr>
            </w:pPr>
            <w:r w:rsidRPr="00086293">
              <w:rPr>
                <w:rFonts w:ascii="Arial" w:hAnsi="Arial" w:cs="Arial"/>
                <w:b/>
                <w:bCs/>
              </w:rPr>
              <w:t>How do it?</w:t>
            </w:r>
          </w:p>
        </w:tc>
      </w:tr>
      <w:tr w:rsidR="00B35E46" w:rsidRPr="00086293" w14:paraId="2BD2CA59"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4CBD281A" w14:textId="77777777" w:rsidR="00B35E46" w:rsidRPr="00086293" w:rsidRDefault="00B35E46" w:rsidP="00B35E46">
            <w:pPr>
              <w:rPr>
                <w:rFonts w:ascii="Arial" w:hAnsi="Arial" w:cs="Arial"/>
                <w:b/>
                <w:bCs/>
              </w:rPr>
            </w:pPr>
            <w:r w:rsidRPr="00086293">
              <w:rPr>
                <w:rFonts w:ascii="Arial" w:hAnsi="Arial" w:cs="Arial"/>
                <w:b/>
                <w:bCs/>
              </w:rPr>
              <w:t>Service Provision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FB848F0" w14:textId="77777777" w:rsidR="00B35E46" w:rsidRPr="00086293" w:rsidRDefault="00B35E46" w:rsidP="00B35E46">
            <w:pPr>
              <w:rPr>
                <w:rFonts w:ascii="Arial" w:hAnsi="Arial" w:cs="Arial"/>
              </w:rPr>
            </w:pPr>
            <w:r w:rsidRPr="00086293">
              <w:rPr>
                <w:rFonts w:ascii="Arial" w:hAnsi="Arial" w:cs="Arial"/>
              </w:rPr>
              <w:t>Provides the Standard Telephone Service (STS) to all Australians, including remote and rural areas, upon request — even where it’s not commercially viable.</w:t>
            </w:r>
          </w:p>
        </w:tc>
      </w:tr>
      <w:tr w:rsidR="00B35E46" w:rsidRPr="00086293" w14:paraId="11E7626B"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50A983C9" w14:textId="77777777" w:rsidR="00B35E46" w:rsidRPr="00086293" w:rsidRDefault="00B35E46" w:rsidP="00B35E46">
            <w:pPr>
              <w:rPr>
                <w:rFonts w:ascii="Arial" w:hAnsi="Arial" w:cs="Arial"/>
                <w:b/>
                <w:bCs/>
              </w:rPr>
            </w:pPr>
            <w:r w:rsidRPr="00086293">
              <w:rPr>
                <w:rFonts w:ascii="Arial" w:hAnsi="Arial" w:cs="Arial"/>
                <w:b/>
                <w:bCs/>
              </w:rPr>
              <w:t>Payphone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2318C7D" w14:textId="77777777" w:rsidR="00B35E46" w:rsidRPr="00086293" w:rsidRDefault="00B35E46" w:rsidP="00B35E46">
            <w:pPr>
              <w:rPr>
                <w:rFonts w:ascii="Arial" w:hAnsi="Arial" w:cs="Arial"/>
              </w:rPr>
            </w:pPr>
            <w:r w:rsidRPr="00086293">
              <w:rPr>
                <w:rFonts w:ascii="Arial" w:hAnsi="Arial" w:cs="Arial"/>
              </w:rPr>
              <w:t>Installs, operates, and maintains public payphones in locations where communities need them. Consults with communities before removing payphones.</w:t>
            </w:r>
          </w:p>
        </w:tc>
      </w:tr>
      <w:tr w:rsidR="00B35E46" w:rsidRPr="00086293" w14:paraId="4AE669C7"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74B74F87" w14:textId="77777777" w:rsidR="00B35E46" w:rsidRPr="00086293" w:rsidRDefault="00B35E46" w:rsidP="00B35E46">
            <w:pPr>
              <w:rPr>
                <w:rFonts w:ascii="Arial" w:hAnsi="Arial" w:cs="Arial"/>
                <w:b/>
                <w:bCs/>
              </w:rPr>
            </w:pPr>
            <w:r w:rsidRPr="00086293">
              <w:rPr>
                <w:rFonts w:ascii="Arial" w:hAnsi="Arial" w:cs="Arial"/>
                <w:b/>
                <w:bCs/>
              </w:rPr>
              <w:t>Connection Timeframes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772D1C6" w14:textId="77777777" w:rsidR="00B35E46" w:rsidRPr="00086293" w:rsidRDefault="00B35E46" w:rsidP="00B35E46">
            <w:pPr>
              <w:rPr>
                <w:rFonts w:ascii="Arial" w:hAnsi="Arial" w:cs="Arial"/>
              </w:rPr>
            </w:pPr>
            <w:r w:rsidRPr="00086293">
              <w:rPr>
                <w:rFonts w:ascii="Arial" w:hAnsi="Arial" w:cs="Arial"/>
              </w:rPr>
              <w:t>Meets contractual timeframes for connecting new voice services. Urban customers get faster connection commitments; rural and remote areas have longer but defined maximum timeframes.</w:t>
            </w:r>
          </w:p>
        </w:tc>
      </w:tr>
      <w:tr w:rsidR="00B35E46" w:rsidRPr="00086293" w14:paraId="1EF0C91E"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474D0C3" w14:textId="77777777" w:rsidR="00B35E46" w:rsidRPr="00086293" w:rsidRDefault="00B35E46" w:rsidP="00B35E46">
            <w:pPr>
              <w:rPr>
                <w:rFonts w:ascii="Arial" w:hAnsi="Arial" w:cs="Arial"/>
                <w:b/>
                <w:bCs/>
              </w:rPr>
            </w:pPr>
            <w:r w:rsidRPr="00086293">
              <w:rPr>
                <w:rFonts w:ascii="Arial" w:hAnsi="Arial" w:cs="Arial"/>
                <w:b/>
                <w:bCs/>
              </w:rPr>
              <w:t>Fault Repair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07977AC" w14:textId="77777777" w:rsidR="00B35E46" w:rsidRPr="00086293" w:rsidRDefault="00B35E46" w:rsidP="00B35E46">
            <w:pPr>
              <w:rPr>
                <w:rFonts w:ascii="Arial" w:hAnsi="Arial" w:cs="Arial"/>
              </w:rPr>
            </w:pPr>
            <w:r w:rsidRPr="00086293">
              <w:rPr>
                <w:rFonts w:ascii="Arial" w:hAnsi="Arial" w:cs="Arial"/>
              </w:rPr>
              <w:t>Complies with set deadlines to repair faults, which vary depending on geography (e.g., 1–2 business days in urban areas, longer in remote). Reports performance against these benchmarks to government.</w:t>
            </w:r>
          </w:p>
        </w:tc>
      </w:tr>
      <w:tr w:rsidR="00B35E46" w:rsidRPr="00086293" w14:paraId="24333AF3"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16605041" w14:textId="77777777" w:rsidR="00B35E46" w:rsidRPr="00086293" w:rsidRDefault="00B35E46" w:rsidP="00B35E46">
            <w:pPr>
              <w:rPr>
                <w:rFonts w:ascii="Arial" w:hAnsi="Arial" w:cs="Arial"/>
                <w:b/>
                <w:bCs/>
              </w:rPr>
            </w:pPr>
            <w:r w:rsidRPr="00086293">
              <w:rPr>
                <w:rFonts w:ascii="Arial" w:hAnsi="Arial" w:cs="Arial"/>
                <w:b/>
                <w:bCs/>
              </w:rPr>
              <w:t>Accessibility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7F3849D" w14:textId="77777777" w:rsidR="00B35E46" w:rsidRPr="00086293" w:rsidRDefault="00B35E46" w:rsidP="00B35E46">
            <w:pPr>
              <w:rPr>
                <w:rFonts w:ascii="Arial" w:hAnsi="Arial" w:cs="Arial"/>
              </w:rPr>
            </w:pPr>
            <w:r w:rsidRPr="00086293">
              <w:rPr>
                <w:rFonts w:ascii="Arial" w:hAnsi="Arial" w:cs="Arial"/>
              </w:rPr>
              <w:t>Provides alternative services for people with disabilities, such as TTY (teletypewriter), captioned telephony, and other assistive communication technologies.</w:t>
            </w:r>
          </w:p>
        </w:tc>
      </w:tr>
      <w:tr w:rsidR="00B35E46" w:rsidRPr="00086293" w14:paraId="24F87DD2"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5C6953CB" w14:textId="77777777" w:rsidR="00B35E46" w:rsidRPr="00086293" w:rsidRDefault="00B35E46" w:rsidP="00B35E46">
            <w:pPr>
              <w:rPr>
                <w:rFonts w:ascii="Arial" w:hAnsi="Arial" w:cs="Arial"/>
                <w:b/>
                <w:bCs/>
              </w:rPr>
            </w:pPr>
            <w:r w:rsidRPr="00086293">
              <w:rPr>
                <w:rFonts w:ascii="Arial" w:hAnsi="Arial" w:cs="Arial"/>
                <w:b/>
                <w:bCs/>
              </w:rPr>
              <w:t>Emergency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FC07294" w14:textId="77777777" w:rsidR="00B35E46" w:rsidRPr="00086293" w:rsidRDefault="00B35E46" w:rsidP="00B35E46">
            <w:pPr>
              <w:rPr>
                <w:rFonts w:ascii="Arial" w:hAnsi="Arial" w:cs="Arial"/>
              </w:rPr>
            </w:pPr>
            <w:r w:rsidRPr="00086293">
              <w:rPr>
                <w:rFonts w:ascii="Arial" w:hAnsi="Arial" w:cs="Arial"/>
              </w:rPr>
              <w:t>Ensures every standard telephone service can reach Triple Zero (000). Maintains redundancy and backup systems for emergencies and natural disasters.</w:t>
            </w:r>
          </w:p>
        </w:tc>
      </w:tr>
      <w:tr w:rsidR="00B35E46" w:rsidRPr="00086293" w14:paraId="28209CAE"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6BFFA3E6" w14:textId="77777777" w:rsidR="00B35E46" w:rsidRPr="00086293" w:rsidRDefault="00B35E46" w:rsidP="00B35E46">
            <w:pPr>
              <w:rPr>
                <w:rFonts w:ascii="Arial" w:hAnsi="Arial" w:cs="Arial"/>
                <w:b/>
                <w:bCs/>
              </w:rPr>
            </w:pPr>
            <w:r w:rsidRPr="00086293">
              <w:rPr>
                <w:rFonts w:ascii="Arial" w:hAnsi="Arial" w:cs="Arial"/>
                <w:b/>
                <w:bCs/>
              </w:rPr>
              <w:t>Funding Compliance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93F9AC0" w14:textId="77777777" w:rsidR="00B35E46" w:rsidRPr="00086293" w:rsidRDefault="00B35E46" w:rsidP="00B35E46">
            <w:pPr>
              <w:rPr>
                <w:rFonts w:ascii="Arial" w:hAnsi="Arial" w:cs="Arial"/>
              </w:rPr>
            </w:pPr>
            <w:r w:rsidRPr="00086293">
              <w:rPr>
                <w:rFonts w:ascii="Arial" w:hAnsi="Arial" w:cs="Arial"/>
              </w:rPr>
              <w:t>Receives government subsidies under contractual agreements. Reports transparently on how funds are used to deliver USO services in uneconomic areas.</w:t>
            </w:r>
          </w:p>
        </w:tc>
      </w:tr>
      <w:tr w:rsidR="00B35E46" w:rsidRPr="00086293" w14:paraId="0C216990"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6278C64" w14:textId="77777777" w:rsidR="00B35E46" w:rsidRPr="00086293" w:rsidRDefault="00B35E46" w:rsidP="00B35E46">
            <w:pPr>
              <w:rPr>
                <w:rFonts w:ascii="Arial" w:hAnsi="Arial" w:cs="Arial"/>
                <w:b/>
                <w:bCs/>
              </w:rPr>
            </w:pPr>
            <w:r w:rsidRPr="00086293">
              <w:rPr>
                <w:rFonts w:ascii="Arial" w:hAnsi="Arial" w:cs="Arial"/>
                <w:b/>
                <w:bCs/>
              </w:rPr>
              <w:t>Consumer Safeguards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6418F40" w14:textId="77777777" w:rsidR="00B35E46" w:rsidRPr="00086293" w:rsidRDefault="00B35E46" w:rsidP="00B35E46">
            <w:pPr>
              <w:rPr>
                <w:rFonts w:ascii="Arial" w:hAnsi="Arial" w:cs="Arial"/>
              </w:rPr>
            </w:pPr>
            <w:r w:rsidRPr="00086293">
              <w:rPr>
                <w:rFonts w:ascii="Arial" w:hAnsi="Arial" w:cs="Arial"/>
              </w:rPr>
              <w:t>Complies with complaint handling and dispute resolution through the Telecommunications Industry Ombudsman (TIO). Provides clear information to customers about services, availability, and rights.</w:t>
            </w:r>
          </w:p>
        </w:tc>
      </w:tr>
      <w:tr w:rsidR="00B35E46" w:rsidRPr="00086293" w14:paraId="2CBE0701"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78DB6E95" w14:textId="77777777" w:rsidR="00B35E46" w:rsidRPr="00086293" w:rsidRDefault="00B35E46" w:rsidP="00B35E46">
            <w:pPr>
              <w:rPr>
                <w:rFonts w:ascii="Arial" w:hAnsi="Arial" w:cs="Arial"/>
                <w:b/>
                <w:bCs/>
              </w:rPr>
            </w:pPr>
            <w:r w:rsidRPr="00086293">
              <w:rPr>
                <w:rFonts w:ascii="Arial" w:hAnsi="Arial" w:cs="Arial"/>
                <w:b/>
                <w:bCs/>
              </w:rPr>
              <w:t>Monitoring &amp; Reporting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52E4FF4" w14:textId="77777777" w:rsidR="00B35E46" w:rsidRPr="00086293" w:rsidRDefault="00B35E46" w:rsidP="00B35E46">
            <w:pPr>
              <w:rPr>
                <w:rFonts w:ascii="Arial" w:hAnsi="Arial" w:cs="Arial"/>
              </w:rPr>
            </w:pPr>
            <w:r w:rsidRPr="00086293">
              <w:rPr>
                <w:rFonts w:ascii="Arial" w:hAnsi="Arial" w:cs="Arial"/>
              </w:rPr>
              <w:t>Provides regular performance reports to the Department of Infrastructure, Transport, Regional Development, Communications and the Arts. Subject to audits and compliance reviews.</w:t>
            </w:r>
          </w:p>
        </w:tc>
      </w:tr>
      <w:tr w:rsidR="00B35E46" w:rsidRPr="00086293" w14:paraId="6FDEEA2C"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111F7028" w14:textId="77777777" w:rsidR="00B35E46" w:rsidRPr="00086293" w:rsidRDefault="00B35E46" w:rsidP="00B35E46">
            <w:pPr>
              <w:rPr>
                <w:rFonts w:ascii="Arial" w:hAnsi="Arial" w:cs="Arial"/>
                <w:b/>
                <w:bCs/>
              </w:rPr>
            </w:pPr>
            <w:r w:rsidRPr="00086293">
              <w:rPr>
                <w:rFonts w:ascii="Arial" w:hAnsi="Arial" w:cs="Arial"/>
                <w:b/>
                <w:bCs/>
              </w:rPr>
              <w:t>Community Engagement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E1E6A3F" w14:textId="77777777" w:rsidR="00B35E46" w:rsidRPr="00086293" w:rsidRDefault="00B35E46" w:rsidP="00B35E46">
            <w:pPr>
              <w:rPr>
                <w:rFonts w:ascii="Arial" w:hAnsi="Arial" w:cs="Arial"/>
              </w:rPr>
            </w:pPr>
            <w:r w:rsidRPr="00086293">
              <w:rPr>
                <w:rFonts w:ascii="Arial" w:hAnsi="Arial" w:cs="Arial"/>
              </w:rPr>
              <w:t>Works with communities, especially in rural and remote areas, to assess needs for STS and payphones. Engages in consultation before service changes.</w:t>
            </w:r>
          </w:p>
        </w:tc>
      </w:tr>
    </w:tbl>
    <w:p w14:paraId="5ABD38C3" w14:textId="77777777" w:rsidR="00B35E46" w:rsidRPr="00086293" w:rsidRDefault="00B35E46" w:rsidP="00DD208C">
      <w:pPr>
        <w:rPr>
          <w:rFonts w:ascii="Arial" w:hAnsi="Arial" w:cs="Arial"/>
        </w:rPr>
      </w:pPr>
    </w:p>
    <w:sectPr w:rsidR="00B35E46" w:rsidRPr="00086293" w:rsidSect="00467C76">
      <w:pgSz w:w="28350" w:h="11907" w:orient="landscape"/>
      <w:pgMar w:top="567" w:right="567" w:bottom="567" w:left="567"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30AC5" w14:textId="77777777" w:rsidR="00E0016E" w:rsidRDefault="00E0016E" w:rsidP="00B35E46">
      <w:r>
        <w:separator/>
      </w:r>
    </w:p>
  </w:endnote>
  <w:endnote w:type="continuationSeparator" w:id="0">
    <w:p w14:paraId="09B9EFE9" w14:textId="77777777" w:rsidR="00E0016E" w:rsidRDefault="00E0016E" w:rsidP="00B3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578FA" w14:textId="77777777" w:rsidR="00E0016E" w:rsidRDefault="00E0016E" w:rsidP="00B35E46">
      <w:r>
        <w:separator/>
      </w:r>
    </w:p>
  </w:footnote>
  <w:footnote w:type="continuationSeparator" w:id="0">
    <w:p w14:paraId="230798A5" w14:textId="77777777" w:rsidR="00E0016E" w:rsidRDefault="00E0016E" w:rsidP="00B35E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33277"/>
    <w:multiLevelType w:val="hybridMultilevel"/>
    <w:tmpl w:val="8FB49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DB5907"/>
    <w:multiLevelType w:val="hybridMultilevel"/>
    <w:tmpl w:val="BE80B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3A6182"/>
    <w:multiLevelType w:val="hybridMultilevel"/>
    <w:tmpl w:val="1408F3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E6F6F"/>
    <w:multiLevelType w:val="hybridMultilevel"/>
    <w:tmpl w:val="92C8A62E"/>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750F97"/>
    <w:multiLevelType w:val="hybridMultilevel"/>
    <w:tmpl w:val="9B40845A"/>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7113D6E"/>
    <w:multiLevelType w:val="multilevel"/>
    <w:tmpl w:val="D62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5B6E87"/>
    <w:multiLevelType w:val="multilevel"/>
    <w:tmpl w:val="B192BA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961135">
    <w:abstractNumId w:val="1"/>
  </w:num>
  <w:num w:numId="2" w16cid:durableId="1981956934">
    <w:abstractNumId w:val="4"/>
  </w:num>
  <w:num w:numId="3" w16cid:durableId="470169961">
    <w:abstractNumId w:val="5"/>
  </w:num>
  <w:num w:numId="4" w16cid:durableId="1345667571">
    <w:abstractNumId w:val="9"/>
  </w:num>
  <w:num w:numId="5" w16cid:durableId="1636983036">
    <w:abstractNumId w:val="2"/>
  </w:num>
  <w:num w:numId="6" w16cid:durableId="28577704">
    <w:abstractNumId w:val="6"/>
  </w:num>
  <w:num w:numId="7" w16cid:durableId="491216667">
    <w:abstractNumId w:val="7"/>
  </w:num>
  <w:num w:numId="8" w16cid:durableId="116071753">
    <w:abstractNumId w:val="3"/>
  </w:num>
  <w:num w:numId="9" w16cid:durableId="187261224">
    <w:abstractNumId w:val="10"/>
  </w:num>
  <w:num w:numId="10" w16cid:durableId="549414431">
    <w:abstractNumId w:val="8"/>
  </w:num>
  <w:num w:numId="11" w16cid:durableId="655380305">
    <w:abstractNumId w:val="0"/>
  </w:num>
  <w:num w:numId="12" w16cid:durableId="446423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9"/>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70A1E"/>
    <w:rsid w:val="00086293"/>
    <w:rsid w:val="000D7A30"/>
    <w:rsid w:val="000F437F"/>
    <w:rsid w:val="00123C81"/>
    <w:rsid w:val="001734D9"/>
    <w:rsid w:val="001A28FD"/>
    <w:rsid w:val="001F6552"/>
    <w:rsid w:val="00243D4F"/>
    <w:rsid w:val="0029318B"/>
    <w:rsid w:val="002A6EB1"/>
    <w:rsid w:val="0032114B"/>
    <w:rsid w:val="00346A83"/>
    <w:rsid w:val="003775B1"/>
    <w:rsid w:val="00384A78"/>
    <w:rsid w:val="003E5078"/>
    <w:rsid w:val="004106C8"/>
    <w:rsid w:val="00426DC2"/>
    <w:rsid w:val="00440F8C"/>
    <w:rsid w:val="00444C72"/>
    <w:rsid w:val="00452928"/>
    <w:rsid w:val="004643CC"/>
    <w:rsid w:val="00465598"/>
    <w:rsid w:val="00467C76"/>
    <w:rsid w:val="004C2910"/>
    <w:rsid w:val="004D04F7"/>
    <w:rsid w:val="00557452"/>
    <w:rsid w:val="005660F8"/>
    <w:rsid w:val="005A095A"/>
    <w:rsid w:val="005E6A97"/>
    <w:rsid w:val="00614652"/>
    <w:rsid w:val="00635DB2"/>
    <w:rsid w:val="006F21C0"/>
    <w:rsid w:val="007506AD"/>
    <w:rsid w:val="007714E3"/>
    <w:rsid w:val="007773B1"/>
    <w:rsid w:val="00793813"/>
    <w:rsid w:val="00795559"/>
    <w:rsid w:val="007B106F"/>
    <w:rsid w:val="007C5930"/>
    <w:rsid w:val="007C76BB"/>
    <w:rsid w:val="007D25C5"/>
    <w:rsid w:val="007D3EEE"/>
    <w:rsid w:val="007D4923"/>
    <w:rsid w:val="008072AA"/>
    <w:rsid w:val="00811687"/>
    <w:rsid w:val="00811B64"/>
    <w:rsid w:val="00820E20"/>
    <w:rsid w:val="00826F6C"/>
    <w:rsid w:val="00836127"/>
    <w:rsid w:val="00915BC1"/>
    <w:rsid w:val="0093145E"/>
    <w:rsid w:val="009A2E8F"/>
    <w:rsid w:val="009F6A0C"/>
    <w:rsid w:val="00A13D64"/>
    <w:rsid w:val="00A51977"/>
    <w:rsid w:val="00A6164E"/>
    <w:rsid w:val="00A667C5"/>
    <w:rsid w:val="00AF7D15"/>
    <w:rsid w:val="00B3383F"/>
    <w:rsid w:val="00B3464F"/>
    <w:rsid w:val="00B35E46"/>
    <w:rsid w:val="00B441DA"/>
    <w:rsid w:val="00B53257"/>
    <w:rsid w:val="00B62771"/>
    <w:rsid w:val="00BC2675"/>
    <w:rsid w:val="00BD61DB"/>
    <w:rsid w:val="00BF3D01"/>
    <w:rsid w:val="00C134C1"/>
    <w:rsid w:val="00C4410D"/>
    <w:rsid w:val="00C83A29"/>
    <w:rsid w:val="00C92EEB"/>
    <w:rsid w:val="00CA1492"/>
    <w:rsid w:val="00CD1C3D"/>
    <w:rsid w:val="00CE3C51"/>
    <w:rsid w:val="00D15FB9"/>
    <w:rsid w:val="00D362B3"/>
    <w:rsid w:val="00D57822"/>
    <w:rsid w:val="00D6055C"/>
    <w:rsid w:val="00D7741D"/>
    <w:rsid w:val="00DD208C"/>
    <w:rsid w:val="00DD61D0"/>
    <w:rsid w:val="00DE0686"/>
    <w:rsid w:val="00E0016E"/>
    <w:rsid w:val="00E00D96"/>
    <w:rsid w:val="00E21953"/>
    <w:rsid w:val="00E30845"/>
    <w:rsid w:val="00E3615A"/>
    <w:rsid w:val="00E51D9C"/>
    <w:rsid w:val="00E7743A"/>
    <w:rsid w:val="00E83039"/>
    <w:rsid w:val="00E96CC9"/>
    <w:rsid w:val="00F24A35"/>
    <w:rsid w:val="00F2744F"/>
    <w:rsid w:val="00F3117E"/>
    <w:rsid w:val="00F420EC"/>
    <w:rsid w:val="00F42607"/>
    <w:rsid w:val="00FA404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C8A3144-6127-4647-AA3C-73C7C994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directory.gov.au/portfolios/infrastructure-transport-regional-development-communications-and-arts/australian-communications-and-media-authority" TargetMode="External"/><Relationship Id="rId18" Type="http://schemas.openxmlformats.org/officeDocument/2006/relationships/hyperlink" Target="https://www.acma.gov.au/about-universal-service-obligation" TargetMode="External"/><Relationship Id="rId26" Type="http://schemas.openxmlformats.org/officeDocument/2006/relationships/hyperlink" Target="https://www.oecd.org/en/topics/sub-issues/economic-surveys/Australia-Economic-Snapshot.html?utm_source=chatgpt.com" TargetMode="External"/><Relationship Id="rId21" Type="http://schemas.openxmlformats.org/officeDocument/2006/relationships/image" Target="media/image3.png"/><Relationship Id="rId34" Type="http://schemas.openxmlformats.org/officeDocument/2006/relationships/hyperlink" Target="https://www.acma.gov.au/sites/default/files/2024-11/Investigation%20report%20-%20Optus%20outage%201Nov23%20%28redacted%29.pdf" TargetMode="External"/><Relationship Id="rId7" Type="http://schemas.openxmlformats.org/officeDocument/2006/relationships/hyperlink" Target="https://www.dlapiperintelligence.com/telecoms/index.html?t=laws&amp;c=AU" TargetMode="External"/><Relationship Id="rId12" Type="http://schemas.openxmlformats.org/officeDocument/2006/relationships/hyperlink" Target="https://www.dlapiperdataprotection.com/index.html?c=AU" TargetMode="External"/><Relationship Id="rId17" Type="http://schemas.openxmlformats.org/officeDocument/2006/relationships/hyperlink" Target="https://www.accc.gov.au/about-us/accc-priorities/compliance-and-enforcement-priorities" TargetMode="External"/><Relationship Id="rId25" Type="http://schemas.openxmlformats.org/officeDocument/2006/relationships/hyperlink" Target="https://www.abs.gov.au/articles/9-facts-about-economy-march-quarter" TargetMode="External"/><Relationship Id="rId33" Type="http://schemas.openxmlformats.org/officeDocument/2006/relationships/image" Target="media/image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lobalcompliancenews.com/antitrust-and-competition/antitrust-and-competition-laws-in-australia/" TargetMode="External"/><Relationship Id="rId20" Type="http://schemas.openxmlformats.org/officeDocument/2006/relationships/hyperlink" Target="https://www.lgaq.asn.au/News-and-Media/News-articles/The-Universal-Service-Obligation-History-and-future" TargetMode="External"/><Relationship Id="rId29" Type="http://schemas.openxmlformats.org/officeDocument/2006/relationships/hyperlink" Target="https://programsandcourses.anu.edu.au/course/pols20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ma.gov.au/local-councils-and-network-facilities" TargetMode="External"/><Relationship Id="rId24" Type="http://schemas.openxmlformats.org/officeDocument/2006/relationships/hyperlink" Target="https://www.acma.gov.au/rules-telstra-payphones" TargetMode="External"/><Relationship Id="rId32" Type="http://schemas.openxmlformats.org/officeDocument/2006/relationships/hyperlink" Target="https://www.lebara.com.au/support/accessibility/"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anao.gov.au/work/performance-audit/management-contract-telephone-universal-service-obligations" TargetMode="External"/><Relationship Id="rId28" Type="http://schemas.openxmlformats.org/officeDocument/2006/relationships/hyperlink" Target="https://www.oecd.org/en/publications/oecd-economic-outlook-volume-2025-issue-1_83363382-en/full-report/australia_b563f928.html" TargetMode="External"/><Relationship Id="rId36" Type="http://schemas.openxmlformats.org/officeDocument/2006/relationships/hyperlink" Target="https://www.aph.gov.au/Parliamentary_Business/Bills_Legislation/Bills_Search_Results/Result?bId=r7317" TargetMode="External"/><Relationship Id="rId10" Type="http://schemas.openxmlformats.org/officeDocument/2006/relationships/hyperlink" Target="https://business.gov.au/planning/industry-information/information-media-and-telecommunications-industry" TargetMode="External"/><Relationship Id="rId19" Type="http://schemas.openxmlformats.org/officeDocument/2006/relationships/hyperlink" Target="https://www.telstra.com.au/consumer-advice/customer-service/universal-service-obligation" TargetMode="External"/><Relationship Id="rId31" Type="http://schemas.openxmlformats.org/officeDocument/2006/relationships/hyperlink" Target="https://www.optus.com.au/content/dam/optus/documents/about-us/inclusion-diversity/accessibility/optus-access-and-inclusion-action-plan-2024-2029.pdf" TargetMode="External"/><Relationship Id="rId4" Type="http://schemas.openxmlformats.org/officeDocument/2006/relationships/webSettings" Target="webSettings.xml"/><Relationship Id="rId9" Type="http://schemas.openxmlformats.org/officeDocument/2006/relationships/hyperlink" Target="https://www.acma.gov.au/register-licensed-carriers" TargetMode="External"/><Relationship Id="rId14" Type="http://schemas.openxmlformats.org/officeDocument/2006/relationships/image" Target="media/image1.png"/><Relationship Id="rId22" Type="http://schemas.openxmlformats.org/officeDocument/2006/relationships/hyperlink" Target="https://www.infrastructure.gov.au/media-communications-arts/phone/phone-services/universal-service-obligation-voice-services" TargetMode="External"/><Relationship Id="rId27" Type="http://schemas.openxmlformats.org/officeDocument/2006/relationships/hyperlink" Target="https://www.rba.gov.au/snapshots/economy-indicators-snapshot/" TargetMode="External"/><Relationship Id="rId30" Type="http://schemas.openxmlformats.org/officeDocument/2006/relationships/hyperlink" Target="https://www.homeaffairs.gov.au/cyber-security-subsite/files/factsheet-ransomware-payment-reporting.pdf" TargetMode="External"/><Relationship Id="rId35" Type="http://schemas.openxmlformats.org/officeDocument/2006/relationships/hyperlink" Target="https://en.wikipedia.org/wiki/2022_Optus_data_breach" TargetMode="External"/><Relationship Id="rId8" Type="http://schemas.openxmlformats.org/officeDocument/2006/relationships/hyperlink" Target="https://www.infrastructure.gov.au/media-communications-arts/internet/rules-carriers-and-service-providers" TargetMode="External"/><Relationship Id="rId3" Type="http://schemas.openxmlformats.org/officeDocument/2006/relationships/settings" Target="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3803</TotalTime>
  <Pages>34</Pages>
  <Words>11060</Words>
  <Characters>63048</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PEREZ ESPITIA MANUEL SERGIO</cp:lastModifiedBy>
  <cp:revision>7</cp:revision>
  <dcterms:created xsi:type="dcterms:W3CDTF">2025-05-02T17:00:00Z</dcterms:created>
  <dcterms:modified xsi:type="dcterms:W3CDTF">2025-08-30T12:41:00Z</dcterms:modified>
  <dc:language>en-AU</dc:language>
</cp:coreProperties>
</file>