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CA4B92" w:rsidRDefault="00B333D7">
      <w:pPr>
        <w:rPr>
          <w:rFonts w:ascii="Arial" w:hAnsi="Arial" w:cs="Arial"/>
        </w:rPr>
      </w:pPr>
      <w:r w:rsidRPr="00CA4B92">
        <w:rPr>
          <w:rFonts w:ascii="Arial" w:hAnsi="Arial" w:cs="Arial"/>
        </w:rPr>
        <w:t>Evaluation Report</w:t>
      </w:r>
    </w:p>
    <w:p w14:paraId="7CDEA7A2" w14:textId="77777777" w:rsidR="00537925" w:rsidRPr="00CA4B92" w:rsidRDefault="00537925">
      <w:pPr>
        <w:rPr>
          <w:rFonts w:ascii="Arial" w:hAnsi="Arial" w:cs="Arial"/>
        </w:rPr>
      </w:pPr>
    </w:p>
    <w:p w14:paraId="7A1AE49E" w14:textId="0DE14C76" w:rsidR="00AA4019" w:rsidRPr="00CA4B92" w:rsidRDefault="00537925" w:rsidP="00B62391">
      <w:pPr>
        <w:rPr>
          <w:rFonts w:ascii="Arial" w:hAnsi="Arial" w:cs="Arial"/>
        </w:rPr>
      </w:pPr>
      <w:r w:rsidRPr="00CA4B92">
        <w:rPr>
          <w:rFonts w:ascii="Arial" w:hAnsi="Arial" w:cs="Arial"/>
        </w:rPr>
        <w:t>Title</w:t>
      </w:r>
    </w:p>
    <w:p w14:paraId="5AD085FC" w14:textId="18B7C013" w:rsidR="00AA4019" w:rsidRPr="00CA4B92" w:rsidRDefault="00537925" w:rsidP="00B62391">
      <w:pPr>
        <w:rPr>
          <w:rFonts w:ascii="Arial" w:hAnsi="Arial" w:cs="Arial"/>
          <w:b/>
          <w:bCs/>
          <w:sz w:val="22"/>
          <w:szCs w:val="22"/>
        </w:rPr>
      </w:pPr>
      <w:r w:rsidRPr="00CA4B92">
        <w:rPr>
          <w:rFonts w:ascii="Arial" w:hAnsi="Arial" w:cs="Arial"/>
          <w:b/>
          <w:bCs/>
          <w:sz w:val="22"/>
          <w:szCs w:val="22"/>
        </w:rPr>
        <w:t>COMPREHENSIVE REPORT THAT EVALUATE THE ECONOMIC AND POLITICAL INFLUENCES ON THE AUSTRALIAN NETWORKING INDUSTRY AND THE IMPACT OF REGULATIONS AND LEGISLATION FOR OPTUS</w:t>
      </w:r>
    </w:p>
    <w:p w14:paraId="77F2411B" w14:textId="77777777" w:rsidR="00537925" w:rsidRPr="00CA4B92" w:rsidRDefault="00537925" w:rsidP="00537925">
      <w:pPr>
        <w:jc w:val="center"/>
        <w:rPr>
          <w:rFonts w:ascii="Arial" w:hAnsi="Arial" w:cs="Arial"/>
          <w:b/>
          <w:bCs/>
        </w:rPr>
      </w:pPr>
    </w:p>
    <w:p w14:paraId="43F98C1E" w14:textId="77777777" w:rsidR="00537925" w:rsidRPr="00CA4B92" w:rsidRDefault="00537925" w:rsidP="00717C5F">
      <w:pPr>
        <w:rPr>
          <w:rFonts w:ascii="Arial" w:hAnsi="Arial" w:cs="Arial"/>
          <w:b/>
          <w:bCs/>
        </w:rPr>
      </w:pPr>
    </w:p>
    <w:p w14:paraId="05B5AF76" w14:textId="77777777" w:rsidR="00537925" w:rsidRPr="00CA4B92" w:rsidRDefault="00537925" w:rsidP="00537925">
      <w:pPr>
        <w:jc w:val="center"/>
        <w:rPr>
          <w:rFonts w:ascii="Arial" w:hAnsi="Arial" w:cs="Arial"/>
          <w:b/>
          <w:bCs/>
        </w:rPr>
      </w:pPr>
    </w:p>
    <w:p w14:paraId="33C99A01" w14:textId="1D34B476" w:rsidR="00893C2C" w:rsidRPr="00CA4B92" w:rsidRDefault="00893C2C" w:rsidP="00537925">
      <w:pPr>
        <w:jc w:val="both"/>
        <w:rPr>
          <w:rFonts w:ascii="Arial" w:hAnsi="Arial" w:cs="Arial"/>
          <w:b/>
          <w:bCs/>
        </w:rPr>
      </w:pPr>
      <w:r w:rsidRPr="00CA4B92">
        <w:rPr>
          <w:rFonts w:ascii="Arial" w:hAnsi="Arial" w:cs="Arial"/>
          <w:b/>
          <w:bCs/>
        </w:rPr>
        <w:t>Executive Summary</w:t>
      </w:r>
    </w:p>
    <w:p w14:paraId="41B03CC7" w14:textId="77777777" w:rsidR="00537D46" w:rsidRPr="00CA4B92" w:rsidRDefault="00537D46" w:rsidP="00537925">
      <w:pPr>
        <w:jc w:val="both"/>
        <w:rPr>
          <w:rFonts w:ascii="Arial" w:hAnsi="Arial" w:cs="Arial"/>
        </w:rPr>
      </w:pPr>
      <w:r w:rsidRPr="00CA4B92">
        <w:rPr>
          <w:rFonts w:ascii="Arial" w:hAnsi="Arial" w:cs="Arial"/>
        </w:rPr>
        <w:t xml:space="preserve">This evaluation report examines the economic and political factors influencing the Australian networking industry and assesses their implications for Optus. Politically, the 2022 Optus data breach highlighted vulnerabilities in the sector, prompting the introduction of the </w:t>
      </w:r>
      <w:r w:rsidRPr="00CA4B92">
        <w:rPr>
          <w:rFonts w:ascii="Arial" w:hAnsi="Arial" w:cs="Arial"/>
          <w:i/>
          <w:iCs/>
        </w:rPr>
        <w:t>Cybersecurity Act 2024</w:t>
      </w:r>
      <w:r w:rsidRPr="00CA4B92">
        <w:rPr>
          <w:rFonts w:ascii="Arial" w:hAnsi="Arial" w:cs="Arial"/>
        </w:rPr>
        <w:t>. Optus is encouraged to adopt advanced cybersecurity measures, strengthen internal controls, and conduct regular staff training to comply with the legislation and rebuild consumer trust. Furthermore, regulatory guidance from the ACCC and ACMA, alongside the ongoing rollout of the National Broadband Network (NBN), will shape Optus’ strategic planning and network development.</w:t>
      </w:r>
    </w:p>
    <w:p w14:paraId="21187506" w14:textId="570A8D6F" w:rsidR="00537925" w:rsidRPr="00CA4B92" w:rsidRDefault="00537D46" w:rsidP="00537925">
      <w:pPr>
        <w:jc w:val="both"/>
        <w:rPr>
          <w:rFonts w:ascii="Arial" w:hAnsi="Arial" w:cs="Arial"/>
        </w:rPr>
      </w:pPr>
      <w:r w:rsidRPr="00CA4B92">
        <w:rPr>
          <w:rFonts w:ascii="Arial" w:hAnsi="Arial" w:cs="Arial"/>
        </w:rPr>
        <w:t>Economically, rising prices, inflationary pressures, and cautious household spending are key considerations. Household consumption remains stable for essential services, ensuring steady demand for mobile, internet, and broadband services, while uptake of premium offerings remains limited. Labour market pressures and increasing wages raise operational costs, incentivising Optus to explore automation, AI-driven support, and outsourcing. Additionally, higher energy and rental expenses impact operational expenditures, requiring Optus to balance pricing strategies to protect margins while remaining competitive against Telstra, TPG/Vodafone, and MVNOs such as Lebara. Overall, Optus should continue network investment, pursue competitive positioning in essential service markets, and strengthen cyber resilience to navigate both economic and political challenges effectively.</w:t>
      </w:r>
    </w:p>
    <w:p w14:paraId="4AE0BB75" w14:textId="77777777" w:rsidR="00537925" w:rsidRPr="00CA4B92" w:rsidRDefault="00537925">
      <w:pPr>
        <w:rPr>
          <w:rFonts w:ascii="Arial" w:hAnsi="Arial" w:cs="Arial"/>
        </w:rPr>
      </w:pPr>
      <w:r w:rsidRPr="00CA4B92">
        <w:rPr>
          <w:rFonts w:ascii="Arial" w:hAnsi="Arial" w:cs="Arial"/>
        </w:rPr>
        <w:br w:type="page"/>
      </w:r>
    </w:p>
    <w:p w14:paraId="38A2B579" w14:textId="09FBDEA0" w:rsidR="00893C2C" w:rsidRPr="00CA4B92" w:rsidRDefault="00893C2C" w:rsidP="00537925">
      <w:pPr>
        <w:jc w:val="both"/>
        <w:rPr>
          <w:rFonts w:ascii="Arial" w:hAnsi="Arial" w:cs="Arial"/>
          <w:b/>
          <w:bCs/>
        </w:rPr>
      </w:pPr>
      <w:r w:rsidRPr="00CA4B92">
        <w:rPr>
          <w:rFonts w:ascii="Arial" w:hAnsi="Arial" w:cs="Arial"/>
          <w:b/>
          <w:bCs/>
        </w:rPr>
        <w:lastRenderedPageBreak/>
        <w:t>Introduction</w:t>
      </w:r>
    </w:p>
    <w:p w14:paraId="31738BAB" w14:textId="77777777" w:rsidR="00537925" w:rsidRPr="00CA4B92" w:rsidRDefault="00537925" w:rsidP="00537925">
      <w:pPr>
        <w:jc w:val="both"/>
        <w:rPr>
          <w:rFonts w:ascii="Arial" w:hAnsi="Arial" w:cs="Arial"/>
          <w:b/>
          <w:bCs/>
        </w:rPr>
      </w:pPr>
    </w:p>
    <w:p w14:paraId="2A3C1A51" w14:textId="77777777" w:rsidR="00537D46" w:rsidRPr="00CA4B92" w:rsidRDefault="00537D46" w:rsidP="00537925">
      <w:pPr>
        <w:jc w:val="both"/>
        <w:rPr>
          <w:rFonts w:ascii="Arial" w:hAnsi="Arial" w:cs="Arial"/>
        </w:rPr>
      </w:pPr>
      <w:r w:rsidRPr="00CA4B92">
        <w:rPr>
          <w:rFonts w:ascii="Arial" w:hAnsi="Arial" w:cs="Arial"/>
        </w:rPr>
        <w:t>This report has been developed to evaluate the key economic and political influences affecting the Australian networking industry, with a particular focus on Optus. The purpose is to provide an informed analysis of how current market conditions, regulatory frameworks, and government policies impact Optus’ operations, strategic planning, and competitive positioning.</w:t>
      </w:r>
    </w:p>
    <w:p w14:paraId="5ECA635A" w14:textId="77777777" w:rsidR="00537D46" w:rsidRPr="00CA4B92" w:rsidRDefault="00537D46" w:rsidP="00537925">
      <w:pPr>
        <w:jc w:val="both"/>
        <w:rPr>
          <w:rFonts w:ascii="Arial" w:hAnsi="Arial" w:cs="Arial"/>
        </w:rPr>
      </w:pPr>
      <w:r w:rsidRPr="00CA4B92">
        <w:rPr>
          <w:rFonts w:ascii="Arial" w:hAnsi="Arial" w:cs="Arial"/>
        </w:rPr>
        <w:t>Specifically, the report examines the implications of rising prices, inflation, and low household spending on consumer demand for telecommunications services. It also considers the effects of political and regulatory developments, including the Cybersecurity Act 2024, ACCC and ACMA guidance, and the ongoing rollout of the National Broadband Network (NBN). By analysing these factors, the report aims to provide practical recommendations for Optus to maintain competitiveness, ensure robust cybersecurity practices, and optimise network investment and service offerings in a challenging economic environment.</w:t>
      </w:r>
    </w:p>
    <w:p w14:paraId="52B8448B" w14:textId="77777777" w:rsidR="00F217DB" w:rsidRPr="00CA4B92" w:rsidRDefault="00F217DB" w:rsidP="00537925">
      <w:pPr>
        <w:jc w:val="both"/>
        <w:rPr>
          <w:rFonts w:ascii="Arial" w:hAnsi="Arial" w:cs="Arial"/>
        </w:rPr>
      </w:pPr>
    </w:p>
    <w:p w14:paraId="3D98A87A" w14:textId="38C1E674" w:rsidR="00537925" w:rsidRPr="00CA4B92" w:rsidRDefault="00537925">
      <w:pPr>
        <w:rPr>
          <w:rFonts w:ascii="Arial" w:hAnsi="Arial" w:cs="Arial"/>
        </w:rPr>
      </w:pPr>
      <w:r w:rsidRPr="00CA4B92">
        <w:rPr>
          <w:rFonts w:ascii="Arial" w:hAnsi="Arial" w:cs="Arial"/>
        </w:rPr>
        <w:br w:type="page"/>
      </w:r>
    </w:p>
    <w:p w14:paraId="36F85DF7" w14:textId="0EB14F52" w:rsidR="00893C2C" w:rsidRPr="00CA4B92" w:rsidRDefault="00893C2C" w:rsidP="00537925">
      <w:pPr>
        <w:jc w:val="both"/>
        <w:rPr>
          <w:rFonts w:ascii="Arial" w:hAnsi="Arial" w:cs="Arial"/>
        </w:rPr>
      </w:pPr>
      <w:r w:rsidRPr="00CA4B92">
        <w:rPr>
          <w:rFonts w:ascii="Arial" w:hAnsi="Arial" w:cs="Arial"/>
        </w:rPr>
        <w:lastRenderedPageBreak/>
        <w:t>Background and rationale</w:t>
      </w:r>
    </w:p>
    <w:p w14:paraId="4AC98CC9" w14:textId="74B93E7B" w:rsidR="00285C6E" w:rsidRPr="00CA4B92" w:rsidRDefault="00285C6E" w:rsidP="00537925">
      <w:pPr>
        <w:pStyle w:val="NormalWeb"/>
        <w:jc w:val="both"/>
        <w:rPr>
          <w:rFonts w:ascii="Arial" w:hAnsi="Arial" w:cs="Arial"/>
        </w:rPr>
      </w:pPr>
      <w:r w:rsidRPr="00CA4B92">
        <w:rPr>
          <w:rStyle w:val="Strong"/>
          <w:rFonts w:ascii="Arial" w:eastAsiaTheme="majorEastAsia" w:hAnsi="Arial" w:cs="Arial"/>
        </w:rPr>
        <w:t xml:space="preserve">Legislative Framework </w:t>
      </w:r>
    </w:p>
    <w:p w14:paraId="0DC309E2" w14:textId="77777777" w:rsidR="00651E97" w:rsidRPr="00CA4B92" w:rsidRDefault="00651E97" w:rsidP="00537925">
      <w:pPr>
        <w:pStyle w:val="NormalWeb"/>
        <w:jc w:val="both"/>
        <w:rPr>
          <w:rFonts w:ascii="Arial" w:hAnsi="Arial" w:cs="Arial"/>
        </w:rPr>
      </w:pPr>
      <w:r w:rsidRPr="00CA4B92">
        <w:rPr>
          <w:rFonts w:ascii="Arial" w:hAnsi="Arial" w:cs="Arial"/>
        </w:rPr>
        <w:t xml:space="preserve">The Australian telecommunications industry operates under a comprehensive legislative framework designed to regulate network operations, protect consumers, and ensure fair competition. At the core of this framework is the </w:t>
      </w:r>
      <w:r w:rsidRPr="00CA4B92">
        <w:rPr>
          <w:rFonts w:ascii="Arial" w:hAnsi="Arial" w:cs="Arial"/>
          <w:b/>
          <w:bCs/>
        </w:rPr>
        <w:t>Telecommunications Act 1997</w:t>
      </w:r>
      <w:r w:rsidRPr="00CA4B92">
        <w:rPr>
          <w:rFonts w:ascii="Arial" w:hAnsi="Arial" w:cs="Arial"/>
        </w:rPr>
        <w:t>, which establishes the legal basis for telecommunications services, including the licensing of carriers and service providers, network access obligations, and regulatory compliance. Large companies such as Optus are required to hold the appropriate carrier licenses, provide regulated access to their infrastructure, and submit regular compliance reports to the regulator.</w:t>
      </w:r>
    </w:p>
    <w:p w14:paraId="0E5ED0BC" w14:textId="77777777" w:rsidR="00651E97" w:rsidRPr="00CA4B92" w:rsidRDefault="00651E97" w:rsidP="00537925">
      <w:pPr>
        <w:pStyle w:val="NormalWeb"/>
        <w:jc w:val="both"/>
        <w:rPr>
          <w:rFonts w:ascii="Arial" w:hAnsi="Arial" w:cs="Arial"/>
        </w:rPr>
      </w:pPr>
      <w:r w:rsidRPr="00CA4B92">
        <w:rPr>
          <w:rFonts w:ascii="Arial" w:hAnsi="Arial" w:cs="Arial"/>
        </w:rPr>
        <w:t xml:space="preserve">Consumer protection is further reinforced by the </w:t>
      </w:r>
      <w:r w:rsidRPr="00CA4B92">
        <w:rPr>
          <w:rFonts w:ascii="Arial" w:hAnsi="Arial" w:cs="Arial"/>
          <w:b/>
          <w:bCs/>
        </w:rPr>
        <w:t>Telecommunications (Consumer Protection and Service Standards) Act 1999</w:t>
      </w:r>
      <w:r w:rsidRPr="00CA4B92">
        <w:rPr>
          <w:rFonts w:ascii="Arial" w:hAnsi="Arial" w:cs="Arial"/>
        </w:rPr>
        <w:t xml:space="preserve">, which sets minimum service standards, complaint handling procedures, and customer rights. For Optus, this means implementing quality assurance measures, maintaining transparent billing practices, and ensuring effective resolution of customer complaints. In parallel, the </w:t>
      </w:r>
      <w:r w:rsidRPr="00CA4B92">
        <w:rPr>
          <w:rFonts w:ascii="Arial" w:hAnsi="Arial" w:cs="Arial"/>
          <w:b/>
          <w:bCs/>
        </w:rPr>
        <w:t>Telecommunications (Interception and Access) Act 1979</w:t>
      </w:r>
      <w:r w:rsidRPr="00CA4B92">
        <w:rPr>
          <w:rFonts w:ascii="Arial" w:hAnsi="Arial" w:cs="Arial"/>
        </w:rPr>
        <w:t xml:space="preserve"> governs lawful interception of communications and metadata retention, obligating companies to provide authorised access to law enforcement while safeguarding customer privacy.</w:t>
      </w:r>
    </w:p>
    <w:p w14:paraId="667A8786" w14:textId="77777777" w:rsidR="00651E97" w:rsidRPr="00CA4B92" w:rsidRDefault="00651E97" w:rsidP="00537925">
      <w:pPr>
        <w:pStyle w:val="NormalWeb"/>
        <w:jc w:val="both"/>
        <w:rPr>
          <w:rFonts w:ascii="Arial" w:hAnsi="Arial" w:cs="Arial"/>
        </w:rPr>
      </w:pPr>
      <w:r w:rsidRPr="00CA4B92">
        <w:rPr>
          <w:rFonts w:ascii="Arial" w:hAnsi="Arial" w:cs="Arial"/>
        </w:rPr>
        <w:t xml:space="preserve">The rollout and operation of the National Broadband Network (NBN) are regulated by the </w:t>
      </w:r>
      <w:r w:rsidRPr="00CA4B92">
        <w:rPr>
          <w:rFonts w:ascii="Arial" w:hAnsi="Arial" w:cs="Arial"/>
          <w:b/>
          <w:bCs/>
        </w:rPr>
        <w:t>National Broadband Network Companies Act 2011</w:t>
      </w:r>
      <w:r w:rsidRPr="00CA4B92">
        <w:rPr>
          <w:rFonts w:ascii="Arial" w:hAnsi="Arial" w:cs="Arial"/>
        </w:rPr>
        <w:t xml:space="preserve">, which defines the obligations of NBN Co and its interaction with service providers. Optus must coordinate closely with NBN Co to deliver broadband services, integrate infrastructure, and meet service-level commitments. Meanwhile, the </w:t>
      </w:r>
      <w:r w:rsidRPr="00CA4B92">
        <w:rPr>
          <w:rFonts w:ascii="Arial" w:hAnsi="Arial" w:cs="Arial"/>
          <w:b/>
          <w:bCs/>
        </w:rPr>
        <w:t>Competition and Consumer Act 2010</w:t>
      </w:r>
      <w:r w:rsidRPr="00CA4B92">
        <w:rPr>
          <w:rFonts w:ascii="Arial" w:hAnsi="Arial" w:cs="Arial"/>
        </w:rPr>
        <w:t xml:space="preserve"> ensures fair market conduct by prohibiting anti-competitive behaviour, promoting transparent pricing, and protecting consumer interests, under the oversight of the ACCC.</w:t>
      </w:r>
    </w:p>
    <w:p w14:paraId="05AE079C" w14:textId="77777777" w:rsidR="00651E97" w:rsidRPr="00CA4B92" w:rsidRDefault="00651E97" w:rsidP="00537925">
      <w:pPr>
        <w:pStyle w:val="NormalWeb"/>
        <w:jc w:val="both"/>
        <w:rPr>
          <w:rFonts w:ascii="Arial" w:hAnsi="Arial" w:cs="Arial"/>
        </w:rPr>
      </w:pPr>
      <w:r w:rsidRPr="00CA4B92">
        <w:rPr>
          <w:rFonts w:ascii="Arial" w:hAnsi="Arial" w:cs="Arial"/>
        </w:rPr>
        <w:t xml:space="preserve">Telecommunications services that involve broadcasting are regulated by the </w:t>
      </w:r>
      <w:r w:rsidRPr="00CA4B92">
        <w:rPr>
          <w:rFonts w:ascii="Arial" w:hAnsi="Arial" w:cs="Arial"/>
          <w:b/>
          <w:bCs/>
        </w:rPr>
        <w:t>Broadcasting Services Act 1992</w:t>
      </w:r>
      <w:r w:rsidRPr="00CA4B92">
        <w:rPr>
          <w:rFonts w:ascii="Arial" w:hAnsi="Arial" w:cs="Arial"/>
        </w:rPr>
        <w:t xml:space="preserve">, which establishes licensing requirements, content standards, and rules for digital media delivery. Additionally, the </w:t>
      </w:r>
      <w:r w:rsidRPr="00CA4B92">
        <w:rPr>
          <w:rFonts w:ascii="Arial" w:hAnsi="Arial" w:cs="Arial"/>
          <w:b/>
          <w:bCs/>
        </w:rPr>
        <w:t>Radiocommunications Act 1992</w:t>
      </w:r>
      <w:r w:rsidRPr="00CA4B92">
        <w:rPr>
          <w:rFonts w:ascii="Arial" w:hAnsi="Arial" w:cs="Arial"/>
        </w:rPr>
        <w:t xml:space="preserve"> governs the allocation of spectrum and technical standards for wireless communications, requiring Optus to obtain spectrum licences and operate in accordance with regulatory specifications to prevent interference. Finally, the </w:t>
      </w:r>
      <w:r w:rsidRPr="00CA4B92">
        <w:rPr>
          <w:rFonts w:ascii="Arial" w:hAnsi="Arial" w:cs="Arial"/>
          <w:b/>
          <w:bCs/>
        </w:rPr>
        <w:t>Privacy Act 1988</w:t>
      </w:r>
      <w:r w:rsidRPr="00CA4B92">
        <w:rPr>
          <w:rFonts w:ascii="Arial" w:hAnsi="Arial" w:cs="Arial"/>
        </w:rPr>
        <w:t>, through the Australian Privacy Principles (APPs), mandates that companies protect personal information, handle data lawfully, and notify authorities in the event of a breach. For Optus, compliance involves robust internal controls, staff training, and security measures to safeguard customer data.</w:t>
      </w:r>
    </w:p>
    <w:p w14:paraId="00669CAE" w14:textId="77777777" w:rsidR="00651E97" w:rsidRPr="00CA4B92" w:rsidRDefault="00651E97" w:rsidP="00537925">
      <w:pPr>
        <w:pStyle w:val="NormalWeb"/>
        <w:jc w:val="both"/>
        <w:rPr>
          <w:rFonts w:ascii="Arial" w:hAnsi="Arial" w:cs="Arial"/>
        </w:rPr>
      </w:pPr>
      <w:r w:rsidRPr="00CA4B92">
        <w:rPr>
          <w:rFonts w:ascii="Arial" w:hAnsi="Arial" w:cs="Arial"/>
        </w:rPr>
        <w:t>Collectively, these legislative instruments shape how Optus and other telecommunications providers operate in Australia, ensuring that network investment, service delivery, and consumer interactions occur within a regulated, transparent, and secure framework. Adherence to these laws is essential for maintaining trust, managing operational risk, and supporting sustainable growth in a highly competitive industry.</w:t>
      </w:r>
    </w:p>
    <w:p w14:paraId="0897E654" w14:textId="77777777" w:rsidR="00537925" w:rsidRPr="00CA4B92" w:rsidRDefault="00537925" w:rsidP="00537925">
      <w:pPr>
        <w:pStyle w:val="NormalWeb"/>
        <w:jc w:val="both"/>
        <w:rPr>
          <w:rFonts w:ascii="Arial" w:hAnsi="Arial" w:cs="Arial"/>
        </w:rPr>
      </w:pPr>
    </w:p>
    <w:p w14:paraId="795EC072" w14:textId="3C0B663F" w:rsidR="003D06E6" w:rsidRPr="00CA4B92" w:rsidRDefault="003D06E6" w:rsidP="00537925">
      <w:pPr>
        <w:pStyle w:val="NormalWeb"/>
        <w:jc w:val="both"/>
        <w:rPr>
          <w:rFonts w:ascii="Arial" w:hAnsi="Arial" w:cs="Arial"/>
        </w:rPr>
      </w:pPr>
      <w:r w:rsidRPr="00CA4B92">
        <w:rPr>
          <w:rStyle w:val="Strong"/>
          <w:rFonts w:ascii="Arial" w:eastAsiaTheme="majorEastAsia" w:hAnsi="Arial" w:cs="Arial"/>
        </w:rPr>
        <w:lastRenderedPageBreak/>
        <w:t xml:space="preserve">Regulatory Authorities </w:t>
      </w:r>
    </w:p>
    <w:p w14:paraId="4309CCED" w14:textId="77777777" w:rsidR="003D06E6" w:rsidRPr="00CA4B92" w:rsidRDefault="003D06E6" w:rsidP="00537925">
      <w:pPr>
        <w:pStyle w:val="NormalWeb"/>
        <w:jc w:val="both"/>
        <w:rPr>
          <w:rFonts w:ascii="Arial" w:hAnsi="Arial" w:cs="Arial"/>
        </w:rPr>
      </w:pPr>
      <w:r w:rsidRPr="00CA4B92">
        <w:rPr>
          <w:rFonts w:ascii="Arial" w:hAnsi="Arial" w:cs="Arial"/>
        </w:rPr>
        <w:t xml:space="preserve">The Australian telecommunications industry is governed by several key regulatory authorities, each playing a distinct role in ensuring that companies operate fairly, securely, and in the best interests of consumers. The </w:t>
      </w:r>
      <w:r w:rsidRPr="00CA4B92">
        <w:rPr>
          <w:rStyle w:val="Strong"/>
          <w:rFonts w:ascii="Arial" w:eastAsiaTheme="majorEastAsia" w:hAnsi="Arial" w:cs="Arial"/>
        </w:rPr>
        <w:t>Australian Communications and Media Authority (ACMA)</w:t>
      </w:r>
      <w:r w:rsidRPr="00CA4B92">
        <w:rPr>
          <w:rFonts w:ascii="Arial" w:hAnsi="Arial" w:cs="Arial"/>
        </w:rPr>
        <w:t xml:space="preserve"> regulates both telecommunications and broadcasting services, manages spectrum allocation, and enforces compliance with industry standards. ACMA also oversees consumer protections, ensuring that providers like Optus meet minimum service standards and maintain quality in their network operations. For example, ACMA has investigated service disruptions and compliance issues following major outages affecting Optus customers, highlighting its role in maintaining reliable telecommunications infrastructure.</w:t>
      </w:r>
    </w:p>
    <w:p w14:paraId="6A076F25"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Australian Competition and Consumer Commission (ACCC)</w:t>
      </w:r>
      <w:r w:rsidRPr="00CA4B92">
        <w:rPr>
          <w:rFonts w:ascii="Arial" w:hAnsi="Arial" w:cs="Arial"/>
        </w:rPr>
        <w:t xml:space="preserve"> focuses on promoting competition and fair trading in the telecommunications market. It monitors anti-competitive practices and ensures that carriers and service providers comply with consumer protection laws. In the case of Optus, the ACCC has intervened to ensure transparency in pricing and fair treatment of customers, particularly in the competitive landscape where Optus competes with Telstra, TPG, Vodafone, and low-cost MVNOs such as </w:t>
      </w:r>
      <w:proofErr w:type="spellStart"/>
      <w:r w:rsidRPr="00CA4B92">
        <w:rPr>
          <w:rFonts w:ascii="Arial" w:hAnsi="Arial" w:cs="Arial"/>
        </w:rPr>
        <w:t>Lebara</w:t>
      </w:r>
      <w:proofErr w:type="spellEnd"/>
      <w:r w:rsidRPr="00CA4B92">
        <w:rPr>
          <w:rFonts w:ascii="Arial" w:hAnsi="Arial" w:cs="Arial"/>
        </w:rPr>
        <w:t>.</w:t>
      </w:r>
    </w:p>
    <w:p w14:paraId="3A3FD07C"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Attorney-General's Department (AGD)</w:t>
      </w:r>
      <w:r w:rsidRPr="00CA4B92">
        <w:rPr>
          <w:rFonts w:ascii="Arial" w:hAnsi="Arial" w:cs="Arial"/>
        </w:rPr>
        <w:t xml:space="preserve"> is responsible for developing telecommunications-related legislation and policy, especially in areas concerning cybersecurity, privacy, and lawful access to communications. Following the 2022 Optus data breach, the AGD played a central role in introducing the </w:t>
      </w:r>
      <w:r w:rsidRPr="00CA4B92">
        <w:rPr>
          <w:rStyle w:val="Emphasis"/>
          <w:rFonts w:ascii="Arial" w:eastAsiaTheme="majorEastAsia" w:hAnsi="Arial" w:cs="Arial"/>
        </w:rPr>
        <w:t>Cybersecurity Act 2024</w:t>
      </w:r>
      <w:r w:rsidRPr="00CA4B92">
        <w:rPr>
          <w:rFonts w:ascii="Arial" w:hAnsi="Arial" w:cs="Arial"/>
        </w:rPr>
        <w:t>, which sets new requirements for protecting customer data and mitigating future cyber threats.</w:t>
      </w:r>
    </w:p>
    <w:p w14:paraId="3D2DEA0E" w14:textId="77777777" w:rsidR="003D06E6" w:rsidRPr="00CA4B92" w:rsidRDefault="003D06E6" w:rsidP="00537925">
      <w:pPr>
        <w:pStyle w:val="NormalWeb"/>
        <w:jc w:val="both"/>
        <w:rPr>
          <w:rFonts w:ascii="Arial" w:hAnsi="Arial" w:cs="Arial"/>
        </w:rPr>
      </w:pPr>
      <w:r w:rsidRPr="00CA4B92">
        <w:rPr>
          <w:rFonts w:ascii="Arial" w:hAnsi="Arial" w:cs="Arial"/>
        </w:rPr>
        <w:t xml:space="preserve">Law enforcement and national security agencies also play a crucial role. The </w:t>
      </w:r>
      <w:r w:rsidRPr="00CA4B92">
        <w:rPr>
          <w:rStyle w:val="Strong"/>
          <w:rFonts w:ascii="Arial" w:eastAsiaTheme="majorEastAsia" w:hAnsi="Arial" w:cs="Arial"/>
        </w:rPr>
        <w:t>Australian Federal Police (AFP)</w:t>
      </w:r>
      <w:r w:rsidRPr="00CA4B92">
        <w:rPr>
          <w:rFonts w:ascii="Arial" w:hAnsi="Arial" w:cs="Arial"/>
        </w:rPr>
        <w:t xml:space="preserve"> investigates and enforces federal laws relating to cybercrime, telecommunications fraud, and misuse of infrastructure. Meanwhile, the </w:t>
      </w:r>
      <w:r w:rsidRPr="00CA4B92">
        <w:rPr>
          <w:rStyle w:val="Strong"/>
          <w:rFonts w:ascii="Arial" w:eastAsiaTheme="majorEastAsia" w:hAnsi="Arial" w:cs="Arial"/>
        </w:rPr>
        <w:t>Australian Security Intelligence Organisation (ASIO)</w:t>
      </w:r>
      <w:r w:rsidRPr="00CA4B92">
        <w:rPr>
          <w:rFonts w:ascii="Arial" w:hAnsi="Arial" w:cs="Arial"/>
        </w:rPr>
        <w:t xml:space="preserve"> monitors national security threats that exploit telecommunications networks, including espionage, terrorism, and sophisticated cyber-attacks. The Optus breach highlighted the importance of collaboration with these agencies to respond quickly to security incidents and protect sensitive information.</w:t>
      </w:r>
    </w:p>
    <w:p w14:paraId="3A84238C" w14:textId="466BD465" w:rsidR="00261CDC" w:rsidRPr="00CA4B92" w:rsidRDefault="003D06E6" w:rsidP="00537925">
      <w:pPr>
        <w:pStyle w:val="NormalWeb"/>
        <w:jc w:val="both"/>
        <w:rPr>
          <w:rFonts w:ascii="Arial" w:hAnsi="Arial" w:cs="Arial"/>
        </w:rPr>
      </w:pPr>
      <w:r w:rsidRPr="00CA4B92">
        <w:rPr>
          <w:rFonts w:ascii="Arial" w:hAnsi="Arial" w:cs="Arial"/>
        </w:rPr>
        <w:t xml:space="preserve">Finally, the </w:t>
      </w:r>
      <w:r w:rsidRPr="00CA4B92">
        <w:rPr>
          <w:rStyle w:val="Strong"/>
          <w:rFonts w:ascii="Arial" w:eastAsiaTheme="majorEastAsia" w:hAnsi="Arial" w:cs="Arial"/>
        </w:rPr>
        <w:t>Office of the Australian Information Commissioner (OAIC)</w:t>
      </w:r>
      <w:r w:rsidRPr="00CA4B92">
        <w:rPr>
          <w:rFonts w:ascii="Arial" w:hAnsi="Arial" w:cs="Arial"/>
        </w:rPr>
        <w:t xml:space="preserve"> oversees privacy and data protection in the telecommunications sector. It ensures compliance with the </w:t>
      </w:r>
      <w:r w:rsidRPr="00CA4B92">
        <w:rPr>
          <w:rStyle w:val="Emphasis"/>
          <w:rFonts w:ascii="Arial" w:eastAsiaTheme="majorEastAsia" w:hAnsi="Arial" w:cs="Arial"/>
        </w:rPr>
        <w:t>Privacy Act 1988</w:t>
      </w:r>
      <w:r w:rsidRPr="00CA4B92">
        <w:rPr>
          <w:rFonts w:ascii="Arial" w:hAnsi="Arial" w:cs="Arial"/>
        </w:rPr>
        <w:t xml:space="preserve"> and handles complaints regarding personal information. Following the Optus data breach, the OAIC worked closely with the company to address the incident, enforce regulatory obligations, and improve customer notifications and data security practices.</w:t>
      </w:r>
    </w:p>
    <w:p w14:paraId="2E054680" w14:textId="77777777" w:rsidR="003D06E6" w:rsidRPr="00CA4B92" w:rsidRDefault="003D06E6" w:rsidP="00537925">
      <w:pPr>
        <w:pStyle w:val="NormalWeb"/>
        <w:jc w:val="both"/>
        <w:rPr>
          <w:rFonts w:ascii="Arial" w:hAnsi="Arial" w:cs="Arial"/>
        </w:rPr>
      </w:pPr>
      <w:r w:rsidRPr="00CA4B92">
        <w:rPr>
          <w:rFonts w:ascii="Arial" w:hAnsi="Arial" w:cs="Arial"/>
        </w:rPr>
        <w:t>Together, these regulatory authorities provide a structured and comprehensive framework that governs how telecommunications providers like Optus operate. Their oversight ensures that the industry remains competitive, secure, and accountable, while also protecting the privacy and interests of consumers in an increasingly digital and interconnected world.</w:t>
      </w:r>
    </w:p>
    <w:p w14:paraId="7F0FE4B9" w14:textId="439B6DA9" w:rsidR="00651E97" w:rsidRPr="00CA4B92" w:rsidRDefault="00015CEE" w:rsidP="00537925">
      <w:pPr>
        <w:pStyle w:val="NormalWeb"/>
        <w:jc w:val="both"/>
        <w:rPr>
          <w:rFonts w:ascii="Arial" w:hAnsi="Arial" w:cs="Arial"/>
        </w:rPr>
      </w:pPr>
      <w:r w:rsidRPr="0002740E">
        <w:rPr>
          <w:rFonts w:ascii="Arial" w:hAnsi="Arial" w:cs="Arial"/>
          <w:noProof/>
        </w:rPr>
        <w:lastRenderedPageBreak/>
        <w:drawing>
          <wp:anchor distT="0" distB="0" distL="114300" distR="114300" simplePos="0" relativeHeight="251658240" behindDoc="0" locked="0" layoutInCell="1" allowOverlap="1" wp14:anchorId="504E0EBA" wp14:editId="46D0BA45">
            <wp:simplePos x="0" y="0"/>
            <wp:positionH relativeFrom="column">
              <wp:posOffset>0</wp:posOffset>
            </wp:positionH>
            <wp:positionV relativeFrom="paragraph">
              <wp:posOffset>350520</wp:posOffset>
            </wp:positionV>
            <wp:extent cx="2766060" cy="2783840"/>
            <wp:effectExtent l="0" t="0" r="0" b="0"/>
            <wp:wrapSquare wrapText="bothSides"/>
            <wp:docPr id="1828607676" name="Picture 1" descr="A newspaper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07676" name="Picture 1" descr="A newspaper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766060" cy="2783840"/>
                    </a:xfrm>
                    <a:prstGeom prst="rect">
                      <a:avLst/>
                    </a:prstGeom>
                  </pic:spPr>
                </pic:pic>
              </a:graphicData>
            </a:graphic>
            <wp14:sizeRelH relativeFrom="margin">
              <wp14:pctWidth>0</wp14:pctWidth>
            </wp14:sizeRelH>
            <wp14:sizeRelV relativeFrom="margin">
              <wp14:pctHeight>0</wp14:pctHeight>
            </wp14:sizeRelV>
          </wp:anchor>
        </w:drawing>
      </w:r>
      <w:r w:rsidR="00651E97" w:rsidRPr="00CA4B92">
        <w:rPr>
          <w:rStyle w:val="Strong"/>
          <w:rFonts w:ascii="Arial" w:eastAsiaTheme="majorEastAsia" w:hAnsi="Arial" w:cs="Arial"/>
        </w:rPr>
        <w:t>The Importance of Data Security and Safety</w:t>
      </w:r>
    </w:p>
    <w:p w14:paraId="1FC68266" w14:textId="5C54FDDA" w:rsidR="00651E97" w:rsidRPr="00CA4B92" w:rsidRDefault="00651E97" w:rsidP="00537925">
      <w:pPr>
        <w:pStyle w:val="NormalWeb"/>
        <w:jc w:val="both"/>
        <w:rPr>
          <w:rFonts w:ascii="Arial" w:hAnsi="Arial" w:cs="Arial"/>
        </w:rPr>
      </w:pPr>
      <w:r w:rsidRPr="00CA4B92">
        <w:rPr>
          <w:rFonts w:ascii="Arial" w:hAnsi="Arial" w:cs="Arial"/>
        </w:rPr>
        <w:t>Data security and safety are critical for telecommunications companies, as they handle vast amounts of sensitive personal and business information. For Optus, the 2022 data breach demonstrated the severe consequences that can arise when cybersecurity measures are insufficient. During this incident, attackers accessed personal information of millions of customers, including names, addresses, dates of birth, and in some cases, identification documents. The breach not only exposed customers to identity theft and fraud but also caused significant reputational damage to the company.</w:t>
      </w:r>
    </w:p>
    <w:p w14:paraId="1D8539D4" w14:textId="77777777" w:rsidR="00651E97" w:rsidRPr="00CA4B92" w:rsidRDefault="00651E97" w:rsidP="00537925">
      <w:pPr>
        <w:pStyle w:val="NormalWeb"/>
        <w:jc w:val="both"/>
        <w:rPr>
          <w:rFonts w:ascii="Arial" w:hAnsi="Arial" w:cs="Arial"/>
        </w:rPr>
      </w:pPr>
      <w:r w:rsidRPr="00CA4B92">
        <w:rPr>
          <w:rFonts w:ascii="Arial" w:hAnsi="Arial" w:cs="Arial"/>
        </w:rPr>
        <w:t xml:space="preserve">The Optus case highlights that robust cybersecurity is not just a technical necessity but a strategic imperative. Companies must implement advanced security measures, including network monitoring, encryption, access controls, and regular security audits. Equally important is ensuring that employees are trained in cybersecurity best practices, as human error often contributes to breaches. Following the breach, Optus faced stricter regulatory scrutiny under the </w:t>
      </w:r>
      <w:r w:rsidRPr="00CA4B92">
        <w:rPr>
          <w:rStyle w:val="Strong"/>
          <w:rFonts w:ascii="Arial" w:eastAsiaTheme="majorEastAsia" w:hAnsi="Arial" w:cs="Arial"/>
        </w:rPr>
        <w:t>Cybersecurity Act 2024</w:t>
      </w:r>
      <w:r w:rsidRPr="00CA4B92">
        <w:rPr>
          <w:rFonts w:ascii="Arial" w:hAnsi="Arial" w:cs="Arial"/>
        </w:rPr>
        <w:t>, demonstrating that legal compliance is increasingly linked to effective data protection.</w:t>
      </w:r>
    </w:p>
    <w:p w14:paraId="1B084B64" w14:textId="77777777" w:rsidR="00651E97" w:rsidRPr="00CA4B92" w:rsidRDefault="00651E97" w:rsidP="00537925">
      <w:pPr>
        <w:pStyle w:val="NormalWeb"/>
        <w:jc w:val="both"/>
        <w:rPr>
          <w:rFonts w:ascii="Arial" w:hAnsi="Arial" w:cs="Arial"/>
        </w:rPr>
      </w:pPr>
      <w:r w:rsidRPr="00CA4B92">
        <w:rPr>
          <w:rFonts w:ascii="Arial" w:hAnsi="Arial" w:cs="Arial"/>
        </w:rPr>
        <w:t>Moreover, data security is crucial for maintaining customer trust and confidence. Telecommunications providers like Optus rely on customers sharing sensitive personal information to deliver services. A failure to protect this data can lead to loss of customers, financial penalties, and long-term harm to brand reputation. By investing in cybersecurity and safety measures, Optus can mitigate risks, comply with regulatory requirements, and demonstrate a commitment to protecting customer information, which is essential in a competitive market.</w:t>
      </w:r>
    </w:p>
    <w:p w14:paraId="661F5B49" w14:textId="77777777" w:rsidR="00F92405" w:rsidRPr="00CA4B92" w:rsidRDefault="00F92405" w:rsidP="00537925">
      <w:pPr>
        <w:pStyle w:val="NormalWeb"/>
        <w:jc w:val="both"/>
        <w:rPr>
          <w:rStyle w:val="Strong"/>
          <w:rFonts w:ascii="Arial" w:eastAsiaTheme="majorEastAsia" w:hAnsi="Arial" w:cs="Arial"/>
        </w:rPr>
      </w:pPr>
    </w:p>
    <w:p w14:paraId="35E3FBBA" w14:textId="1724495E"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Licensing Requirements for Optus</w:t>
      </w:r>
    </w:p>
    <w:p w14:paraId="063CDA07" w14:textId="77777777" w:rsidR="00C0243C" w:rsidRPr="00CA4B92" w:rsidRDefault="00C0243C" w:rsidP="00537925">
      <w:pPr>
        <w:pStyle w:val="NormalWeb"/>
        <w:jc w:val="both"/>
        <w:rPr>
          <w:rFonts w:ascii="Arial" w:hAnsi="Arial" w:cs="Arial"/>
        </w:rPr>
      </w:pPr>
      <w:r w:rsidRPr="00CA4B92">
        <w:rPr>
          <w:rFonts w:ascii="Arial" w:hAnsi="Arial" w:cs="Arial"/>
        </w:rPr>
        <w:t xml:space="preserve">Operating as a major telecommunications provider in Australia, Optus is required to comply with a comprehensive set of licensing and regulatory obligations to ensure lawful, reliable, and secure service delivery. Central to these obligations is the </w:t>
      </w:r>
      <w:r w:rsidRPr="00CA4B92">
        <w:rPr>
          <w:rStyle w:val="Strong"/>
          <w:rFonts w:ascii="Arial" w:eastAsiaTheme="majorEastAsia" w:hAnsi="Arial" w:cs="Arial"/>
        </w:rPr>
        <w:t>Carrier Licence</w:t>
      </w:r>
      <w:r w:rsidRPr="00CA4B92">
        <w:rPr>
          <w:rFonts w:ascii="Arial" w:hAnsi="Arial" w:cs="Arial"/>
        </w:rPr>
        <w:t>, which allows Optus to provide carriage services across Australia. This licence ensures that Optus can legally operate its network infrastructure, interconnect with other carriers, and offer a range of telecommunications services to both residential and business customers.</w:t>
      </w:r>
    </w:p>
    <w:p w14:paraId="6784EEA5" w14:textId="77777777" w:rsidR="00C0243C" w:rsidRPr="00CA4B92" w:rsidRDefault="00C0243C" w:rsidP="00537925">
      <w:pPr>
        <w:pStyle w:val="NormalWeb"/>
        <w:jc w:val="both"/>
        <w:rPr>
          <w:rFonts w:ascii="Arial" w:hAnsi="Arial" w:cs="Arial"/>
        </w:rPr>
      </w:pPr>
      <w:r w:rsidRPr="00CA4B92">
        <w:rPr>
          <w:rFonts w:ascii="Arial" w:hAnsi="Arial" w:cs="Arial"/>
        </w:rPr>
        <w:t xml:space="preserve">In addition to the carrier licence, Optus must hold a </w:t>
      </w:r>
      <w:r w:rsidRPr="00CA4B92">
        <w:rPr>
          <w:rStyle w:val="Strong"/>
          <w:rFonts w:ascii="Arial" w:eastAsiaTheme="majorEastAsia" w:hAnsi="Arial" w:cs="Arial"/>
        </w:rPr>
        <w:t>Carriage Service Provider (CSP) Registration</w:t>
      </w:r>
      <w:r w:rsidRPr="00CA4B92">
        <w:rPr>
          <w:rFonts w:ascii="Arial" w:hAnsi="Arial" w:cs="Arial"/>
        </w:rPr>
        <w:t xml:space="preserve">, which formally registers the company as a provider of services such as internet, mobile, and broadband. This registration is essential for regulatory oversight, </w:t>
      </w:r>
      <w:r w:rsidRPr="00CA4B92">
        <w:rPr>
          <w:rFonts w:ascii="Arial" w:hAnsi="Arial" w:cs="Arial"/>
        </w:rPr>
        <w:lastRenderedPageBreak/>
        <w:t>ensuring that Optus adheres to service standards, consumer protections, and reporting obligations.</w:t>
      </w:r>
    </w:p>
    <w:p w14:paraId="71C4214E" w14:textId="77777777" w:rsidR="00C0243C" w:rsidRPr="00CA4B92" w:rsidRDefault="00C0243C" w:rsidP="00537925">
      <w:pPr>
        <w:pStyle w:val="NormalWeb"/>
        <w:jc w:val="both"/>
        <w:rPr>
          <w:rFonts w:ascii="Arial" w:hAnsi="Arial" w:cs="Arial"/>
        </w:rPr>
      </w:pPr>
      <w:r w:rsidRPr="00CA4B92">
        <w:rPr>
          <w:rFonts w:ascii="Arial" w:hAnsi="Arial" w:cs="Arial"/>
        </w:rPr>
        <w:t xml:space="preserve">A </w:t>
      </w:r>
      <w:r w:rsidRPr="00CA4B92">
        <w:rPr>
          <w:rStyle w:val="Strong"/>
          <w:rFonts w:ascii="Arial" w:eastAsiaTheme="majorEastAsia" w:hAnsi="Arial" w:cs="Arial"/>
        </w:rPr>
        <w:t>Spectrum Licence</w:t>
      </w:r>
      <w:r w:rsidRPr="00CA4B92">
        <w:rPr>
          <w:rFonts w:ascii="Arial" w:hAnsi="Arial" w:cs="Arial"/>
        </w:rPr>
        <w:t xml:space="preserve"> is also critical, as it grants Optus the right to use specific frequencies for wireless communications. Efficient spectrum management is necessary to provide mobile and broadband services, particularly in urban areas where demand is high. Complementing this, </w:t>
      </w:r>
      <w:r w:rsidRPr="00CA4B92">
        <w:rPr>
          <w:rStyle w:val="Strong"/>
          <w:rFonts w:ascii="Arial" w:eastAsiaTheme="majorEastAsia" w:hAnsi="Arial" w:cs="Arial"/>
        </w:rPr>
        <w:t>Apparatus Licences</w:t>
      </w:r>
      <w:r w:rsidRPr="00CA4B92">
        <w:rPr>
          <w:rFonts w:ascii="Arial" w:hAnsi="Arial" w:cs="Arial"/>
        </w:rPr>
        <w:t xml:space="preserve"> authorise the operation of specific equipment, such as antennas, base stations, and other transmission infrastructure, ensuring that technical installations comply with regulatory and safety standards.</w:t>
      </w:r>
    </w:p>
    <w:p w14:paraId="0C3EA6B9" w14:textId="77777777"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Numbering Allocations</w:t>
      </w:r>
      <w:r w:rsidRPr="00CA4B92">
        <w:rPr>
          <w:rFonts w:ascii="Arial" w:hAnsi="Arial" w:cs="Arial"/>
        </w:rPr>
        <w:t xml:space="preserve"> are another vital component of Optus’ licensing requirements. These allocations allow the company to assign phone numbers to its customers, facilitating connectivity and interoperability across networks. Furthermore, </w:t>
      </w:r>
      <w:r w:rsidRPr="00CA4B92">
        <w:rPr>
          <w:rStyle w:val="Strong"/>
          <w:rFonts w:ascii="Arial" w:eastAsiaTheme="majorEastAsia" w:hAnsi="Arial" w:cs="Arial"/>
        </w:rPr>
        <w:t>Interception and Access Authorisations</w:t>
      </w:r>
      <w:r w:rsidRPr="00CA4B92">
        <w:rPr>
          <w:rFonts w:ascii="Arial" w:hAnsi="Arial" w:cs="Arial"/>
        </w:rPr>
        <w:t xml:space="preserve"> mandate that Optus complies with lawful interception requirements under the </w:t>
      </w:r>
      <w:r w:rsidRPr="00CA4B92">
        <w:rPr>
          <w:rStyle w:val="Emphasis"/>
          <w:rFonts w:ascii="Arial" w:eastAsiaTheme="majorEastAsia" w:hAnsi="Arial" w:cs="Arial"/>
        </w:rPr>
        <w:t>Telecommunications (Interception and Access) Act 1979</w:t>
      </w:r>
      <w:r w:rsidRPr="00CA4B92">
        <w:rPr>
          <w:rFonts w:ascii="Arial" w:hAnsi="Arial" w:cs="Arial"/>
        </w:rPr>
        <w:t>, enabling law enforcement agencies to access communications when legally authorised, while maintaining strong safeguards for customer privacy.</w:t>
      </w:r>
    </w:p>
    <w:p w14:paraId="5A8EC492" w14:textId="77777777" w:rsidR="00C0243C" w:rsidRPr="00CA4B92" w:rsidRDefault="00C0243C" w:rsidP="00537925">
      <w:pPr>
        <w:pStyle w:val="NormalWeb"/>
        <w:jc w:val="both"/>
        <w:rPr>
          <w:rFonts w:ascii="Arial" w:hAnsi="Arial" w:cs="Arial"/>
        </w:rPr>
      </w:pPr>
      <w:r w:rsidRPr="00CA4B92">
        <w:rPr>
          <w:rFonts w:ascii="Arial" w:hAnsi="Arial" w:cs="Arial"/>
        </w:rPr>
        <w:t xml:space="preserve">Finally, </w:t>
      </w:r>
      <w:r w:rsidRPr="00CA4B92">
        <w:rPr>
          <w:rStyle w:val="Strong"/>
          <w:rFonts w:ascii="Arial" w:eastAsiaTheme="majorEastAsia" w:hAnsi="Arial" w:cs="Arial"/>
        </w:rPr>
        <w:t>Industry Code Compliance</w:t>
      </w:r>
      <w:r w:rsidRPr="00CA4B92">
        <w:rPr>
          <w:rFonts w:ascii="Arial" w:hAnsi="Arial" w:cs="Arial"/>
        </w:rPr>
        <w:t xml:space="preserve"> ensures that Optus adheres to codes developed by regulators such as ACMA and the Telecommunications Industry Ombudsman (TIO). These codes cover consumer protections, service quality, and complaint resolution, requiring Optus to maintain internal processes and reporting systems that uphold high standards of service delivery and accountability.</w:t>
      </w:r>
    </w:p>
    <w:p w14:paraId="32180C2D" w14:textId="77777777" w:rsidR="00C0243C" w:rsidRPr="00CA4B92" w:rsidRDefault="00C0243C" w:rsidP="00537925">
      <w:pPr>
        <w:pStyle w:val="NormalWeb"/>
        <w:jc w:val="both"/>
        <w:rPr>
          <w:rFonts w:ascii="Arial" w:hAnsi="Arial" w:cs="Arial"/>
        </w:rPr>
      </w:pPr>
      <w:r w:rsidRPr="00CA4B92">
        <w:rPr>
          <w:rFonts w:ascii="Arial" w:hAnsi="Arial" w:cs="Arial"/>
        </w:rPr>
        <w:t>Collectively, these licences and regulatory obligations form the foundation for Optus’ operations in Australia. Compliance not only enables the company to deliver a wide range of telecommunications services but also ensures that it operates securely, responsibly, and in alignment with both legal and industry standards. Maintaining these licences is essential for protecting customer trust, supporting network expansion, and sustaining competitiveness in a dynamic telecommunications market.</w:t>
      </w:r>
    </w:p>
    <w:p w14:paraId="44688E1F" w14:textId="77777777" w:rsidR="00C0243C" w:rsidRPr="00CA4B92" w:rsidRDefault="00C0243C" w:rsidP="00537925">
      <w:pPr>
        <w:pStyle w:val="NormalWeb"/>
        <w:jc w:val="both"/>
        <w:rPr>
          <w:rFonts w:ascii="Arial" w:hAnsi="Arial" w:cs="Arial"/>
        </w:rPr>
      </w:pPr>
    </w:p>
    <w:p w14:paraId="74375A9B" w14:textId="03D83A07" w:rsidR="007F04B1" w:rsidRPr="00CA4B92" w:rsidRDefault="007F04B1" w:rsidP="00537925">
      <w:pPr>
        <w:pStyle w:val="NormalWeb"/>
        <w:jc w:val="both"/>
        <w:rPr>
          <w:rFonts w:ascii="Arial" w:hAnsi="Arial" w:cs="Arial"/>
        </w:rPr>
      </w:pPr>
      <w:r w:rsidRPr="00CA4B92">
        <w:rPr>
          <w:rStyle w:val="Strong"/>
          <w:rFonts w:ascii="Arial" w:eastAsiaTheme="majorEastAsia" w:hAnsi="Arial" w:cs="Arial"/>
        </w:rPr>
        <w:t>Rights of Optus as a carrier</w:t>
      </w:r>
    </w:p>
    <w:p w14:paraId="0A9BD729" w14:textId="77777777" w:rsidR="007F04B1" w:rsidRPr="00CA4B92" w:rsidRDefault="007F04B1" w:rsidP="00537925">
      <w:pPr>
        <w:pStyle w:val="NormalWeb"/>
        <w:jc w:val="both"/>
        <w:rPr>
          <w:rFonts w:ascii="Arial" w:hAnsi="Arial" w:cs="Arial"/>
        </w:rPr>
      </w:pPr>
      <w:r w:rsidRPr="00CA4B92">
        <w:rPr>
          <w:rFonts w:ascii="Arial" w:hAnsi="Arial" w:cs="Arial"/>
        </w:rPr>
        <w:t>Telecommunications carriers in Australia, including major providers like Optus, are granted specific legal rights that enable them to build and maintain network infrastructure efficiently. One key right is the ability to enter and inspect land to determine its suitability for a facility. This ensures that carriers can plan network expansions or upgrades, such as installing new fibre-optic lines or mobile antennas, while assessing potential risks to the site.</w:t>
      </w:r>
    </w:p>
    <w:p w14:paraId="1799F446" w14:textId="77777777" w:rsidR="007F04B1" w:rsidRPr="00CA4B92" w:rsidRDefault="007F04B1" w:rsidP="00537925">
      <w:pPr>
        <w:pStyle w:val="NormalWeb"/>
        <w:jc w:val="both"/>
        <w:rPr>
          <w:rFonts w:ascii="Arial" w:hAnsi="Arial" w:cs="Arial"/>
        </w:rPr>
      </w:pPr>
      <w:r w:rsidRPr="00CA4B92">
        <w:rPr>
          <w:rFonts w:ascii="Arial" w:hAnsi="Arial" w:cs="Arial"/>
        </w:rPr>
        <w:t xml:space="preserve">Carriers are also permitted to install "low-impact facilities" without needing state, territory, or local government planning approvals, and often without the landowner’s consent. Defined under the </w:t>
      </w:r>
      <w:r w:rsidRPr="00CA4B92">
        <w:rPr>
          <w:rStyle w:val="Strong"/>
          <w:rFonts w:ascii="Arial" w:eastAsiaTheme="majorEastAsia" w:hAnsi="Arial" w:cs="Arial"/>
        </w:rPr>
        <w:t>Telecommunications (Low-impact Facilities) Determination 2018</w:t>
      </w:r>
      <w:r w:rsidRPr="00CA4B92">
        <w:rPr>
          <w:rFonts w:ascii="Arial" w:hAnsi="Arial" w:cs="Arial"/>
        </w:rPr>
        <w:t xml:space="preserve">, these low-impact facilities include underground cables, pits, small antennae on existing structures, and public payphones. While this right allows Optus to roll out essential services quickly and cost-effectively, it is regulated to protect landowners. Carriers must provide a minimum of ten business days’ written notice to </w:t>
      </w:r>
      <w:r w:rsidRPr="00CA4B92">
        <w:rPr>
          <w:rFonts w:ascii="Arial" w:hAnsi="Arial" w:cs="Arial"/>
        </w:rPr>
        <w:lastRenderedPageBreak/>
        <w:t>landowners and occupiers before commencing work and are obligated to restore the land to its original condition.</w:t>
      </w:r>
    </w:p>
    <w:p w14:paraId="083CD3A3" w14:textId="77777777" w:rsidR="007F04B1" w:rsidRPr="00CA4B92" w:rsidRDefault="007F04B1" w:rsidP="00537925">
      <w:pPr>
        <w:pStyle w:val="NormalWeb"/>
        <w:jc w:val="both"/>
        <w:rPr>
          <w:rFonts w:ascii="Arial" w:hAnsi="Arial" w:cs="Arial"/>
        </w:rPr>
      </w:pPr>
      <w:r w:rsidRPr="00CA4B92">
        <w:rPr>
          <w:rFonts w:ascii="Arial" w:hAnsi="Arial" w:cs="Arial"/>
        </w:rPr>
        <w:t xml:space="preserve">Landowners retain the ability to object to proposed installations on certain grounds, and unresolved disputes can be referred to the </w:t>
      </w:r>
      <w:r w:rsidRPr="00CA4B92">
        <w:rPr>
          <w:rStyle w:val="Strong"/>
          <w:rFonts w:ascii="Arial" w:eastAsiaTheme="majorEastAsia" w:hAnsi="Arial" w:cs="Arial"/>
        </w:rPr>
        <w:t>Telecommunications Industry Ombudsman (TIO)</w:t>
      </w:r>
      <w:r w:rsidRPr="00CA4B92">
        <w:rPr>
          <w:rFonts w:ascii="Arial" w:hAnsi="Arial" w:cs="Arial"/>
        </w:rPr>
        <w:t>. This framework ensures a balance between operational efficiency for carriers like Optus and the rights of the community. For example, Optus has faced occasional objections from property owners during network expansions in urban areas, which required negotiation or TIO involvement to resolve.</w:t>
      </w:r>
    </w:p>
    <w:p w14:paraId="208FBC27" w14:textId="77777777" w:rsidR="007F04B1" w:rsidRPr="00CA4B92" w:rsidRDefault="007F04B1" w:rsidP="00537925">
      <w:pPr>
        <w:pStyle w:val="NormalWeb"/>
        <w:jc w:val="both"/>
        <w:rPr>
          <w:rFonts w:ascii="Arial" w:hAnsi="Arial" w:cs="Arial"/>
        </w:rPr>
      </w:pPr>
      <w:r w:rsidRPr="00CA4B92">
        <w:rPr>
          <w:rFonts w:ascii="Arial" w:hAnsi="Arial" w:cs="Arial"/>
        </w:rPr>
        <w:t>Additionally, carriers have the right to access land without prior notice in emergencies to protect health, safety, property, or to maintain adequate service levels. This provision is critical for Optus to respond to service disruptions, natural disasters, or network failures, ensuring minimal downtime for customers. However, such emergency access must still respect privacy and safety considerations, and mismanagement could lead to reputational or legal issues.</w:t>
      </w:r>
    </w:p>
    <w:p w14:paraId="4531F6E4" w14:textId="77777777" w:rsidR="007F04B1" w:rsidRPr="00CA4B92" w:rsidRDefault="007F04B1" w:rsidP="00537925">
      <w:pPr>
        <w:pStyle w:val="NormalWeb"/>
        <w:jc w:val="both"/>
        <w:rPr>
          <w:rFonts w:ascii="Arial" w:hAnsi="Arial" w:cs="Arial"/>
        </w:rPr>
      </w:pPr>
      <w:r w:rsidRPr="00CA4B92">
        <w:rPr>
          <w:rFonts w:ascii="Arial" w:hAnsi="Arial" w:cs="Arial"/>
        </w:rPr>
        <w:t>Overall, these legal rights allow Optus to efficiently manage and expand its network infrastructure, while the regulatory safeguards ensure that landowners’ rights and public interests are respected. Maintaining this balance is essential for Optus to deliver reliable telecommunications services and uphold consumer trust.</w:t>
      </w:r>
    </w:p>
    <w:p w14:paraId="335C0C90" w14:textId="77777777" w:rsidR="00893C2C" w:rsidRPr="00CA4B92" w:rsidRDefault="00893C2C" w:rsidP="00537925">
      <w:pPr>
        <w:jc w:val="both"/>
        <w:rPr>
          <w:rFonts w:ascii="Arial" w:hAnsi="Arial" w:cs="Arial"/>
          <w:b/>
          <w:bCs/>
        </w:rPr>
      </w:pPr>
    </w:p>
    <w:p w14:paraId="247FD7F9" w14:textId="77777777" w:rsidR="00893C2C" w:rsidRPr="00CA4B92" w:rsidRDefault="00893C2C" w:rsidP="00537925">
      <w:pPr>
        <w:jc w:val="both"/>
        <w:rPr>
          <w:rFonts w:ascii="Arial" w:hAnsi="Arial" w:cs="Arial"/>
        </w:rPr>
      </w:pPr>
      <w:r w:rsidRPr="00CA4B92">
        <w:rPr>
          <w:rFonts w:ascii="Arial" w:hAnsi="Arial" w:cs="Arial"/>
          <w:b/>
          <w:bCs/>
        </w:rPr>
        <w:t>Australian economic conditions:</w:t>
      </w:r>
    </w:p>
    <w:p w14:paraId="4B63D5DF" w14:textId="10B1215C" w:rsidR="00893C2C" w:rsidRPr="00CA4B92" w:rsidRDefault="007F04B1" w:rsidP="00537925">
      <w:pPr>
        <w:jc w:val="both"/>
        <w:rPr>
          <w:rFonts w:ascii="Arial" w:hAnsi="Arial" w:cs="Arial"/>
          <w:color w:val="000000" w:themeColor="text1"/>
        </w:rPr>
      </w:pPr>
      <w:r w:rsidRPr="00CA4B92">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438C8569" w14:textId="77777777" w:rsidR="007F04B1" w:rsidRPr="00CA4B92" w:rsidRDefault="007F04B1" w:rsidP="00537925">
      <w:pPr>
        <w:jc w:val="both"/>
        <w:rPr>
          <w:rFonts w:ascii="Arial" w:hAnsi="Arial" w:cs="Arial"/>
          <w:color w:val="000000" w:themeColor="text1"/>
        </w:rPr>
      </w:pPr>
    </w:p>
    <w:p w14:paraId="266C2E59" w14:textId="77777777" w:rsidR="007F04B1" w:rsidRPr="00CA4B92" w:rsidRDefault="007F04B1" w:rsidP="00537925">
      <w:pPr>
        <w:spacing w:after="0" w:line="240" w:lineRule="auto"/>
        <w:jc w:val="both"/>
        <w:rPr>
          <w:rFonts w:ascii="Arial" w:eastAsia="Noto Serif CJK SC" w:hAnsi="Arial" w:cs="Arial"/>
          <w:color w:val="000000"/>
          <w:kern w:val="0"/>
          <w:lang w:eastAsia="zh-CN" w:bidi="hi-IN"/>
          <w14:ligatures w14:val="none"/>
        </w:rPr>
      </w:pPr>
    </w:p>
    <w:p w14:paraId="6C3F5C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Australia’s economic performance in the March quarter of 2025 demonstrates a complex mix of supporting and detracting factors, shaping the environment in which </w:t>
      </w:r>
      <w:r w:rsidRPr="00CA4B92">
        <w:rPr>
          <w:rFonts w:ascii="Arial" w:hAnsi="Arial" w:cs="Arial"/>
          <w:color w:val="000000" w:themeColor="text1"/>
        </w:rPr>
        <w:lastRenderedPageBreak/>
        <w:t>businesses such as Optus operate. Household consumption increased by 0.4%, driven largely by essential spending on electricity, gas, and food, alongside recreation and cultural activities. Private investment also contributed positively, rising by 0.7%, supported by dwelling investment (+2.6%) and non-dwelling construction (+1.3%), particularly in mining and electricity projects. Additional growth was observed in changes in inventories (+0.1ppt), with build-ups in mining, manufacturing sectors such as gold, steel, and alumina, and activity from certain public authorities. Non-mining industries also showed strength, with the Construction, Information Media &amp; Telecommunications sector expanding by 2.1%, and Administrative &amp; Support Services by 1.9%. The Agriculture, Forestry &amp; Fishing sector grew by 4.3%, bolstered by strong overseas demand for livestock. Compensation of employees rose by 1.5%, reflecting wage growth across both private and public sectors, which in turn boosted household incomes. Furthermore, the household saving ratio increased to 5.2%, indicating that disposable incomes were relatively strong compared to consumption levels.</w:t>
      </w:r>
    </w:p>
    <w:p w14:paraId="55B9D1F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Despite these supporting factors, several elements detracted from economic growth. Public sector activity, particularly public investment, fell by 2.0%, detracting 0.1 percentage points from overall growth, as major projects were delayed or completed, and government consumption remained flat. Net trade also negatively impacted growth (–0.1ppt), with exports declining by 0.8% while imports fell by 0.4%. The decrease in services exports, which fell 3.0%, was influenced by lower student arrivals and weaker spending. Mining output contracted by 2.0% due to severe weather events that disrupted production and exports of coal, iron ore, and oil and gas. Broader weather-related impacts also affected tourism, shipping, and crop planting. Household discretionary spending was relatively weak (+0.3%), softer than in the preceding strong quarter, and falling public sector contributions followed nine consecutive quarters of government consumption growth.</w:t>
      </w:r>
    </w:p>
    <w:p w14:paraId="54B869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Key economic indicators for the quarter reflect this mixed performance. Real GDP grew by 0.2% quarter-on-quarter and 1.3% year-on-year, while nominal GDP rose 1.4% quarter-on-quarter. Terms of trade showed a modest increase of 0.1%, and the household saving ratio reached 5.2%, up from 3.9% previously. Household consumption increased by 0.4%, private investment by 0.7%, and public investment declined by 2.0%. Exports fell by 0.8%, imports by 0.4%, and compensation of employees rose by 1.5%. The unemployment rate remained relatively low at approximately 4.1%.</w:t>
      </w:r>
    </w:p>
    <w:p w14:paraId="34D6679E" w14:textId="191E250F" w:rsidR="007F04B1" w:rsidRPr="00CA4B92" w:rsidRDefault="00FC6F74" w:rsidP="00537925">
      <w:pPr>
        <w:jc w:val="both"/>
        <w:rPr>
          <w:rFonts w:ascii="Arial" w:hAnsi="Arial" w:cs="Arial"/>
          <w:color w:val="000000" w:themeColor="text1"/>
        </w:rPr>
      </w:pPr>
      <w:r w:rsidRPr="00CA4B92">
        <w:rPr>
          <w:rFonts w:ascii="Arial" w:hAnsi="Arial" w:cs="Arial"/>
          <w:color w:val="000000" w:themeColor="text1"/>
        </w:rPr>
        <w:t>Overall, these economic conditions present both opportunities and challenges for companies like Optus. While steady household consumption and rising wages support demand for essential telecommunications services, factors such as weak discretionary spending, public sector constraints, and inflationary pressures necessitate careful strategic planning. Optus must balance investment in network growth and innovation with cost management and pricing strategies to navigate this environment successfully.</w:t>
      </w:r>
    </w:p>
    <w:p w14:paraId="416CC32C" w14:textId="77777777" w:rsidR="00FC6F74" w:rsidRPr="00CA4B92" w:rsidRDefault="00FC6F74" w:rsidP="00537925">
      <w:pPr>
        <w:jc w:val="both"/>
        <w:rPr>
          <w:rFonts w:ascii="Arial" w:hAnsi="Arial" w:cs="Arial"/>
          <w:lang w:eastAsia="en-AU"/>
        </w:rPr>
      </w:pPr>
      <w:r w:rsidRPr="00CA4B92">
        <w:rPr>
          <w:rFonts w:ascii="Arial" w:hAnsi="Arial" w:cs="Arial"/>
          <w:lang w:eastAsia="en-AU"/>
        </w:rPr>
        <w:lastRenderedPageBreak/>
        <w:t>Key economic indicators (March quarter 2025)</w:t>
      </w:r>
    </w:p>
    <w:p w14:paraId="048840BC"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(q/q):</w:t>
      </w:r>
      <w:r w:rsidRPr="00CA4B92">
        <w:rPr>
          <w:rFonts w:ascii="Arial" w:eastAsia="Times New Roman" w:hAnsi="Arial" w:cs="Arial"/>
          <w:noProof w:val="0"/>
          <w:color w:val="000000"/>
          <w:kern w:val="0"/>
          <w:lang w:eastAsia="en-AU"/>
          <w14:ligatures w14:val="none"/>
        </w:rPr>
        <w:t xml:space="preserve"> +0.2%</w:t>
      </w:r>
    </w:p>
    <w:p w14:paraId="7A2826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(y/y):</w:t>
      </w:r>
      <w:r w:rsidRPr="00CA4B92">
        <w:rPr>
          <w:rFonts w:ascii="Arial" w:eastAsia="Times New Roman" w:hAnsi="Arial" w:cs="Arial"/>
          <w:noProof w:val="0"/>
          <w:color w:val="000000"/>
          <w:kern w:val="0"/>
          <w:lang w:eastAsia="en-AU"/>
          <w14:ligatures w14:val="none"/>
        </w:rPr>
        <w:t xml:space="preserve"> +1.3%</w:t>
      </w:r>
    </w:p>
    <w:p w14:paraId="7151D559"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Nominal GDP growth (q/q):</w:t>
      </w:r>
      <w:r w:rsidRPr="00CA4B92">
        <w:rPr>
          <w:rFonts w:ascii="Arial" w:eastAsia="Times New Roman" w:hAnsi="Arial" w:cs="Arial"/>
          <w:noProof w:val="0"/>
          <w:color w:val="000000"/>
          <w:kern w:val="0"/>
          <w:lang w:eastAsia="en-AU"/>
          <w14:ligatures w14:val="none"/>
        </w:rPr>
        <w:t xml:space="preserve"> +1.4%</w:t>
      </w:r>
    </w:p>
    <w:p w14:paraId="6B72A9E5"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Terms of trade:</w:t>
      </w:r>
      <w:r w:rsidRPr="00CA4B92">
        <w:rPr>
          <w:rFonts w:ascii="Arial" w:eastAsia="Times New Roman" w:hAnsi="Arial" w:cs="Arial"/>
          <w:noProof w:val="0"/>
          <w:color w:val="000000"/>
          <w:kern w:val="0"/>
          <w:lang w:eastAsia="en-AU"/>
          <w14:ligatures w14:val="none"/>
        </w:rPr>
        <w:t xml:space="preserve"> +0.1%</w:t>
      </w:r>
    </w:p>
    <w:p w14:paraId="28ECAC0E"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Household saving ratio:</w:t>
      </w:r>
      <w:r w:rsidRPr="00CA4B92">
        <w:rPr>
          <w:rFonts w:ascii="Arial" w:eastAsia="Times New Roman" w:hAnsi="Arial" w:cs="Arial"/>
          <w:noProof w:val="0"/>
          <w:color w:val="000000"/>
          <w:kern w:val="0"/>
          <w:lang w:eastAsia="en-AU"/>
          <w14:ligatures w14:val="none"/>
        </w:rPr>
        <w:t xml:space="preserve"> 5.2% (up from 3.9%)</w:t>
      </w:r>
    </w:p>
    <w:p w14:paraId="1A9164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Household consumption:</w:t>
      </w:r>
      <w:r w:rsidRPr="00CA4B92">
        <w:rPr>
          <w:rFonts w:ascii="Arial" w:eastAsia="Times New Roman" w:hAnsi="Arial" w:cs="Arial"/>
          <w:noProof w:val="0"/>
          <w:color w:val="000000"/>
          <w:kern w:val="0"/>
          <w:lang w:eastAsia="en-AU"/>
          <w14:ligatures w14:val="none"/>
        </w:rPr>
        <w:t xml:space="preserve"> +0.4%</w:t>
      </w:r>
    </w:p>
    <w:p w14:paraId="56C11E22"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Private investment:</w:t>
      </w:r>
      <w:r w:rsidRPr="00CA4B92">
        <w:rPr>
          <w:rFonts w:ascii="Arial" w:eastAsia="Times New Roman" w:hAnsi="Arial" w:cs="Arial"/>
          <w:noProof w:val="0"/>
          <w:color w:val="000000"/>
          <w:kern w:val="0"/>
          <w:lang w:eastAsia="en-AU"/>
          <w14:ligatures w14:val="none"/>
        </w:rPr>
        <w:t xml:space="preserve"> +0.7%</w:t>
      </w:r>
    </w:p>
    <w:p w14:paraId="49ADE17B"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Public investment:</w:t>
      </w:r>
      <w:r w:rsidRPr="00CA4B92">
        <w:rPr>
          <w:rFonts w:ascii="Arial" w:eastAsia="Times New Roman" w:hAnsi="Arial" w:cs="Arial"/>
          <w:noProof w:val="0"/>
          <w:color w:val="000000"/>
          <w:kern w:val="0"/>
          <w:lang w:eastAsia="en-AU"/>
          <w14:ligatures w14:val="none"/>
        </w:rPr>
        <w:t xml:space="preserve"> –2.0%</w:t>
      </w:r>
    </w:p>
    <w:p w14:paraId="2EB01170"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Exports:</w:t>
      </w:r>
      <w:r w:rsidRPr="00CA4B92">
        <w:rPr>
          <w:rFonts w:ascii="Arial" w:eastAsia="Times New Roman" w:hAnsi="Arial" w:cs="Arial"/>
          <w:noProof w:val="0"/>
          <w:color w:val="000000"/>
          <w:kern w:val="0"/>
          <w:lang w:eastAsia="en-AU"/>
          <w14:ligatures w14:val="none"/>
        </w:rPr>
        <w:t xml:space="preserve"> –0.8%</w:t>
      </w:r>
    </w:p>
    <w:p w14:paraId="3399C2C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Imports:</w:t>
      </w:r>
      <w:r w:rsidRPr="00CA4B92">
        <w:rPr>
          <w:rFonts w:ascii="Arial" w:eastAsia="Times New Roman" w:hAnsi="Arial" w:cs="Arial"/>
          <w:noProof w:val="0"/>
          <w:color w:val="000000"/>
          <w:kern w:val="0"/>
          <w:lang w:eastAsia="en-AU"/>
          <w14:ligatures w14:val="none"/>
        </w:rPr>
        <w:t xml:space="preserve"> –0.4%</w:t>
      </w:r>
    </w:p>
    <w:p w14:paraId="2CD295B4"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Compensation of employees:</w:t>
      </w:r>
      <w:r w:rsidRPr="00CA4B92">
        <w:rPr>
          <w:rFonts w:ascii="Arial" w:eastAsia="Times New Roman" w:hAnsi="Arial" w:cs="Arial"/>
          <w:noProof w:val="0"/>
          <w:color w:val="000000"/>
          <w:kern w:val="0"/>
          <w:lang w:eastAsia="en-AU"/>
          <w14:ligatures w14:val="none"/>
        </w:rPr>
        <w:t xml:space="preserve"> +1.5%</w:t>
      </w:r>
    </w:p>
    <w:p w14:paraId="25C5D776"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Unemployment rate:</w:t>
      </w:r>
      <w:r w:rsidRPr="00CA4B92">
        <w:rPr>
          <w:rFonts w:ascii="Arial" w:eastAsia="Times New Roman" w:hAnsi="Arial" w:cs="Arial"/>
          <w:noProof w:val="0"/>
          <w:color w:val="000000"/>
          <w:kern w:val="0"/>
          <w:lang w:eastAsia="en-AU"/>
          <w14:ligatures w14:val="none"/>
        </w:rPr>
        <w:t xml:space="preserve"> ~4.1%</w:t>
      </w:r>
    </w:p>
    <w:p w14:paraId="207DE6C4" w14:textId="30B18952" w:rsidR="00FC6F74" w:rsidRPr="00CA4B92" w:rsidRDefault="00FC6F74" w:rsidP="00537925">
      <w:pPr>
        <w:jc w:val="both"/>
        <w:rPr>
          <w:rFonts w:ascii="Arial" w:hAnsi="Arial" w:cs="Arial"/>
          <w:color w:val="000000" w:themeColor="text1"/>
        </w:rPr>
      </w:pPr>
    </w:p>
    <w:p w14:paraId="3FE41E5C" w14:textId="77777777" w:rsidR="00FC6F74" w:rsidRPr="00CA4B92" w:rsidRDefault="00FC6F74" w:rsidP="00537925">
      <w:pPr>
        <w:jc w:val="both"/>
        <w:rPr>
          <w:rFonts w:ascii="Arial" w:hAnsi="Arial" w:cs="Arial"/>
          <w:color w:val="000000" w:themeColor="text1"/>
        </w:rPr>
      </w:pPr>
      <w:r w:rsidRPr="00CA4B92">
        <w:rPr>
          <w:rFonts w:ascii="Arial" w:hAnsi="Arial" w:cs="Arial"/>
          <w:b/>
          <w:bCs/>
          <w:color w:val="000000" w:themeColor="text1"/>
        </w:rPr>
        <w:t>Economic Conditions and Their Impact on Optus’ Growth and Planning</w:t>
      </w:r>
    </w:p>
    <w:p w14:paraId="2D6D8810"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The current economic conditions in Australia will have a significant influence on the growth and strategic planning of Optus. Household consumption remains steady for essential services such as electricity, gas, and food, while discretionary spending has softened. For Optus, this translates into consistent demand for essential telecommunications services, including mobile, internet, and broadband. However, the uptake of premium offerings, such as 5G add-ons, entertainment bundles, and higher-tier plans, may slow as households prioritise their budgets. To address this, Optus should consider competitive pricing strategies, bundled deals, and targeted promotions to maintain market share and encourage upgrades despite cautious consumer spending.</w:t>
      </w:r>
    </w:p>
    <w:p w14:paraId="5E09A31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Labour market dynamics also affect Optus’ operational planning. With unemployment at 4.1% and wages rising by 1.5%, the company faces higher costs for technical staff and customer service personnel. This economic pressure may incentivise Optus to accelerate automation, adopt AI-driven customer support solutions, and explore outsourcing options to manage labour expenses efficiently. Such measures can help maintain service quality while controlling operational costs in a rising-cost environment.</w:t>
      </w:r>
    </w:p>
    <w:p w14:paraId="32C22B3B"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Household saving and disposable income levels further shape demand for telecommunications products. The rise in the household saving ratio to 5.2% indicates that some Australians are building financial buffers, yet remain cautious in their spending. This could slow consumer willingness to upgrade devices or switch to higher-value plans. Optus can respond by designing flexible plans and offering value-added bundles that appeal to cost-conscious customers, reinforcing loyalty while encouraging gradual uptake of premium services.</w:t>
      </w:r>
    </w:p>
    <w:p w14:paraId="5E013EAA"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Inflationary pressures, including higher fuel, rent, and energy costs, impact both consumers and Optus’ operating expenses, from retail outlets to data centres and </w:t>
      </w:r>
      <w:r w:rsidRPr="00CA4B92">
        <w:rPr>
          <w:rFonts w:ascii="Arial" w:hAnsi="Arial" w:cs="Arial"/>
          <w:color w:val="000000" w:themeColor="text1"/>
        </w:rPr>
        <w:lastRenderedPageBreak/>
        <w:t>logistics. In this context, Optus must carefully balance the need to raise prices to protect margins with the imperative to remain affordable in a competitive market. By strategically investing in network expansion, optimising cost structures, and leveraging marketing initiatives to highlight the value of its services, Optus can navigate economic challenges, sustain growth, and strengthen its position against competitors such as Telstra, TPG/Vodafone, and low-cost MVNOs like Lebara.</w:t>
      </w:r>
    </w:p>
    <w:p w14:paraId="1B009EEE" w14:textId="77777777" w:rsidR="006E3AE2" w:rsidRPr="00CA4B92" w:rsidRDefault="006E3AE2" w:rsidP="00537925">
      <w:pPr>
        <w:jc w:val="both"/>
        <w:rPr>
          <w:rFonts w:ascii="Arial" w:hAnsi="Arial" w:cs="Arial"/>
          <w:color w:val="000000" w:themeColor="text1"/>
        </w:rPr>
      </w:pPr>
    </w:p>
    <w:p w14:paraId="32CCAA35" w14:textId="12805124" w:rsidR="006E3AE2" w:rsidRPr="00CA4B92" w:rsidRDefault="006E3AE2" w:rsidP="00537925">
      <w:pPr>
        <w:jc w:val="both"/>
        <w:rPr>
          <w:rFonts w:ascii="Arial" w:hAnsi="Arial" w:cs="Arial"/>
          <w:color w:val="000000" w:themeColor="text1"/>
        </w:rPr>
      </w:pPr>
      <w:r w:rsidRPr="00CA4B92">
        <w:rPr>
          <w:rFonts w:ascii="Arial" w:hAnsi="Arial" w:cs="Arial"/>
          <w:color w:val="000000" w:themeColor="text1"/>
        </w:rPr>
        <w:drawing>
          <wp:inline distT="0" distB="0" distL="0" distR="0" wp14:anchorId="07DC525A" wp14:editId="1D8F035A">
            <wp:extent cx="6400800" cy="5276850"/>
            <wp:effectExtent l="0" t="0" r="0" b="0"/>
            <wp:docPr id="1377786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276850"/>
                    </a:xfrm>
                    <a:prstGeom prst="rect">
                      <a:avLst/>
                    </a:prstGeom>
                    <a:noFill/>
                  </pic:spPr>
                </pic:pic>
              </a:graphicData>
            </a:graphic>
          </wp:inline>
        </w:drawing>
      </w:r>
    </w:p>
    <w:p w14:paraId="49ABE89B" w14:textId="77777777" w:rsidR="00FC6F74" w:rsidRPr="00CA4B92" w:rsidRDefault="00FC6F74" w:rsidP="00537925">
      <w:pPr>
        <w:jc w:val="both"/>
        <w:rPr>
          <w:rFonts w:ascii="Arial" w:hAnsi="Arial" w:cs="Arial"/>
          <w:color w:val="000000" w:themeColor="text1"/>
        </w:rPr>
      </w:pPr>
    </w:p>
    <w:p w14:paraId="2078EB81" w14:textId="62E01114" w:rsidR="00893C2C" w:rsidRPr="00CA4B92" w:rsidRDefault="00893C2C" w:rsidP="00537925">
      <w:pPr>
        <w:jc w:val="both"/>
        <w:rPr>
          <w:rFonts w:ascii="Arial" w:hAnsi="Arial" w:cs="Arial"/>
          <w:b/>
          <w:bCs/>
        </w:rPr>
      </w:pPr>
      <w:r w:rsidRPr="00CA4B92">
        <w:rPr>
          <w:rFonts w:ascii="Arial" w:hAnsi="Arial" w:cs="Arial"/>
          <w:b/>
          <w:bCs/>
        </w:rPr>
        <w:t>Political influences</w:t>
      </w:r>
    </w:p>
    <w:p w14:paraId="74F51949" w14:textId="77777777" w:rsidR="00495A72" w:rsidRPr="00CA4B92" w:rsidRDefault="00495A72" w:rsidP="00537925">
      <w:pPr>
        <w:pStyle w:val="NormalWeb"/>
        <w:jc w:val="both"/>
        <w:rPr>
          <w:rFonts w:ascii="Arial" w:hAnsi="Arial" w:cs="Arial"/>
        </w:rPr>
      </w:pPr>
      <w:r w:rsidRPr="00CA4B92">
        <w:rPr>
          <w:rFonts w:ascii="Arial" w:hAnsi="Arial" w:cs="Arial"/>
        </w:rPr>
        <w:t>The Australian telecommunications sector has undergone significant policy changes in recent years, with major implications for network companies. These changes can be broadly categorised into three areas: cybersecurity, consumer protection, and market competition. Each area reflects the government’s strategic priorities and influences how telecommunications providers operate, invest, and engage with customers.</w:t>
      </w:r>
    </w:p>
    <w:p w14:paraId="79D7F888" w14:textId="77777777" w:rsidR="00495A72" w:rsidRPr="00CA4B92" w:rsidRDefault="00495A72" w:rsidP="00537925">
      <w:pPr>
        <w:pStyle w:val="NormalWeb"/>
        <w:jc w:val="both"/>
        <w:rPr>
          <w:rFonts w:ascii="Arial" w:hAnsi="Arial" w:cs="Arial"/>
        </w:rPr>
      </w:pPr>
      <w:r w:rsidRPr="00CA4B92">
        <w:rPr>
          <w:rFonts w:ascii="Arial" w:hAnsi="Arial" w:cs="Arial"/>
        </w:rPr>
        <w:lastRenderedPageBreak/>
        <w:t xml:space="preserve">Cybersecurity has emerged as a political and regulatory priority. Following large-scale data breaches at companies such as Optus and Medibank between 2022 and 2023, the government introduced the </w:t>
      </w:r>
      <w:r w:rsidRPr="00CA4B92">
        <w:rPr>
          <w:rStyle w:val="Strong"/>
          <w:rFonts w:ascii="Arial" w:eastAsiaTheme="majorEastAsia" w:hAnsi="Arial" w:cs="Arial"/>
        </w:rPr>
        <w:t>Cybersecurity Act 2024</w:t>
      </w:r>
      <w:r w:rsidRPr="00CA4B92">
        <w:rPr>
          <w:rFonts w:ascii="Arial" w:hAnsi="Arial" w:cs="Arial"/>
        </w:rPr>
        <w:t xml:space="preserve">. This legislation requires telecommunications companies to report serious cyber </w:t>
      </w:r>
      <w:proofErr w:type="gramStart"/>
      <w:r w:rsidRPr="00CA4B92">
        <w:rPr>
          <w:rFonts w:ascii="Arial" w:hAnsi="Arial" w:cs="Arial"/>
        </w:rPr>
        <w:t>incidents</w:t>
      </w:r>
      <w:proofErr w:type="gramEnd"/>
      <w:r w:rsidRPr="00CA4B92">
        <w:rPr>
          <w:rFonts w:ascii="Arial" w:hAnsi="Arial" w:cs="Arial"/>
        </w:rPr>
        <w:t xml:space="preserve"> and ransom demands while increasing corporate liability for breaches. The Act also imposes substantial fines for inadequate data protection, creating strong incentives for network providers to invest in advanced security systems, staff training, and robust compliance measures to safeguard customer data.</w:t>
      </w:r>
    </w:p>
    <w:p w14:paraId="6D6672B6" w14:textId="77777777" w:rsidR="00495A72" w:rsidRPr="00CA4B92" w:rsidRDefault="00495A72" w:rsidP="00537925">
      <w:pPr>
        <w:pStyle w:val="NormalWeb"/>
        <w:jc w:val="both"/>
        <w:rPr>
          <w:rFonts w:ascii="Arial" w:hAnsi="Arial" w:cs="Arial"/>
        </w:rPr>
      </w:pPr>
      <w:r w:rsidRPr="00CA4B92">
        <w:rPr>
          <w:rFonts w:ascii="Arial" w:hAnsi="Arial" w:cs="Arial"/>
        </w:rPr>
        <w:t xml:space="preserve">Consumer protection remains another key focus for policymakers. Regulatory bodies, including the </w:t>
      </w:r>
      <w:r w:rsidRPr="00CA4B92">
        <w:rPr>
          <w:rStyle w:val="Strong"/>
          <w:rFonts w:ascii="Arial" w:eastAsiaTheme="majorEastAsia" w:hAnsi="Arial" w:cs="Arial"/>
        </w:rPr>
        <w:t>Australian Competition and Consumer Commission (ACCC)</w:t>
      </w:r>
      <w:r w:rsidRPr="00CA4B92">
        <w:rPr>
          <w:rFonts w:ascii="Arial" w:hAnsi="Arial" w:cs="Arial"/>
        </w:rPr>
        <w:t xml:space="preserve"> and the </w:t>
      </w:r>
      <w:r w:rsidRPr="00CA4B92">
        <w:rPr>
          <w:rStyle w:val="Strong"/>
          <w:rFonts w:ascii="Arial" w:eastAsiaTheme="majorEastAsia" w:hAnsi="Arial" w:cs="Arial"/>
        </w:rPr>
        <w:t>Australian Communications and Media Authority (ACMA)</w:t>
      </w:r>
      <w:r w:rsidRPr="00CA4B92">
        <w:rPr>
          <w:rFonts w:ascii="Arial" w:hAnsi="Arial" w:cs="Arial"/>
        </w:rPr>
        <w:t>, operate under a political mandate to protect citizens from scams, misleading advertising, and unfair sales practices. These agencies have the authority to enforce compliance through significant financial penalties. A notable example is the $100 million fine imposed on Optus for misconduct, demonstrating the seriousness of government oversight in this area. Telecommunications companies must maintain strict compliance frameworks, ensure transparency, and actively manage customer protection measures to maintain trust and avoid reputational damage.</w:t>
      </w:r>
    </w:p>
    <w:p w14:paraId="0E4BB352" w14:textId="77777777" w:rsidR="00495A72" w:rsidRPr="00CA4B92" w:rsidRDefault="00495A72" w:rsidP="00537925">
      <w:pPr>
        <w:pStyle w:val="NormalWeb"/>
        <w:jc w:val="both"/>
        <w:rPr>
          <w:rFonts w:ascii="Arial" w:hAnsi="Arial" w:cs="Arial"/>
        </w:rPr>
      </w:pPr>
      <w:r w:rsidRPr="00CA4B92">
        <w:rPr>
          <w:rFonts w:ascii="Arial" w:hAnsi="Arial" w:cs="Arial"/>
        </w:rPr>
        <w:t xml:space="preserve">Finally, universal access and competition policies have reshaped the telecommunications market. The government’s creation of the </w:t>
      </w:r>
      <w:r w:rsidRPr="00CA4B92">
        <w:rPr>
          <w:rStyle w:val="Strong"/>
          <w:rFonts w:ascii="Arial" w:eastAsiaTheme="majorEastAsia" w:hAnsi="Arial" w:cs="Arial"/>
        </w:rPr>
        <w:t>National Broadband Network (NBN)</w:t>
      </w:r>
      <w:r w:rsidRPr="00CA4B92">
        <w:rPr>
          <w:rFonts w:ascii="Arial" w:hAnsi="Arial" w:cs="Arial"/>
        </w:rPr>
        <w:t>, a publicly owned wholesale provider, ensures that essential internet services are accessible to all Australians. Retail providers must purchase access to NBN infrastructure, fostering competition at the service level rather than relying on control of physical networks. The ACCC complements this framework by regulating access to other operators’ networks, preventing monopolistic behaviour, and ensuring that pricing remains competitive for consumers.</w:t>
      </w:r>
    </w:p>
    <w:p w14:paraId="092B065E" w14:textId="77777777" w:rsidR="00495A72" w:rsidRPr="00CA4B92" w:rsidRDefault="00495A72" w:rsidP="00537925">
      <w:pPr>
        <w:pStyle w:val="NormalWeb"/>
        <w:jc w:val="both"/>
        <w:rPr>
          <w:rFonts w:ascii="Arial" w:hAnsi="Arial" w:cs="Arial"/>
        </w:rPr>
      </w:pPr>
      <w:r w:rsidRPr="00CA4B92">
        <w:rPr>
          <w:rFonts w:ascii="Arial" w:hAnsi="Arial" w:cs="Arial"/>
        </w:rPr>
        <w:t>Together, these policy changes underscore the regulatory and political environment in which Australian telecommunications companies operate. They highlight the importance of robust cybersecurity measures, strong consumer protection practices, and strategic approaches to competition, which collectively shape investment decisions, service delivery, and the long-term sustainability of the sector.</w:t>
      </w:r>
    </w:p>
    <w:p w14:paraId="731005D9" w14:textId="1D945B06" w:rsidR="00495A72" w:rsidRPr="00CA4B92" w:rsidRDefault="00495A72" w:rsidP="00537925">
      <w:pPr>
        <w:jc w:val="both"/>
        <w:rPr>
          <w:rFonts w:ascii="Arial" w:hAnsi="Arial" w:cs="Arial"/>
          <w:b/>
          <w:bCs/>
        </w:rPr>
      </w:pPr>
      <w:r w:rsidRPr="00CA4B92">
        <w:rPr>
          <w:rFonts w:ascii="Arial" w:hAnsi="Arial" w:cs="Arial"/>
          <w:b/>
          <w:bCs/>
        </w:rPr>
        <w:t xml:space="preserve">Political </w:t>
      </w:r>
      <w:r w:rsidR="00537925" w:rsidRPr="00CA4B92">
        <w:rPr>
          <w:rFonts w:ascii="Arial" w:hAnsi="Arial" w:cs="Arial"/>
          <w:b/>
          <w:bCs/>
        </w:rPr>
        <w:t>i</w:t>
      </w:r>
      <w:r w:rsidRPr="00CA4B92">
        <w:rPr>
          <w:rFonts w:ascii="Arial" w:hAnsi="Arial" w:cs="Arial"/>
          <w:b/>
          <w:bCs/>
        </w:rPr>
        <w:t>nfluences</w:t>
      </w:r>
      <w:r w:rsidR="00537925" w:rsidRPr="00CA4B92">
        <w:rPr>
          <w:rFonts w:ascii="Arial" w:hAnsi="Arial" w:cs="Arial"/>
          <w:b/>
          <w:bCs/>
        </w:rPr>
        <w:t xml:space="preserve"> and their impact on Optus</w:t>
      </w:r>
    </w:p>
    <w:p w14:paraId="6AD6FAF0" w14:textId="77777777" w:rsidR="00900094" w:rsidRPr="00CA4B92" w:rsidRDefault="00900094" w:rsidP="00537925">
      <w:pPr>
        <w:pStyle w:val="NormalWeb"/>
        <w:jc w:val="both"/>
        <w:rPr>
          <w:rFonts w:ascii="Arial" w:hAnsi="Arial" w:cs="Arial"/>
        </w:rPr>
      </w:pPr>
      <w:r w:rsidRPr="00CA4B92">
        <w:rPr>
          <w:rFonts w:ascii="Arial" w:hAnsi="Arial" w:cs="Arial"/>
        </w:rPr>
        <w:t>The Australian telecommunications industry is heavily regulated, and recent political developments in areas such as cybersecurity, consumer protection, and market competition have created both challenges and opportunities for Optus. These influences directly affect strategic planning, operational decisions, and investment priorities, making it essential for the company to align its business practices with evolving regulatory expectations.</w:t>
      </w:r>
    </w:p>
    <w:p w14:paraId="5465CBF0" w14:textId="77777777" w:rsidR="00900094" w:rsidRPr="00CA4B92" w:rsidRDefault="00900094" w:rsidP="00537925">
      <w:pPr>
        <w:pStyle w:val="NormalWeb"/>
        <w:jc w:val="both"/>
        <w:rPr>
          <w:rFonts w:ascii="Arial" w:hAnsi="Arial" w:cs="Arial"/>
        </w:rPr>
      </w:pPr>
      <w:r w:rsidRPr="00CA4B92">
        <w:rPr>
          <w:rFonts w:ascii="Arial" w:hAnsi="Arial" w:cs="Arial"/>
        </w:rPr>
        <w:t xml:space="preserve">Cybersecurity has become one of the most significant political influences in recent years. The 2022 Optus data breach, which exposed the personal data of millions of customers, highlighted vulnerabilities in the sector and prompted the introduction of the </w:t>
      </w:r>
      <w:r w:rsidRPr="00CA4B92">
        <w:rPr>
          <w:rStyle w:val="Strong"/>
          <w:rFonts w:ascii="Arial" w:eastAsiaTheme="majorEastAsia" w:hAnsi="Arial" w:cs="Arial"/>
        </w:rPr>
        <w:t>Cybersecurity Act 2024</w:t>
      </w:r>
      <w:r w:rsidRPr="00CA4B92">
        <w:rPr>
          <w:rFonts w:ascii="Arial" w:hAnsi="Arial" w:cs="Arial"/>
        </w:rPr>
        <w:t xml:space="preserve">. This legislation mandates the reporting of serious cyber incidents and ransom demands while increasing corporate liability for breaches. The Act imposes substantial financial penalties for inadequate data protection, compelling </w:t>
      </w:r>
      <w:r w:rsidRPr="00CA4B92">
        <w:rPr>
          <w:rFonts w:ascii="Arial" w:hAnsi="Arial" w:cs="Arial"/>
        </w:rPr>
        <w:lastRenderedPageBreak/>
        <w:t>Optus to invest heavily in advanced security systems, staff training, and compliance frameworks. While these measures increase operating costs, they are strategically necessary: without robust cybersecurity, Optus risks regulatory sanctions, reputational damage, and erosion of consumer trust.</w:t>
      </w:r>
    </w:p>
    <w:p w14:paraId="604D8EAD" w14:textId="77777777" w:rsidR="00900094" w:rsidRPr="00CA4B92" w:rsidRDefault="00900094" w:rsidP="00537925">
      <w:pPr>
        <w:pStyle w:val="NormalWeb"/>
        <w:jc w:val="both"/>
        <w:rPr>
          <w:rFonts w:ascii="Arial" w:hAnsi="Arial" w:cs="Arial"/>
        </w:rPr>
      </w:pPr>
      <w:r w:rsidRPr="00CA4B92">
        <w:rPr>
          <w:rFonts w:ascii="Arial" w:hAnsi="Arial" w:cs="Arial"/>
        </w:rPr>
        <w:t xml:space="preserve">Consumer protection is another area where political influence strongly shapes Optus’ operations. The </w:t>
      </w:r>
      <w:r w:rsidRPr="00CA4B92">
        <w:rPr>
          <w:rStyle w:val="Strong"/>
          <w:rFonts w:ascii="Arial" w:eastAsiaTheme="majorEastAsia" w:hAnsi="Arial" w:cs="Arial"/>
        </w:rPr>
        <w:t>ACCC</w:t>
      </w:r>
      <w:r w:rsidRPr="00CA4B92">
        <w:rPr>
          <w:rFonts w:ascii="Arial" w:hAnsi="Arial" w:cs="Arial"/>
        </w:rPr>
        <w:t xml:space="preserve"> and </w:t>
      </w:r>
      <w:r w:rsidRPr="00CA4B92">
        <w:rPr>
          <w:rStyle w:val="Strong"/>
          <w:rFonts w:ascii="Arial" w:eastAsiaTheme="majorEastAsia" w:hAnsi="Arial" w:cs="Arial"/>
        </w:rPr>
        <w:t>ACMA</w:t>
      </w:r>
      <w:r w:rsidRPr="00CA4B92">
        <w:rPr>
          <w:rFonts w:ascii="Arial" w:hAnsi="Arial" w:cs="Arial"/>
        </w:rPr>
        <w:t xml:space="preserve"> have the authority to regulate advertising, monitor pricing behaviour, and enforce penalties for misconduct. Optus’ $100 million fine for misleading conduct demonstrates the seriousness of compliance expectations. In response, the company must strengthen transparency, enforce internal controls, and implement proactive measures such as scam prevention and fair service delivery. These actions not only ensure regulatory compliance but also support customer confidence, which is critical in a competitive market.</w:t>
      </w:r>
    </w:p>
    <w:p w14:paraId="1A67708C" w14:textId="77777777" w:rsidR="00900094" w:rsidRPr="00CA4B92" w:rsidRDefault="00900094" w:rsidP="00537925">
      <w:pPr>
        <w:pStyle w:val="NormalWeb"/>
        <w:jc w:val="both"/>
        <w:rPr>
          <w:rFonts w:ascii="Arial" w:hAnsi="Arial" w:cs="Arial"/>
        </w:rPr>
      </w:pPr>
      <w:r w:rsidRPr="00CA4B92">
        <w:rPr>
          <w:rFonts w:ascii="Arial" w:hAnsi="Arial" w:cs="Arial"/>
        </w:rPr>
        <w:t xml:space="preserve">Market competition and universal access policies also influence Optus’ strategic positioning. The government’s rollout of the </w:t>
      </w:r>
      <w:r w:rsidRPr="00CA4B92">
        <w:rPr>
          <w:rStyle w:val="Strong"/>
          <w:rFonts w:ascii="Arial" w:eastAsiaTheme="majorEastAsia" w:hAnsi="Arial" w:cs="Arial"/>
        </w:rPr>
        <w:t>National Broadband Network (NBN)</w:t>
      </w:r>
      <w:r w:rsidRPr="00CA4B92">
        <w:rPr>
          <w:rFonts w:ascii="Arial" w:hAnsi="Arial" w:cs="Arial"/>
        </w:rPr>
        <w:t xml:space="preserve"> ensures that high-speed internet is available to all Australians, regardless of location. As a wholesale provider, NBN obliges Optus to purchase access while competing at the retail level. This structural change requires Optus to differentiate through pricing strategies, customer service, and innovative offerings rather than relying on exclusive control of infrastructure. Simultaneously, the ACCC regulates network access to prevent monopolistic behaviour, reinforcing the need for Optus to operate efficiently, competitively, and within a politically influenced market framework.</w:t>
      </w:r>
    </w:p>
    <w:p w14:paraId="0D555B57" w14:textId="77777777" w:rsidR="00900094" w:rsidRPr="00CA4B92" w:rsidRDefault="00900094" w:rsidP="00537925">
      <w:pPr>
        <w:pStyle w:val="NormalWeb"/>
        <w:jc w:val="both"/>
        <w:rPr>
          <w:rFonts w:ascii="Arial" w:hAnsi="Arial" w:cs="Arial"/>
        </w:rPr>
      </w:pPr>
      <w:r w:rsidRPr="00CA4B92">
        <w:rPr>
          <w:rFonts w:ascii="Arial" w:hAnsi="Arial" w:cs="Arial"/>
        </w:rPr>
        <w:t>Overall, political factors in cybersecurity, consumer protection, and competition create both constraints and opportunities for Optus. By investing in advanced security, maintaining rigorous compliance frameworks, and innovating in service delivery and pricing, Optus can mitigate risks associated with rising regulation while strengthening its market position and building long-term consumer trust.</w:t>
      </w:r>
    </w:p>
    <w:p w14:paraId="39037E22" w14:textId="77777777" w:rsidR="00900094" w:rsidRPr="00CA4B92" w:rsidRDefault="00900094" w:rsidP="00537925">
      <w:pPr>
        <w:jc w:val="both"/>
        <w:rPr>
          <w:rFonts w:ascii="Arial" w:hAnsi="Arial" w:cs="Arial"/>
        </w:rPr>
      </w:pPr>
    </w:p>
    <w:p w14:paraId="0FF28031" w14:textId="77777777" w:rsidR="00080865" w:rsidRPr="00CA4B92" w:rsidRDefault="00893C2C" w:rsidP="00537925">
      <w:pPr>
        <w:jc w:val="both"/>
        <w:rPr>
          <w:rFonts w:ascii="Arial" w:hAnsi="Arial" w:cs="Arial"/>
          <w:b/>
          <w:bCs/>
        </w:rPr>
      </w:pPr>
      <w:r w:rsidRPr="00CA4B92">
        <w:rPr>
          <w:rFonts w:ascii="Arial" w:hAnsi="Arial" w:cs="Arial"/>
          <w:b/>
          <w:bCs/>
        </w:rPr>
        <w:t>Issues</w:t>
      </w:r>
    </w:p>
    <w:p w14:paraId="5B63B977" w14:textId="0B1717A3" w:rsidR="00080865" w:rsidRPr="00CA4B92" w:rsidRDefault="00080865" w:rsidP="00537925">
      <w:pPr>
        <w:jc w:val="both"/>
        <w:rPr>
          <w:rFonts w:ascii="Arial" w:hAnsi="Arial" w:cs="Arial"/>
          <w:b/>
          <w:bCs/>
        </w:rPr>
      </w:pPr>
      <w:r w:rsidRPr="00CA4B92">
        <w:rPr>
          <w:rFonts w:ascii="Arial" w:eastAsia="Times New Roman" w:hAnsi="Arial" w:cs="Arial"/>
          <w:noProof w:val="0"/>
          <w:kern w:val="0"/>
          <w:lang w:eastAsia="en-AU"/>
          <w14:ligatures w14:val="none"/>
        </w:rPr>
        <w:t xml:space="preserve">Optus, as one of Australia’s leading telecommunications providers, faces a complex set of challenges that are both operational and strategic. One of the most significant issues is </w:t>
      </w:r>
      <w:r w:rsidRPr="00CA4B92">
        <w:rPr>
          <w:rFonts w:ascii="Arial" w:eastAsia="Times New Roman" w:hAnsi="Arial" w:cs="Arial"/>
          <w:b/>
          <w:bCs/>
          <w:noProof w:val="0"/>
          <w:kern w:val="0"/>
          <w:lang w:eastAsia="en-AU"/>
          <w14:ligatures w14:val="none"/>
        </w:rPr>
        <w:t>data security and cybersecurity</w:t>
      </w:r>
      <w:r w:rsidRPr="00CA4B92">
        <w:rPr>
          <w:rFonts w:ascii="Arial" w:eastAsia="Times New Roman" w:hAnsi="Arial" w:cs="Arial"/>
          <w:noProof w:val="0"/>
          <w:kern w:val="0"/>
          <w:lang w:eastAsia="en-AU"/>
          <w14:ligatures w14:val="none"/>
        </w:rPr>
        <w:t xml:space="preserve">. The 2022 data breach, which exposed the personal information of millions of customers, revealed vulnerabilities in Optus’ systems and processes. This incident not only resulted in reputational damage and loss of customer trust but also triggered stricter regulatory requirements under the </w:t>
      </w:r>
      <w:r w:rsidRPr="00CA4B92">
        <w:rPr>
          <w:rFonts w:ascii="Arial" w:eastAsia="Times New Roman" w:hAnsi="Arial" w:cs="Arial"/>
          <w:b/>
          <w:bCs/>
          <w:noProof w:val="0"/>
          <w:kern w:val="0"/>
          <w:lang w:eastAsia="en-AU"/>
          <w14:ligatures w14:val="none"/>
        </w:rPr>
        <w:t>Cybersecurity Act 2024</w:t>
      </w:r>
      <w:r w:rsidRPr="00CA4B92">
        <w:rPr>
          <w:rFonts w:ascii="Arial" w:eastAsia="Times New Roman" w:hAnsi="Arial" w:cs="Arial"/>
          <w:noProof w:val="0"/>
          <w:kern w:val="0"/>
          <w:lang w:eastAsia="en-AU"/>
          <w14:ligatures w14:val="none"/>
        </w:rPr>
        <w:t>, including mandatory reporting of incidents and increased corporate liability. Moving forward, Optus must continually invest in advanced security infrastructure, staff training, and compliance measures to mitigate the risk of future breaches, which could result in substantial fines or further reputational harm.</w:t>
      </w:r>
    </w:p>
    <w:p w14:paraId="1BCEE845"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Another major challenge is </w:t>
      </w:r>
      <w:r w:rsidRPr="00CA4B92">
        <w:rPr>
          <w:rFonts w:ascii="Arial" w:eastAsia="Times New Roman" w:hAnsi="Arial" w:cs="Arial"/>
          <w:b/>
          <w:bCs/>
          <w:noProof w:val="0"/>
          <w:kern w:val="0"/>
          <w:lang w:eastAsia="en-AU"/>
          <w14:ligatures w14:val="none"/>
        </w:rPr>
        <w:t>regulatory compliance and consumer protection</w:t>
      </w:r>
      <w:r w:rsidRPr="00CA4B92">
        <w:rPr>
          <w:rFonts w:ascii="Arial" w:eastAsia="Times New Roman" w:hAnsi="Arial" w:cs="Arial"/>
          <w:noProof w:val="0"/>
          <w:kern w:val="0"/>
          <w:lang w:eastAsia="en-AU"/>
          <w14:ligatures w14:val="none"/>
        </w:rPr>
        <w:t xml:space="preserve">. Optus operates in a tightly regulated environment overseen by the ACCC and ACMA. Past issues, such as the $100 million fine for misleading conduct, demonstrate that failure to comply with consumer protection laws can have severe financial and </w:t>
      </w:r>
      <w:r w:rsidRPr="00CA4B92">
        <w:rPr>
          <w:rFonts w:ascii="Arial" w:eastAsia="Times New Roman" w:hAnsi="Arial" w:cs="Arial"/>
          <w:noProof w:val="0"/>
          <w:kern w:val="0"/>
          <w:lang w:eastAsia="en-AU"/>
          <w14:ligatures w14:val="none"/>
        </w:rPr>
        <w:lastRenderedPageBreak/>
        <w:t>reputational consequences. In the future, Optus will need to maintain rigorous compliance frameworks, implement proactive measures to prevent scams, and ensure transparency in billing and service delivery to avoid penalties and retain consumer trust.</w:t>
      </w:r>
    </w:p>
    <w:p w14:paraId="6BB150F7"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Economic pressures also pose significant issues. Rising </w:t>
      </w:r>
      <w:r w:rsidRPr="00CA4B92">
        <w:rPr>
          <w:rFonts w:ascii="Arial" w:eastAsia="Times New Roman" w:hAnsi="Arial" w:cs="Arial"/>
          <w:b/>
          <w:bCs/>
          <w:noProof w:val="0"/>
          <w:kern w:val="0"/>
          <w:lang w:eastAsia="en-AU"/>
          <w14:ligatures w14:val="none"/>
        </w:rPr>
        <w:t>inflation, higher operating costs, and cautious household spending</w:t>
      </w:r>
      <w:r w:rsidRPr="00CA4B92">
        <w:rPr>
          <w:rFonts w:ascii="Arial" w:eastAsia="Times New Roman" w:hAnsi="Arial" w:cs="Arial"/>
          <w:noProof w:val="0"/>
          <w:kern w:val="0"/>
          <w:lang w:eastAsia="en-AU"/>
          <w14:ligatures w14:val="none"/>
        </w:rPr>
        <w:t xml:space="preserve"> may affect demand for premium services, such as 5G add-ons and entertainment bundles. While essential telecommunications services remain in steady demand, slower adoption of higher-tier offerings could limit revenue growth. Optus will need to balance pricing strategies carefully, optimise operational efficiency, and consider automation and AI-driven customer support to manage labour costs and sustain profitability.</w:t>
      </w:r>
    </w:p>
    <w:p w14:paraId="0C7C12E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Additionally, </w:t>
      </w:r>
      <w:r w:rsidRPr="00CA4B92">
        <w:rPr>
          <w:rFonts w:ascii="Arial" w:eastAsia="Times New Roman" w:hAnsi="Arial" w:cs="Arial"/>
          <w:b/>
          <w:bCs/>
          <w:noProof w:val="0"/>
          <w:kern w:val="0"/>
          <w:lang w:eastAsia="en-AU"/>
          <w14:ligatures w14:val="none"/>
        </w:rPr>
        <w:t>market competition and network access</w:t>
      </w:r>
      <w:r w:rsidRPr="00CA4B92">
        <w:rPr>
          <w:rFonts w:ascii="Arial" w:eastAsia="Times New Roman" w:hAnsi="Arial" w:cs="Arial"/>
          <w:noProof w:val="0"/>
          <w:kern w:val="0"/>
          <w:lang w:eastAsia="en-AU"/>
          <w14:ligatures w14:val="none"/>
        </w:rPr>
        <w:t xml:space="preserve"> represent ongoing challenges. The rollout of the </w:t>
      </w:r>
      <w:r w:rsidRPr="00CA4B92">
        <w:rPr>
          <w:rFonts w:ascii="Arial" w:eastAsia="Times New Roman" w:hAnsi="Arial" w:cs="Arial"/>
          <w:b/>
          <w:bCs/>
          <w:noProof w:val="0"/>
          <w:kern w:val="0"/>
          <w:lang w:eastAsia="en-AU"/>
          <w14:ligatures w14:val="none"/>
        </w:rPr>
        <w:t>National Broadband Network (NBN)</w:t>
      </w:r>
      <w:r w:rsidRPr="00CA4B92">
        <w:rPr>
          <w:rFonts w:ascii="Arial" w:eastAsia="Times New Roman" w:hAnsi="Arial" w:cs="Arial"/>
          <w:noProof w:val="0"/>
          <w:kern w:val="0"/>
          <w:lang w:eastAsia="en-AU"/>
          <w14:ligatures w14:val="none"/>
        </w:rPr>
        <w:t xml:space="preserve"> has transformed the competitive landscape, requiring Optus to compete at the retail level rather than relying on exclusive infrastructure. The ACCC’s regulation of network access ensures that competitors, including low-cost MVNOs like </w:t>
      </w:r>
      <w:proofErr w:type="spellStart"/>
      <w:r w:rsidRPr="00CA4B92">
        <w:rPr>
          <w:rFonts w:ascii="Arial" w:eastAsia="Times New Roman" w:hAnsi="Arial" w:cs="Arial"/>
          <w:noProof w:val="0"/>
          <w:kern w:val="0"/>
          <w:lang w:eastAsia="en-AU"/>
          <w14:ligatures w14:val="none"/>
        </w:rPr>
        <w:t>Lebara</w:t>
      </w:r>
      <w:proofErr w:type="spellEnd"/>
      <w:r w:rsidRPr="00CA4B92">
        <w:rPr>
          <w:rFonts w:ascii="Arial" w:eastAsia="Times New Roman" w:hAnsi="Arial" w:cs="Arial"/>
          <w:noProof w:val="0"/>
          <w:kern w:val="0"/>
          <w:lang w:eastAsia="en-AU"/>
          <w14:ligatures w14:val="none"/>
        </w:rPr>
        <w:t>, can offer alternative services, intensifying price competition. Future issues may include maintaining differentiation through customer service, innovative products, and strategic investment in network infrastructure while ensuring compliance with evolving market regulations.</w:t>
      </w:r>
    </w:p>
    <w:p w14:paraId="0EED4B6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Finally, Optus faces potential </w:t>
      </w:r>
      <w:r w:rsidRPr="00CA4B92">
        <w:rPr>
          <w:rFonts w:ascii="Arial" w:eastAsia="Times New Roman" w:hAnsi="Arial" w:cs="Arial"/>
          <w:b/>
          <w:bCs/>
          <w:noProof w:val="0"/>
          <w:kern w:val="0"/>
          <w:lang w:eastAsia="en-AU"/>
          <w14:ligatures w14:val="none"/>
        </w:rPr>
        <w:t>operational challenges linked to licensing and infrastructure development</w:t>
      </w:r>
      <w:r w:rsidRPr="00CA4B92">
        <w:rPr>
          <w:rFonts w:ascii="Arial" w:eastAsia="Times New Roman" w:hAnsi="Arial" w:cs="Arial"/>
          <w:noProof w:val="0"/>
          <w:kern w:val="0"/>
          <w:lang w:eastAsia="en-AU"/>
          <w14:ligatures w14:val="none"/>
        </w:rPr>
        <w:t>. Compliance with carrier licences, spectrum allocations, apparatus licences, and lawful interception requirements demands continuous monitoring and investment. Emergency network access and rapid infrastructure deployment, particularly during natural disasters or high-demand periods, must be balanced with privacy and regulatory obligations. Failure to manage these aspects effectively could result in service disruptions, fines, or loss of consumer confidence.</w:t>
      </w:r>
    </w:p>
    <w:p w14:paraId="4071BBEE"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In summary, Optus’ current and future issues span cybersecurity, regulatory compliance, economic pressures, market competition, and operational responsibilities. Addressing these challenges proactively through investment in technology, strong governance, strategic planning, and customer-focused initiatives will be critical to sustaining growth, protecting reputation, and remaining competitive in Australia’s dynamic telecommunications sector.</w:t>
      </w:r>
    </w:p>
    <w:p w14:paraId="47A1F047" w14:textId="5F74C281" w:rsidR="00537925" w:rsidRPr="00CA4B92" w:rsidRDefault="00537925">
      <w:pPr>
        <w:rPr>
          <w:rFonts w:ascii="Arial" w:hAnsi="Arial" w:cs="Arial"/>
        </w:rPr>
      </w:pPr>
      <w:r w:rsidRPr="00CA4B92">
        <w:rPr>
          <w:rFonts w:ascii="Arial" w:hAnsi="Arial" w:cs="Arial"/>
        </w:rPr>
        <w:br w:type="page"/>
      </w:r>
    </w:p>
    <w:p w14:paraId="1E0AEC90" w14:textId="683F5C9C" w:rsidR="00893C2C" w:rsidRPr="00CA4B92" w:rsidRDefault="00D80D80" w:rsidP="00537925">
      <w:pPr>
        <w:jc w:val="both"/>
        <w:rPr>
          <w:rFonts w:ascii="Arial" w:hAnsi="Arial" w:cs="Arial"/>
          <w:b/>
          <w:bCs/>
        </w:rPr>
      </w:pPr>
      <w:r w:rsidRPr="00CA4B92">
        <w:rPr>
          <w:rFonts w:ascii="Arial" w:hAnsi="Arial" w:cs="Arial"/>
          <w:b/>
          <w:bCs/>
        </w:rPr>
        <w:lastRenderedPageBreak/>
        <w:t xml:space="preserve">Conclusions </w:t>
      </w:r>
    </w:p>
    <w:p w14:paraId="47D32E6B" w14:textId="1943D0A3" w:rsidR="00D80D80" w:rsidRPr="00CA4B92" w:rsidRDefault="00080865" w:rsidP="00537925">
      <w:pPr>
        <w:jc w:val="both"/>
        <w:rPr>
          <w:rFonts w:ascii="Arial" w:hAnsi="Arial" w:cs="Arial"/>
        </w:rPr>
      </w:pPr>
      <w:r w:rsidRPr="00CA4B92">
        <w:rPr>
          <w:rFonts w:ascii="Arial" w:hAnsi="Arial" w:cs="Arial"/>
        </w:rPr>
        <w:t>In conclusion, the Australian telecommunications sector presents both opportunities and challenges for Optus, shaped by economic conditions, political influences, and regulatory requirements. Steady demand for essential services provides a solid foundation for growth, yet rising costs, cautious household spending, and intense market competition require careful strategic planning. Political and regulatory factors, including cybersecurity obligations, consumer protection enforcement, and the National Broadband Network framework, necessitate ongoing investment in compliance, infrastructure, and innovative service offerings. By proactively addressing these economic and regulatory pressures—through enhanced cybersecurity measures, cost-effective network investment, competitive pricing, and customer-focused initiatives—Optus can strengthen its market position, maintain consumer trust, and ensure sustainable growth in a dynamic and highly regulated telecommunications environment.</w:t>
      </w:r>
    </w:p>
    <w:p w14:paraId="212B4C3E" w14:textId="77777777" w:rsidR="00080865" w:rsidRPr="00CA4B92" w:rsidRDefault="00080865" w:rsidP="00537925">
      <w:pPr>
        <w:jc w:val="both"/>
        <w:rPr>
          <w:rFonts w:ascii="Arial" w:hAnsi="Arial" w:cs="Arial"/>
        </w:rPr>
      </w:pPr>
    </w:p>
    <w:p w14:paraId="6B88474A" w14:textId="1CB0BEFE" w:rsidR="00080865" w:rsidRPr="00CA4B92" w:rsidRDefault="00080865" w:rsidP="00537925">
      <w:pPr>
        <w:jc w:val="both"/>
        <w:rPr>
          <w:rFonts w:ascii="Arial" w:hAnsi="Arial" w:cs="Arial"/>
          <w:b/>
          <w:bCs/>
        </w:rPr>
      </w:pPr>
      <w:r w:rsidRPr="00CA4B92">
        <w:rPr>
          <w:rFonts w:ascii="Arial" w:hAnsi="Arial" w:cs="Arial"/>
          <w:b/>
          <w:bCs/>
        </w:rPr>
        <w:t>Recommendations</w:t>
      </w:r>
    </w:p>
    <w:p w14:paraId="3A4E1BB4" w14:textId="77777777" w:rsidR="00CA4B92" w:rsidRPr="00CA4B92" w:rsidRDefault="00CA4B92" w:rsidP="00CA4B92">
      <w:pPr>
        <w:pStyle w:val="NormalWeb"/>
        <w:jc w:val="both"/>
        <w:rPr>
          <w:rFonts w:ascii="Arial" w:hAnsi="Arial" w:cs="Arial"/>
        </w:rPr>
      </w:pPr>
      <w:r w:rsidRPr="00CA4B92">
        <w:rPr>
          <w:rFonts w:ascii="Arial" w:hAnsi="Arial" w:cs="Arial"/>
        </w:rPr>
        <w:t>Optus must prioritise robust cybersecurity measures to protect its customers and comply with evolving regulatory requirements. The 2022 data breach highlighted the vulnerabilities inherent in handling sensitive personal information and underscored the importance of proactive security management. To mitigate the risk of future incidents, Optus should continue to invest in advanced cybersecurity systems, implement rigorous internal controls, and provide ongoing staff training. Regular audits and monitoring of security protocols will ensure that vulnerabilities are identified and addressed promptly. Moreover, transparent communication with customers about security initiatives is essential to rebuild trust and reduce reputational risks, which are critical in maintaining long-term competitiveness in the Australian telecommunications market.</w:t>
      </w:r>
    </w:p>
    <w:p w14:paraId="618991D0" w14:textId="77777777" w:rsidR="00CA4B92" w:rsidRPr="00CA4B92" w:rsidRDefault="00CA4B92" w:rsidP="00CA4B92">
      <w:pPr>
        <w:pStyle w:val="NormalWeb"/>
        <w:jc w:val="both"/>
        <w:rPr>
          <w:rFonts w:ascii="Arial" w:hAnsi="Arial" w:cs="Arial"/>
        </w:rPr>
      </w:pPr>
      <w:r w:rsidRPr="00CA4B92">
        <w:rPr>
          <w:rFonts w:ascii="Arial" w:hAnsi="Arial" w:cs="Arial"/>
        </w:rPr>
        <w:t xml:space="preserve">In parallel, Optus should leverage opportunities arising from the </w:t>
      </w:r>
      <w:r w:rsidRPr="00CA4B92">
        <w:rPr>
          <w:rStyle w:val="Strong"/>
          <w:rFonts w:ascii="Arial" w:eastAsiaTheme="majorEastAsia" w:hAnsi="Arial" w:cs="Arial"/>
        </w:rPr>
        <w:t>National Broadband Network (NBN)</w:t>
      </w:r>
      <w:r w:rsidRPr="00CA4B92">
        <w:rPr>
          <w:rFonts w:ascii="Arial" w:hAnsi="Arial" w:cs="Arial"/>
        </w:rPr>
        <w:t xml:space="preserve"> to strengthen its infrastructure and expand service coverage. By strategically accessing NBN wholesale infrastructure, Optus can enhance its service offerings across urban and regional areas while maintaining compliance with market competition regulations. Investment in high-capacity broadband and next-generation network technologies will not only improve customer experience but also provide the company with a competitive advantage in a market where reliable and fast connectivity is increasingly essential. Coordinating NBN infrastructure planning with network expansion initiatives will allow Optus to optimise operational efficiency and deliver consistent, high-quality services to its growing customer base.</w:t>
      </w:r>
    </w:p>
    <w:p w14:paraId="75ABD16B" w14:textId="77777777" w:rsidR="00CA4B92" w:rsidRPr="00CA4B92" w:rsidRDefault="00CA4B92" w:rsidP="00CA4B92">
      <w:pPr>
        <w:pStyle w:val="NormalWeb"/>
        <w:jc w:val="both"/>
        <w:rPr>
          <w:rFonts w:ascii="Arial" w:hAnsi="Arial" w:cs="Arial"/>
        </w:rPr>
      </w:pPr>
      <w:r w:rsidRPr="00CA4B92">
        <w:rPr>
          <w:rFonts w:ascii="Arial" w:hAnsi="Arial" w:cs="Arial"/>
        </w:rPr>
        <w:t>Together, a strong focus on cybersecurity and strategic utilisation of NBN infrastructure will enable Optus to manage regulatory obligations, protect customer trust, and maintain a sustainable competitive position in the rapidly evolving telecommunications sector.</w:t>
      </w:r>
    </w:p>
    <w:p w14:paraId="4F5A6596" w14:textId="77777777" w:rsidR="00080865" w:rsidRPr="00CA4B92" w:rsidRDefault="00080865" w:rsidP="00537925">
      <w:pPr>
        <w:jc w:val="both"/>
        <w:rPr>
          <w:rFonts w:ascii="Arial" w:hAnsi="Arial" w:cs="Arial"/>
          <w:b/>
          <w:bCs/>
        </w:rPr>
      </w:pPr>
    </w:p>
    <w:p w14:paraId="4AD52D14" w14:textId="1E7E2B9D" w:rsidR="00893C2C" w:rsidRPr="00CA4B92" w:rsidRDefault="00893C2C" w:rsidP="00537925">
      <w:pPr>
        <w:jc w:val="both"/>
        <w:rPr>
          <w:rFonts w:ascii="Arial" w:hAnsi="Arial" w:cs="Arial"/>
          <w:b/>
          <w:bCs/>
        </w:rPr>
      </w:pPr>
      <w:r w:rsidRPr="00CA4B92">
        <w:rPr>
          <w:rFonts w:ascii="Arial" w:hAnsi="Arial" w:cs="Arial"/>
          <w:b/>
          <w:bCs/>
        </w:rPr>
        <w:lastRenderedPageBreak/>
        <w:t>References</w:t>
      </w:r>
    </w:p>
    <w:p w14:paraId="58BC061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https://www.dlapiperintelligence.com/telecoms/index.html?t=laws&amp;c=AU</w:t>
      </w:r>
    </w:p>
    <w:p w14:paraId="62F1D70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https://www.infrastructure.gov.au/media-communications-arts/internet/rules-carriers-and-service-providers</w:t>
      </w:r>
    </w:p>
    <w:p w14:paraId="4991EC8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https://www.acma.gov.au/register-licensed-carriers</w:t>
      </w:r>
    </w:p>
    <w:p w14:paraId="5EF99A9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https://www.legislation.gov.au/C2004A05145/latest</w:t>
      </w:r>
    </w:p>
    <w:p w14:paraId="7E2288A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https://www.legislation.gov.au/C2004A00441/latest</w:t>
      </w:r>
    </w:p>
    <w:p w14:paraId="37A4B90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https://www.legislation.gov.au/C2004A02124/latest</w:t>
      </w:r>
    </w:p>
    <w:p w14:paraId="3F7613C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https://www.legislation.gov.au/C2011A00022/latest</w:t>
      </w:r>
    </w:p>
    <w:p w14:paraId="5EC43FD9"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https://www.legislation.gov.au/C2005A00044/latest</w:t>
      </w:r>
    </w:p>
    <w:p w14:paraId="02C68E4E"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https://www.legislation.gov.au/C2004A00109/latest</w:t>
      </w:r>
    </w:p>
    <w:p w14:paraId="6834CDAD" w14:textId="232DB510"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https://www.legislation.gov.au/C2004A04401/latest</w:t>
      </w:r>
    </w:p>
    <w:p w14:paraId="4CC3639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https://www.legislation.gov.au/C2004A04465/latest</w:t>
      </w:r>
    </w:p>
    <w:p w14:paraId="0B369FB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https://www.legislation.gov.au/C2004A03712/latest</w:t>
      </w:r>
    </w:p>
    <w:p w14:paraId="0F4E1723"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https://www.legislation.gov.au/C2021A00076/latest</w:t>
      </w:r>
    </w:p>
    <w:p w14:paraId="70E6CA6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https://www.legislation.gov.au/C2004A04868/latest</w:t>
      </w:r>
    </w:p>
    <w:p w14:paraId="7C944B5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https://www.legislation.gov.au/C2018A00148/latest</w:t>
      </w:r>
    </w:p>
    <w:p w14:paraId="16066E0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https://www.legislation.gov.au/C1968A00063/latest</w:t>
      </w:r>
    </w:p>
    <w:p w14:paraId="7CBBF04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https://www.acma.gov.au/local-councils-and-network-facilities#low-impact</w:t>
      </w:r>
    </w:p>
    <w:p w14:paraId="286F1CE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https://www.dlapiperdataprotection.com/index.html?c=AU</w:t>
      </w:r>
    </w:p>
    <w:p w14:paraId="6D40C5D4" w14:textId="4F86E2DC"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68F24D8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https://www.globalcompliancenews.com/antitrust-and-competition/antitrust-and-competition-laws-in-australia/</w:t>
      </w:r>
    </w:p>
    <w:p w14:paraId="19A47B6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https://www.accc.gov.au/about-us/accc-priorities/compliance-and-enforcement-priorities#:~:text=Accountability%20%E2%80%93%20the%20ACCC's%20decision%2Dmaking,the%20resulting%20or%20potential%20harm.</w:t>
      </w:r>
    </w:p>
    <w:p w14:paraId="7447F3D0"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https://www.acma.gov.au/about-universal-service-obligation</w:t>
      </w:r>
    </w:p>
    <w:p w14:paraId="3FA224C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https://www.telstra.com.au/consumer-advice/customer-service/universal-service-obligation</w:t>
      </w:r>
    </w:p>
    <w:p w14:paraId="57E833E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https://www.lgaq.asn.au/News-and-Media/News-articles/The-Universal-Service-Obligation-History-and-future</w:t>
      </w:r>
    </w:p>
    <w:p w14:paraId="10581EF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https://www.infrastructure.gov.au/media-communications-arts/phone/phone-services/universal-service-obligation-voice-services</w:t>
      </w:r>
    </w:p>
    <w:p w14:paraId="003B3E47" w14:textId="04BA021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https://www.anao.gov.au/work/performance-audit/management-contract-telephone-universal-service-obligations</w:t>
      </w:r>
    </w:p>
    <w:p w14:paraId="7BD0EC8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https://www.acma.gov.au/rules-telstra-payphones</w:t>
      </w:r>
    </w:p>
    <w:p w14:paraId="0FC5A92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lastRenderedPageBreak/>
        <w:t>https://www.abs.gov.au/articles/9-facts-about-economy-march-quarter</w:t>
      </w:r>
    </w:p>
    <w:p w14:paraId="7EFAC14F" w14:textId="44CDBA25" w:rsidR="008A522C" w:rsidRPr="00CA4B92" w:rsidRDefault="00875F4F" w:rsidP="00B62391">
      <w:pPr>
        <w:pStyle w:val="ListParagraph"/>
        <w:numPr>
          <w:ilvl w:val="0"/>
          <w:numId w:val="8"/>
        </w:numPr>
        <w:jc w:val="both"/>
        <w:rPr>
          <w:rFonts w:ascii="Arial" w:hAnsi="Arial" w:cs="Arial"/>
        </w:rPr>
      </w:pPr>
      <w:hyperlink r:id="rId9" w:history="1">
        <w:r w:rsidRPr="00023595">
          <w:rPr>
            <w:rStyle w:val="Hyperlink"/>
            <w:rFonts w:ascii="Arial" w:hAnsi="Arial" w:cs="Arial"/>
          </w:rPr>
          <w:t>https://www.oecd.org/en/topics/sub-issues/economic-surveys/Australia-Economic-Snapshot.html</w:t>
        </w:r>
      </w:hyperlink>
      <w:r>
        <w:rPr>
          <w:rFonts w:ascii="Arial" w:hAnsi="Arial" w:cs="Arial"/>
        </w:rPr>
        <w:t xml:space="preserve"> </w:t>
      </w:r>
    </w:p>
    <w:p w14:paraId="4310593B" w14:textId="6EEF02F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https://www.rba.gov.au/snapshots/economy-indicators-snapshot/</w:t>
      </w:r>
    </w:p>
    <w:p w14:paraId="653C14F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https://www.rba.gov.au/chart-pack/pdf/chart-pack.pdf?v=2025-08-30-23-27-15</w:t>
      </w:r>
    </w:p>
    <w:p w14:paraId="1CBA3A68" w14:textId="155AE6F7" w:rsidR="008A522C" w:rsidRPr="00CA4B92" w:rsidRDefault="00875F4F" w:rsidP="00B62391">
      <w:pPr>
        <w:pStyle w:val="ListParagraph"/>
        <w:numPr>
          <w:ilvl w:val="0"/>
          <w:numId w:val="8"/>
        </w:numPr>
        <w:jc w:val="both"/>
        <w:rPr>
          <w:rFonts w:ascii="Arial" w:hAnsi="Arial" w:cs="Arial"/>
        </w:rPr>
      </w:pPr>
      <w:hyperlink r:id="rId10" w:history="1">
        <w:r w:rsidRPr="00023595">
          <w:rPr>
            <w:rStyle w:val="Hyperlink"/>
            <w:rFonts w:ascii="Arial" w:hAnsi="Arial" w:cs="Arial"/>
          </w:rPr>
          <w:t>https://www.oecd.org/en/publications/oecd-economic-outlook-volume-2025-issue-1_83363382-en/full-report/australia_b563f928.html</w:t>
        </w:r>
      </w:hyperlink>
      <w:r>
        <w:rPr>
          <w:rFonts w:ascii="Arial" w:hAnsi="Arial" w:cs="Arial"/>
        </w:rPr>
        <w:t xml:space="preserve"> </w:t>
      </w:r>
    </w:p>
    <w:p w14:paraId="7BC07C2B"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https://www.homeaffairs.gov.au/cyber-security-subsite/files/factsheet-ransomware-payment-reporting.pdf</w:t>
      </w:r>
    </w:p>
    <w:p w14:paraId="1A09A38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https://www.homeaffairs.gov.au/cyber-security-subsite/Pages/cyber-security-act.aspx</w:t>
      </w:r>
    </w:p>
    <w:p w14:paraId="6A188A9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https://www.abc.net.au/news/2025-06-18/accc-optus-admit-unconscionable-conduct-100m-penalty/105430714</w:t>
      </w:r>
    </w:p>
    <w:p w14:paraId="305B035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https://www.optus.com.au/content/dam/optus/documents/about-us/inclusion-diversity/accessibility/optus-access-and-inclusion-action-plan-2024-2029.pdf</w:t>
      </w:r>
    </w:p>
    <w:p w14:paraId="3617630C" w14:textId="2316D1BB" w:rsidR="008A522C" w:rsidRPr="00CA4B92" w:rsidRDefault="00537925" w:rsidP="00B62391">
      <w:pPr>
        <w:pStyle w:val="ListParagraph"/>
        <w:numPr>
          <w:ilvl w:val="0"/>
          <w:numId w:val="8"/>
        </w:numPr>
        <w:jc w:val="both"/>
        <w:rPr>
          <w:rFonts w:ascii="Arial" w:hAnsi="Arial" w:cs="Arial"/>
        </w:rPr>
      </w:pPr>
      <w:r w:rsidRPr="00CA4B92">
        <w:rPr>
          <w:rFonts w:ascii="Arial" w:hAnsi="Arial" w:cs="Arial"/>
        </w:rPr>
        <w:t>h</w:t>
      </w:r>
      <w:r w:rsidR="008A522C" w:rsidRPr="00CA4B92">
        <w:rPr>
          <w:rFonts w:ascii="Arial" w:hAnsi="Arial" w:cs="Arial"/>
        </w:rPr>
        <w:t>ttps://www.lebara.com.au/support/accessibility/</w:t>
      </w:r>
    </w:p>
    <w:p w14:paraId="31D2897D" w14:textId="3F17838A" w:rsidR="008A522C" w:rsidRPr="00185F17" w:rsidRDefault="008A522C" w:rsidP="00537925">
      <w:pPr>
        <w:pStyle w:val="ListParagraph"/>
        <w:numPr>
          <w:ilvl w:val="0"/>
          <w:numId w:val="8"/>
        </w:numPr>
        <w:jc w:val="both"/>
        <w:rPr>
          <w:rFonts w:ascii="Arial" w:hAnsi="Arial" w:cs="Arial"/>
        </w:rPr>
      </w:pPr>
      <w:r w:rsidRPr="00CA4B92">
        <w:rPr>
          <w:rFonts w:ascii="Arial" w:hAnsi="Arial" w:cs="Arial"/>
        </w:rPr>
        <w:t>https://www.acma.gov.au/sites/default/files/2024-11/Investigation%20report%20-%20Optus%20outage%201Nov23%20%28redacted%29.pdf</w:t>
      </w:r>
    </w:p>
    <w:p w14:paraId="6AC9B34A" w14:textId="3D78B8B1"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https://www.senatorpaterson.com.au/news/millions-at-risk-in-huge-cyberattack-on-optus</w:t>
      </w:r>
    </w:p>
    <w:p w14:paraId="4BE5AE95" w14:textId="56F010BF"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https://www.aph.gov.au/Parliamentary_Business/Bills_Legislation/Bills_Search_Results/Result?bId=r7317</w:t>
      </w:r>
    </w:p>
    <w:sectPr w:rsidR="008A522C" w:rsidRPr="00CA4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F4F52" w14:textId="77777777" w:rsidR="00EA4F12" w:rsidRDefault="00EA4F12" w:rsidP="00FC6F74">
      <w:pPr>
        <w:spacing w:after="0" w:line="240" w:lineRule="auto"/>
      </w:pPr>
      <w:r>
        <w:separator/>
      </w:r>
    </w:p>
  </w:endnote>
  <w:endnote w:type="continuationSeparator" w:id="0">
    <w:p w14:paraId="62A05F4A" w14:textId="77777777" w:rsidR="00EA4F12" w:rsidRDefault="00EA4F12"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09C73" w14:textId="77777777" w:rsidR="00EA4F12" w:rsidRDefault="00EA4F12" w:rsidP="00FC6F74">
      <w:pPr>
        <w:spacing w:after="0" w:line="240" w:lineRule="auto"/>
      </w:pPr>
      <w:r>
        <w:separator/>
      </w:r>
    </w:p>
  </w:footnote>
  <w:footnote w:type="continuationSeparator" w:id="0">
    <w:p w14:paraId="782E1D90" w14:textId="77777777" w:rsidR="00EA4F12" w:rsidRDefault="00EA4F12"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4"/>
  </w:num>
  <w:num w:numId="2" w16cid:durableId="1391073999">
    <w:abstractNumId w:val="0"/>
  </w:num>
  <w:num w:numId="3" w16cid:durableId="1985967335">
    <w:abstractNumId w:val="1"/>
  </w:num>
  <w:num w:numId="4" w16cid:durableId="1981956934">
    <w:abstractNumId w:val="2"/>
  </w:num>
  <w:num w:numId="5" w16cid:durableId="187261224">
    <w:abstractNumId w:val="7"/>
  </w:num>
  <w:num w:numId="6" w16cid:durableId="549414431">
    <w:abstractNumId w:val="5"/>
  </w:num>
  <w:num w:numId="7" w16cid:durableId="690304781">
    <w:abstractNumId w:val="6"/>
  </w:num>
  <w:num w:numId="8" w16cid:durableId="57790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15CEE"/>
    <w:rsid w:val="00080865"/>
    <w:rsid w:val="000F52CF"/>
    <w:rsid w:val="000F74FC"/>
    <w:rsid w:val="00127EF2"/>
    <w:rsid w:val="00130C28"/>
    <w:rsid w:val="00185F17"/>
    <w:rsid w:val="001E6F77"/>
    <w:rsid w:val="0023641F"/>
    <w:rsid w:val="00261CDC"/>
    <w:rsid w:val="002810AF"/>
    <w:rsid w:val="00285C6E"/>
    <w:rsid w:val="00300D62"/>
    <w:rsid w:val="003D06E6"/>
    <w:rsid w:val="00472DFF"/>
    <w:rsid w:val="0047713C"/>
    <w:rsid w:val="00495A72"/>
    <w:rsid w:val="004F65E9"/>
    <w:rsid w:val="00537925"/>
    <w:rsid w:val="00537D46"/>
    <w:rsid w:val="00541217"/>
    <w:rsid w:val="00555AD6"/>
    <w:rsid w:val="00613151"/>
    <w:rsid w:val="0062247E"/>
    <w:rsid w:val="00651E97"/>
    <w:rsid w:val="006E3AE2"/>
    <w:rsid w:val="006F2F51"/>
    <w:rsid w:val="00717C5F"/>
    <w:rsid w:val="007B1A7D"/>
    <w:rsid w:val="007F04B1"/>
    <w:rsid w:val="007F47FA"/>
    <w:rsid w:val="008657F6"/>
    <w:rsid w:val="00875F4F"/>
    <w:rsid w:val="00893C2C"/>
    <w:rsid w:val="008A522C"/>
    <w:rsid w:val="00900094"/>
    <w:rsid w:val="00A41DCB"/>
    <w:rsid w:val="00AA4019"/>
    <w:rsid w:val="00AD1514"/>
    <w:rsid w:val="00B333D7"/>
    <w:rsid w:val="00B5100D"/>
    <w:rsid w:val="00B62391"/>
    <w:rsid w:val="00BC6324"/>
    <w:rsid w:val="00BD4398"/>
    <w:rsid w:val="00C0243C"/>
    <w:rsid w:val="00C61561"/>
    <w:rsid w:val="00CA4B92"/>
    <w:rsid w:val="00D17E0E"/>
    <w:rsid w:val="00D703B9"/>
    <w:rsid w:val="00D80D80"/>
    <w:rsid w:val="00DE5A18"/>
    <w:rsid w:val="00EA4F12"/>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875F4F"/>
    <w:rPr>
      <w:color w:val="467886" w:themeColor="hyperlink"/>
      <w:u w:val="single"/>
    </w:rPr>
  </w:style>
  <w:style w:type="character" w:styleId="UnresolvedMention">
    <w:name w:val="Unresolved Mention"/>
    <w:basedOn w:val="DefaultParagraphFont"/>
    <w:uiPriority w:val="99"/>
    <w:semiHidden/>
    <w:unhideWhenUsed/>
    <w:rsid w:val="0087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ecd.org/en/publications/oecd-economic-outlook-volume-2025-issue-1_83363382-en/full-report/australia_b563f928.html" TargetMode="External"/><Relationship Id="rId4" Type="http://schemas.openxmlformats.org/officeDocument/2006/relationships/webSettings" Target="webSettings.xml"/><Relationship Id="rId9" Type="http://schemas.openxmlformats.org/officeDocument/2006/relationships/hyperlink" Target="https://www.oecd.org/en/topics/sub-issues/economic-surveys/Australia-Economic-Snapsh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5913</Words>
  <Characters>33710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16</cp:revision>
  <dcterms:created xsi:type="dcterms:W3CDTF">2025-08-31T11:22:00Z</dcterms:created>
  <dcterms:modified xsi:type="dcterms:W3CDTF">2025-09-19T12:04:00Z</dcterms:modified>
</cp:coreProperties>
</file>