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6913AF9" w:rsidR="008657F6" w:rsidRPr="00CA4B92" w:rsidRDefault="00C47EF4">
      <w:pPr>
        <w:rPr>
          <w:rFonts w:ascii="Arial" w:hAnsi="Arial" w:cs="Arial"/>
        </w:rPr>
      </w:pPr>
      <w:r>
        <w:rPr>
          <w:rFonts w:ascii="Arial" w:hAnsi="Arial" w:cs="Arial"/>
        </w:rPr>
        <w:t>Summary</w:t>
      </w:r>
      <w:r w:rsidR="00B333D7" w:rsidRPr="00CA4B92">
        <w:rPr>
          <w:rFonts w:ascii="Arial" w:hAnsi="Arial" w:cs="Arial"/>
        </w:rPr>
        <w:t xml:space="preserve">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44FBCCA4" w:rsidR="00AA4019" w:rsidRPr="00CA4B92" w:rsidRDefault="009C455D" w:rsidP="00B62391">
      <w:pPr>
        <w:rPr>
          <w:rFonts w:ascii="Arial" w:hAnsi="Arial" w:cs="Arial"/>
          <w:b/>
          <w:bCs/>
          <w:sz w:val="22"/>
          <w:szCs w:val="22"/>
        </w:rPr>
      </w:pPr>
      <w:r>
        <w:rPr>
          <w:rFonts w:ascii="Arial" w:hAnsi="Arial" w:cs="Arial"/>
          <w:b/>
          <w:bCs/>
          <w:sz w:val="22"/>
          <w:szCs w:val="22"/>
        </w:rPr>
        <w:t>SUMMARY</w:t>
      </w:r>
      <w:r w:rsidRPr="00CA4B92">
        <w:rPr>
          <w:rFonts w:ascii="Arial" w:hAnsi="Arial" w:cs="Arial"/>
          <w:b/>
          <w:bCs/>
          <w:sz w:val="22"/>
          <w:szCs w:val="22"/>
        </w:rPr>
        <w:t xml:space="preserve"> REPORT THAT </w:t>
      </w:r>
      <w:r>
        <w:rPr>
          <w:rFonts w:ascii="Arial" w:hAnsi="Arial" w:cs="Arial"/>
          <w:b/>
          <w:bCs/>
          <w:sz w:val="22"/>
          <w:szCs w:val="22"/>
        </w:rPr>
        <w:t>ANALIZE</w:t>
      </w:r>
      <w:r w:rsidRPr="00CA4B92">
        <w:rPr>
          <w:rFonts w:ascii="Arial" w:hAnsi="Arial" w:cs="Arial"/>
          <w:b/>
          <w:bCs/>
          <w:sz w:val="22"/>
          <w:szCs w:val="22"/>
        </w:rPr>
        <w:t xml:space="preserve"> </w:t>
      </w:r>
      <w:r w:rsidRPr="009C455D">
        <w:rPr>
          <w:rFonts w:ascii="Arial" w:hAnsi="Arial" w:cs="Arial"/>
          <w:b/>
          <w:bCs/>
          <w:sz w:val="22"/>
          <w:szCs w:val="22"/>
        </w:rPr>
        <w:t xml:space="preserve">THE AUSTRALIAN REGULATORY FRAMEWORK AND ITS IMPACT ON </w:t>
      </w:r>
      <w:r w:rsidR="00631E32">
        <w:rPr>
          <w:rFonts w:ascii="Arial" w:hAnsi="Arial" w:cs="Arial"/>
          <w:b/>
          <w:bCs/>
          <w:sz w:val="22"/>
          <w:szCs w:val="22"/>
        </w:rPr>
        <w:t>LEBARA</w:t>
      </w:r>
      <w:r w:rsidRPr="009C455D">
        <w:rPr>
          <w:rFonts w:ascii="Arial" w:hAnsi="Arial" w:cs="Arial"/>
          <w:b/>
          <w:bCs/>
          <w:sz w:val="22"/>
          <w:szCs w:val="22"/>
        </w:rPr>
        <w:t xml:space="preserve"> NETWORK SERVICE PLANNING AND ACCESSIBILITY</w:t>
      </w:r>
    </w:p>
    <w:p w14:paraId="77F2411B" w14:textId="77777777" w:rsidR="00537925" w:rsidRPr="00CA4B92" w:rsidRDefault="00537925" w:rsidP="00537925">
      <w:pPr>
        <w:jc w:val="center"/>
        <w:rPr>
          <w:rFonts w:ascii="Arial" w:hAnsi="Arial" w:cs="Arial"/>
          <w:b/>
          <w:bCs/>
        </w:rPr>
      </w:pPr>
    </w:p>
    <w:p w14:paraId="15F3B1AD" w14:textId="77777777" w:rsidR="004D323E" w:rsidRPr="004D323E" w:rsidRDefault="004D323E" w:rsidP="004D323E">
      <w:pPr>
        <w:jc w:val="both"/>
        <w:rPr>
          <w:rFonts w:ascii="Arial" w:hAnsi="Arial" w:cs="Arial"/>
          <w:b/>
          <w:bCs/>
        </w:rPr>
      </w:pPr>
      <w:r w:rsidRPr="004D323E">
        <w:rPr>
          <w:rFonts w:ascii="Arial" w:hAnsi="Arial" w:cs="Arial"/>
          <w:b/>
          <w:bCs/>
        </w:rPr>
        <w:t>Legislation and Regulation</w:t>
      </w:r>
    </w:p>
    <w:p w14:paraId="40F3FB7C" w14:textId="77777777" w:rsidR="004D323E" w:rsidRPr="004D323E" w:rsidRDefault="004D323E" w:rsidP="004D323E">
      <w:pPr>
        <w:jc w:val="both"/>
        <w:rPr>
          <w:rFonts w:ascii="Arial" w:hAnsi="Arial" w:cs="Arial"/>
        </w:rPr>
      </w:pPr>
      <w:r w:rsidRPr="004D323E">
        <w:rPr>
          <w:rFonts w:ascii="Arial" w:hAnsi="Arial" w:cs="Arial"/>
        </w:rPr>
        <w:t xml:space="preserve">The Australian telecommunications industry operates within a complex and highly regulated framework designed to ensure fair competition, safeguard consumer interests, and guarantee universal access to essential services. For a provider such as </w:t>
      </w:r>
      <w:r w:rsidRPr="004D323E">
        <w:rPr>
          <w:rFonts w:ascii="Arial" w:hAnsi="Arial" w:cs="Arial"/>
          <w:b/>
          <w:bCs/>
        </w:rPr>
        <w:t>Lebara</w:t>
      </w:r>
      <w:r w:rsidRPr="004D323E">
        <w:rPr>
          <w:rFonts w:ascii="Arial" w:hAnsi="Arial" w:cs="Arial"/>
        </w:rPr>
        <w:t>, which functions as a Mobile Virtual Network Operator (MVNO) reliant on Optus’s wholesale network, understanding and complying with this framework is not only a legal requirement but also a critical element in maintaining consumer trust and long-term business viability. Past shortcomings in areas such as poor customer service, difficulties with number portability, irregularities in billing, and misleading promotional offers highlight the risks that arise when compliance and consumer safeguards are not given due weight.</w:t>
      </w:r>
    </w:p>
    <w:p w14:paraId="6B03A261" w14:textId="2CD4BB7A" w:rsidR="004D323E" w:rsidRPr="004D323E" w:rsidRDefault="004D323E" w:rsidP="004D323E">
      <w:pPr>
        <w:jc w:val="both"/>
        <w:rPr>
          <w:rFonts w:ascii="Arial" w:hAnsi="Arial" w:cs="Arial"/>
          <w:b/>
          <w:bCs/>
        </w:rPr>
      </w:pPr>
      <w:r w:rsidRPr="004D323E">
        <w:rPr>
          <w:rFonts w:ascii="Arial" w:hAnsi="Arial" w:cs="Arial"/>
          <w:b/>
          <w:bCs/>
        </w:rPr>
        <w:t>Regulatory Authorities and Legal Basis</w:t>
      </w:r>
    </w:p>
    <w:p w14:paraId="05795762" w14:textId="77777777" w:rsidR="004D323E" w:rsidRPr="004D323E" w:rsidRDefault="004D323E" w:rsidP="004D323E">
      <w:pPr>
        <w:jc w:val="both"/>
        <w:rPr>
          <w:rFonts w:ascii="Arial" w:hAnsi="Arial" w:cs="Arial"/>
        </w:rPr>
      </w:pPr>
      <w:r w:rsidRPr="004D323E">
        <w:rPr>
          <w:rFonts w:ascii="Arial" w:hAnsi="Arial" w:cs="Arial"/>
        </w:rPr>
        <w:t>Two principal regulators shape the sector:</w:t>
      </w:r>
    </w:p>
    <w:p w14:paraId="1B19ECB2"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Communications and Media Authority (ACMA)</w:t>
      </w:r>
      <w:r w:rsidRPr="004D323E">
        <w:rPr>
          <w:rFonts w:ascii="Arial" w:hAnsi="Arial" w:cs="Arial"/>
        </w:rPr>
        <w:t xml:space="preserve"> is responsible for licensing service providers, managing spectrum, and enforcing industry codes. Its powers are derived from the </w:t>
      </w:r>
      <w:r w:rsidRPr="004D323E">
        <w:rPr>
          <w:rFonts w:ascii="Arial" w:hAnsi="Arial" w:cs="Arial"/>
          <w:i/>
          <w:iCs/>
        </w:rPr>
        <w:t>Telecommunications Act 1997</w:t>
      </w:r>
      <w:r w:rsidRPr="004D323E">
        <w:rPr>
          <w:rFonts w:ascii="Arial" w:hAnsi="Arial" w:cs="Arial"/>
        </w:rPr>
        <w:t xml:space="preserve">, </w:t>
      </w:r>
      <w:r w:rsidRPr="004D323E">
        <w:rPr>
          <w:rFonts w:ascii="Arial" w:hAnsi="Arial" w:cs="Arial"/>
          <w:i/>
          <w:iCs/>
        </w:rPr>
        <w:t>Radiocommunications Act 1992</w:t>
      </w:r>
      <w:r w:rsidRPr="004D323E">
        <w:rPr>
          <w:rFonts w:ascii="Arial" w:hAnsi="Arial" w:cs="Arial"/>
        </w:rPr>
        <w:t xml:space="preserve">, </w:t>
      </w:r>
      <w:r w:rsidRPr="004D323E">
        <w:rPr>
          <w:rFonts w:ascii="Arial" w:hAnsi="Arial" w:cs="Arial"/>
          <w:i/>
          <w:iCs/>
        </w:rPr>
        <w:t>Broadcasting Services Act 1992</w:t>
      </w:r>
      <w:r w:rsidRPr="004D323E">
        <w:rPr>
          <w:rFonts w:ascii="Arial" w:hAnsi="Arial" w:cs="Arial"/>
        </w:rPr>
        <w:t xml:space="preserve">, and </w:t>
      </w:r>
      <w:r w:rsidRPr="004D323E">
        <w:rPr>
          <w:rFonts w:ascii="Arial" w:hAnsi="Arial" w:cs="Arial"/>
          <w:i/>
          <w:iCs/>
        </w:rPr>
        <w:t>Spam Act 2003</w:t>
      </w:r>
      <w:r w:rsidRPr="004D323E">
        <w:rPr>
          <w:rFonts w:ascii="Arial" w:hAnsi="Arial" w:cs="Arial"/>
        </w:rPr>
        <w:t>. It collaborates with bodies such as the Australian Competition and Consumer Commission (ACCC), the Office of the Australian Information Commissioner (OAIC), and international peers including Ofcom (UK) and the FCC (USA).</w:t>
      </w:r>
    </w:p>
    <w:p w14:paraId="4C9A34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Australian Competition and Consumer Commission (ACCC)</w:t>
      </w:r>
      <w:r w:rsidRPr="004D323E">
        <w:rPr>
          <w:rFonts w:ascii="Arial" w:hAnsi="Arial" w:cs="Arial"/>
        </w:rPr>
        <w:t xml:space="preserve"> enforces competition and consumer law in telecommunications. It regulates wholesale access to networks, promotes market fairness, and prevents anti-competitive practices under the </w:t>
      </w:r>
      <w:r w:rsidRPr="004D323E">
        <w:rPr>
          <w:rFonts w:ascii="Arial" w:hAnsi="Arial" w:cs="Arial"/>
          <w:i/>
          <w:iCs/>
        </w:rPr>
        <w:t>Competition and Consumer Act 2010</w:t>
      </w:r>
      <w:r w:rsidRPr="004D323E">
        <w:rPr>
          <w:rFonts w:ascii="Arial" w:hAnsi="Arial" w:cs="Arial"/>
        </w:rPr>
        <w:t>. The ACCC also plays a central role in ensuring transparency in pricing and wholesale agreements that directly affect MVNOs such as Lebara.</w:t>
      </w:r>
    </w:p>
    <w:p w14:paraId="52EDD7F1" w14:textId="77777777" w:rsidR="004D323E" w:rsidRPr="004D323E" w:rsidRDefault="004D323E" w:rsidP="004D323E">
      <w:pPr>
        <w:numPr>
          <w:ilvl w:val="0"/>
          <w:numId w:val="9"/>
        </w:numPr>
        <w:jc w:val="both"/>
        <w:rPr>
          <w:rFonts w:ascii="Arial" w:hAnsi="Arial" w:cs="Arial"/>
        </w:rPr>
      </w:pPr>
      <w:r w:rsidRPr="004D323E">
        <w:rPr>
          <w:rFonts w:ascii="Arial" w:hAnsi="Arial" w:cs="Arial"/>
          <w:b/>
          <w:bCs/>
        </w:rPr>
        <w:t>The Office of the Australian Information Commissioner (OAIC)</w:t>
      </w:r>
      <w:r w:rsidRPr="004D323E">
        <w:rPr>
          <w:rFonts w:ascii="Arial" w:hAnsi="Arial" w:cs="Arial"/>
        </w:rPr>
        <w:t xml:space="preserve"> oversees compliance with the </w:t>
      </w:r>
      <w:r w:rsidRPr="004D323E">
        <w:rPr>
          <w:rFonts w:ascii="Arial" w:hAnsi="Arial" w:cs="Arial"/>
          <w:i/>
          <w:iCs/>
        </w:rPr>
        <w:t>Privacy Act 1988</w:t>
      </w:r>
      <w:r w:rsidRPr="004D323E">
        <w:rPr>
          <w:rFonts w:ascii="Arial" w:hAnsi="Arial" w:cs="Arial"/>
        </w:rPr>
        <w:t>, particularly with respect to data protection and the Notifiable Data Breaches (NDB) scheme. Given consumer concerns around identity theft and unauthorised data use in the sector, this role is increasingly critical.</w:t>
      </w:r>
    </w:p>
    <w:p w14:paraId="098222F4" w14:textId="03033913" w:rsidR="004D323E" w:rsidRPr="004D323E" w:rsidRDefault="004D323E" w:rsidP="004D323E">
      <w:pPr>
        <w:jc w:val="both"/>
        <w:rPr>
          <w:rFonts w:ascii="Arial" w:hAnsi="Arial" w:cs="Arial"/>
          <w:b/>
          <w:bCs/>
        </w:rPr>
      </w:pPr>
      <w:r w:rsidRPr="004D323E">
        <w:rPr>
          <w:rFonts w:ascii="Arial" w:hAnsi="Arial" w:cs="Arial"/>
          <w:b/>
          <w:bCs/>
        </w:rPr>
        <w:lastRenderedPageBreak/>
        <w:t>Service Provider Licensing Obligations</w:t>
      </w:r>
    </w:p>
    <w:p w14:paraId="60839B6B" w14:textId="77777777" w:rsidR="004D323E" w:rsidRPr="004D323E" w:rsidRDefault="004D323E" w:rsidP="004D323E">
      <w:pPr>
        <w:jc w:val="both"/>
        <w:rPr>
          <w:rFonts w:ascii="Arial" w:hAnsi="Arial" w:cs="Arial"/>
        </w:rPr>
      </w:pPr>
      <w:r w:rsidRPr="004D323E">
        <w:rPr>
          <w:rFonts w:ascii="Arial" w:hAnsi="Arial" w:cs="Arial"/>
        </w:rPr>
        <w:t>As an MVNO, Lebara must be registered as a Carriage Service Provider (CSP), which authorises it to supply services to end-users by accessing another carrier’s infrastructure. This registration imposes obligations including:</w:t>
      </w:r>
    </w:p>
    <w:p w14:paraId="33EE3B3A" w14:textId="77777777" w:rsidR="004D323E" w:rsidRPr="004D323E" w:rsidRDefault="004D323E" w:rsidP="004D323E">
      <w:pPr>
        <w:numPr>
          <w:ilvl w:val="0"/>
          <w:numId w:val="10"/>
        </w:numPr>
        <w:jc w:val="both"/>
        <w:rPr>
          <w:rFonts w:ascii="Arial" w:hAnsi="Arial" w:cs="Arial"/>
        </w:rPr>
      </w:pPr>
      <w:r w:rsidRPr="004D323E">
        <w:rPr>
          <w:rFonts w:ascii="Arial" w:hAnsi="Arial" w:cs="Arial"/>
        </w:rPr>
        <w:t>Allocation of numbers in compliance with the national numbering plan;</w:t>
      </w:r>
    </w:p>
    <w:p w14:paraId="5562F45D" w14:textId="77777777" w:rsidR="004D323E" w:rsidRPr="004D323E" w:rsidRDefault="004D323E" w:rsidP="004D323E">
      <w:pPr>
        <w:numPr>
          <w:ilvl w:val="0"/>
          <w:numId w:val="10"/>
        </w:numPr>
        <w:jc w:val="both"/>
        <w:rPr>
          <w:rFonts w:ascii="Arial" w:hAnsi="Arial" w:cs="Arial"/>
        </w:rPr>
      </w:pPr>
      <w:r w:rsidRPr="004D323E">
        <w:rPr>
          <w:rFonts w:ascii="Arial" w:hAnsi="Arial" w:cs="Arial"/>
        </w:rPr>
        <w:t>Adherence to ACMA-approved industry codes covering customer service, privacy, and complaints handling;</w:t>
      </w:r>
    </w:p>
    <w:p w14:paraId="50457AE3" w14:textId="77777777" w:rsidR="004D323E" w:rsidRPr="004D323E" w:rsidRDefault="004D323E" w:rsidP="004D323E">
      <w:pPr>
        <w:numPr>
          <w:ilvl w:val="0"/>
          <w:numId w:val="10"/>
        </w:numPr>
        <w:jc w:val="both"/>
        <w:rPr>
          <w:rFonts w:ascii="Arial" w:hAnsi="Arial" w:cs="Arial"/>
        </w:rPr>
      </w:pPr>
      <w:r w:rsidRPr="004D323E">
        <w:rPr>
          <w:rFonts w:ascii="Arial" w:hAnsi="Arial" w:cs="Arial"/>
        </w:rPr>
        <w:t xml:space="preserve">Compliance with lawful interception obligations under the </w:t>
      </w:r>
      <w:r w:rsidRPr="004D323E">
        <w:rPr>
          <w:rFonts w:ascii="Arial" w:hAnsi="Arial" w:cs="Arial"/>
          <w:i/>
          <w:iCs/>
        </w:rPr>
        <w:t>Telecommunications (Interception and Access) Act 1979</w:t>
      </w:r>
      <w:r w:rsidRPr="004D323E">
        <w:rPr>
          <w:rFonts w:ascii="Arial" w:hAnsi="Arial" w:cs="Arial"/>
        </w:rPr>
        <w:t>.</w:t>
      </w:r>
    </w:p>
    <w:p w14:paraId="14882DE9" w14:textId="77777777" w:rsidR="004D323E" w:rsidRPr="004D323E" w:rsidRDefault="004D323E" w:rsidP="004D323E">
      <w:pPr>
        <w:jc w:val="both"/>
        <w:rPr>
          <w:rFonts w:ascii="Arial" w:hAnsi="Arial" w:cs="Arial"/>
        </w:rPr>
      </w:pPr>
      <w:r w:rsidRPr="004D323E">
        <w:rPr>
          <w:rFonts w:ascii="Arial" w:hAnsi="Arial" w:cs="Arial"/>
        </w:rPr>
        <w:t>Failure to meet these obligations exposes Lebara to regulatory sanctions and reputational harm, as illustrated by consumer complaints regarding billing errors and inadequate dispute resolution.</w:t>
      </w:r>
    </w:p>
    <w:p w14:paraId="4755F625" w14:textId="04E35F49" w:rsidR="004D323E" w:rsidRPr="004D323E" w:rsidRDefault="004D323E" w:rsidP="004D323E">
      <w:pPr>
        <w:jc w:val="both"/>
        <w:rPr>
          <w:rFonts w:ascii="Arial" w:hAnsi="Arial" w:cs="Arial"/>
          <w:b/>
          <w:bCs/>
        </w:rPr>
      </w:pPr>
      <w:r w:rsidRPr="004D323E">
        <w:rPr>
          <w:rFonts w:ascii="Arial" w:hAnsi="Arial" w:cs="Arial"/>
          <w:b/>
          <w:bCs/>
        </w:rPr>
        <w:t>Regulation and Deregulation</w:t>
      </w:r>
    </w:p>
    <w:p w14:paraId="47D0D39D" w14:textId="77777777" w:rsidR="004D323E" w:rsidRPr="004D323E" w:rsidRDefault="004D323E" w:rsidP="004D323E">
      <w:pPr>
        <w:jc w:val="both"/>
        <w:rPr>
          <w:rFonts w:ascii="Arial" w:hAnsi="Arial" w:cs="Arial"/>
        </w:rPr>
      </w:pPr>
      <w:r w:rsidRPr="004D323E">
        <w:rPr>
          <w:rFonts w:ascii="Arial" w:hAnsi="Arial" w:cs="Arial"/>
        </w:rPr>
        <w:t>The sector’s regulatory framework provides both safeguards and challenges for MVNOs. Regulation ensures consumers are protected through transparency in advertising, fair billing standards, and access to dispute resolution via the Telecommunications Industry Ombudsman (TIO). For Lebara, these requirements act as necessary checks against the kinds of poor practices that have historically undermined consumer trust.</w:t>
      </w:r>
    </w:p>
    <w:p w14:paraId="315316A3" w14:textId="77777777" w:rsidR="004D323E" w:rsidRPr="004D323E" w:rsidRDefault="004D323E" w:rsidP="004D323E">
      <w:pPr>
        <w:jc w:val="both"/>
        <w:rPr>
          <w:rFonts w:ascii="Arial" w:hAnsi="Arial" w:cs="Arial"/>
        </w:rPr>
      </w:pPr>
      <w:r w:rsidRPr="004D323E">
        <w:rPr>
          <w:rFonts w:ascii="Arial" w:hAnsi="Arial" w:cs="Arial"/>
        </w:rPr>
        <w:t>Conversely, deregulation could reduce compliance burdens and lower operational costs, potentially enabling Lebara to compete more aggressively on price. However, such a landscape may also expose MVNOs to greater risk of exploitation by dominant carriers in wholesale negotiations, thereby undermining the competitive position that regulation currently secures.</w:t>
      </w:r>
    </w:p>
    <w:p w14:paraId="5B983491" w14:textId="3E4E0075" w:rsidR="004D323E" w:rsidRPr="004D323E" w:rsidRDefault="004D323E" w:rsidP="004D323E">
      <w:pPr>
        <w:jc w:val="both"/>
        <w:rPr>
          <w:rFonts w:ascii="Arial" w:hAnsi="Arial" w:cs="Arial"/>
          <w:b/>
          <w:bCs/>
        </w:rPr>
      </w:pPr>
      <w:r w:rsidRPr="004D323E">
        <w:rPr>
          <w:rFonts w:ascii="Arial" w:hAnsi="Arial" w:cs="Arial"/>
          <w:b/>
          <w:bCs/>
        </w:rPr>
        <w:t>Universal Service Obligation (USO) Framework</w:t>
      </w:r>
    </w:p>
    <w:p w14:paraId="79259835" w14:textId="77777777" w:rsidR="004D323E" w:rsidRPr="004D323E" w:rsidRDefault="004D323E" w:rsidP="004D323E">
      <w:pPr>
        <w:jc w:val="both"/>
        <w:rPr>
          <w:rFonts w:ascii="Arial" w:hAnsi="Arial" w:cs="Arial"/>
        </w:rPr>
      </w:pPr>
      <w:r w:rsidRPr="004D323E">
        <w:rPr>
          <w:rFonts w:ascii="Arial" w:hAnsi="Arial" w:cs="Arial"/>
        </w:rPr>
        <w:t xml:space="preserve">Central to the regulatory environment is the </w:t>
      </w:r>
      <w:r w:rsidRPr="004D323E">
        <w:rPr>
          <w:rFonts w:ascii="Arial" w:hAnsi="Arial" w:cs="Arial"/>
          <w:b/>
          <w:bCs/>
        </w:rPr>
        <w:t>Universal Service Obligation (USO)</w:t>
      </w:r>
      <w:r w:rsidRPr="004D323E">
        <w:rPr>
          <w:rFonts w:ascii="Arial" w:hAnsi="Arial" w:cs="Arial"/>
        </w:rPr>
        <w:t>, which guarantees that all Australians, regardless of location, have reasonable access to standard telephone services and public payphones. While Telstra is the primary contractor under the Telstra Universal Service Obligation Performance Agreement (TUSOPA), all service providers, including Lebara, indirectly participate through the Telecommunications Industry Levy (TIL), which contributes to USO funding.</w:t>
      </w:r>
    </w:p>
    <w:p w14:paraId="324D1AEC" w14:textId="77777777" w:rsidR="004D323E" w:rsidRPr="004D323E" w:rsidRDefault="004D323E" w:rsidP="004D323E">
      <w:pPr>
        <w:jc w:val="both"/>
        <w:rPr>
          <w:rFonts w:ascii="Arial" w:hAnsi="Arial" w:cs="Arial"/>
        </w:rPr>
      </w:pPr>
      <w:r w:rsidRPr="004D323E">
        <w:rPr>
          <w:rFonts w:ascii="Arial" w:hAnsi="Arial" w:cs="Arial"/>
        </w:rPr>
        <w:t>The USO encompasses:</w:t>
      </w:r>
    </w:p>
    <w:p w14:paraId="530E9857"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Planning obligations</w:t>
      </w:r>
      <w:r w:rsidRPr="004D323E">
        <w:rPr>
          <w:rFonts w:ascii="Arial" w:hAnsi="Arial" w:cs="Arial"/>
        </w:rPr>
        <w:t>, such as ensuring coverage in remote and rural areas, planning for emergency access to Triple Zero (000), and providing accessible services for people with disability;</w:t>
      </w:r>
    </w:p>
    <w:p w14:paraId="71F71BD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t>Policies and procedures</w:t>
      </w:r>
      <w:r w:rsidRPr="004D323E">
        <w:rPr>
          <w:rFonts w:ascii="Arial" w:hAnsi="Arial" w:cs="Arial"/>
        </w:rPr>
        <w:t>, including connection timeframes, fault repair benchmarks, and consumer safeguard measures;</w:t>
      </w:r>
    </w:p>
    <w:p w14:paraId="2FF31571" w14:textId="77777777" w:rsidR="004D323E" w:rsidRPr="004D323E" w:rsidRDefault="004D323E" w:rsidP="004D323E">
      <w:pPr>
        <w:numPr>
          <w:ilvl w:val="0"/>
          <w:numId w:val="11"/>
        </w:numPr>
        <w:jc w:val="both"/>
        <w:rPr>
          <w:rFonts w:ascii="Arial" w:hAnsi="Arial" w:cs="Arial"/>
        </w:rPr>
      </w:pPr>
      <w:r w:rsidRPr="004D323E">
        <w:rPr>
          <w:rFonts w:ascii="Arial" w:hAnsi="Arial" w:cs="Arial"/>
          <w:b/>
          <w:bCs/>
        </w:rPr>
        <w:lastRenderedPageBreak/>
        <w:t>Financing</w:t>
      </w:r>
      <w:r w:rsidRPr="004D323E">
        <w:rPr>
          <w:rFonts w:ascii="Arial" w:hAnsi="Arial" w:cs="Arial"/>
        </w:rPr>
        <w:t>, under which Telstra receives approximately AUD 270 million annually, partly funded by contributions from competitors such as Optus and Vodafone, upon whose networks Lebara depends.</w:t>
      </w:r>
    </w:p>
    <w:p w14:paraId="1B8A54EA" w14:textId="77777777" w:rsidR="004D323E" w:rsidRPr="004D323E" w:rsidRDefault="004D323E" w:rsidP="004D323E">
      <w:pPr>
        <w:jc w:val="both"/>
        <w:rPr>
          <w:rFonts w:ascii="Arial" w:hAnsi="Arial" w:cs="Arial"/>
        </w:rPr>
      </w:pPr>
      <w:r w:rsidRPr="004D323E">
        <w:rPr>
          <w:rFonts w:ascii="Arial" w:hAnsi="Arial" w:cs="Arial"/>
        </w:rPr>
        <w:t>Lebara’s business model does not require it to build infrastructure in underserved regions; however, its participation in industry levies reflects the principle that all carriers benefit from a nationally accessible communications market. Moreover, the enforcement of consumer safeguard policies provides a framework within which Lebara must remedy its weaknesses in customer care, billing transparency, and service reliability.</w:t>
      </w:r>
    </w:p>
    <w:p w14:paraId="24E845B7" w14:textId="21BC1533" w:rsidR="004D323E" w:rsidRPr="004D323E" w:rsidRDefault="004D323E" w:rsidP="004D323E">
      <w:pPr>
        <w:jc w:val="both"/>
        <w:rPr>
          <w:rFonts w:ascii="Arial" w:hAnsi="Arial" w:cs="Arial"/>
          <w:b/>
          <w:bCs/>
        </w:rPr>
      </w:pPr>
      <w:r w:rsidRPr="004D323E">
        <w:rPr>
          <w:rFonts w:ascii="Arial" w:hAnsi="Arial" w:cs="Arial"/>
          <w:b/>
          <w:bCs/>
        </w:rPr>
        <w:t>Implications for Lebara</w:t>
      </w:r>
    </w:p>
    <w:p w14:paraId="7DC73380" w14:textId="77777777" w:rsidR="004D323E" w:rsidRPr="004D323E" w:rsidRDefault="004D323E" w:rsidP="004D323E">
      <w:pPr>
        <w:jc w:val="both"/>
        <w:rPr>
          <w:rFonts w:ascii="Arial" w:hAnsi="Arial" w:cs="Arial"/>
        </w:rPr>
      </w:pPr>
      <w:r w:rsidRPr="004D323E">
        <w:rPr>
          <w:rFonts w:ascii="Arial" w:hAnsi="Arial" w:cs="Arial"/>
        </w:rPr>
        <w:t>For Lebara, strict adherence to these legislative and regulatory requirements is not merely a matter of compliance but a pathway to rebuilding trust in a competitive market. The oversight of ACMA, ACCC, and OAIC ensures that issues such as misleading advertising, weak complaint handling, and data misuse—areas where Lebara has faced criticism—cannot be ignored. By aligning its operations with the expectations of the regulatory framework, Lebara has the opportunity to not only avoid sanctions but also reposition itself as a provider that prioritises fair treatment, accessibility, and consumer protection.</w:t>
      </w:r>
    </w:p>
    <w:p w14:paraId="4BE5AE95" w14:textId="70977316" w:rsidR="008A522C" w:rsidRPr="00C40E80" w:rsidRDefault="008A522C" w:rsidP="00C40E80">
      <w:pPr>
        <w:jc w:val="both"/>
        <w:rPr>
          <w:rFonts w:ascii="Arial" w:hAnsi="Arial" w:cs="Arial"/>
        </w:rPr>
      </w:pPr>
    </w:p>
    <w:sectPr w:rsidR="008A522C" w:rsidRPr="00C40E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CFD40" w14:textId="77777777" w:rsidR="004E6657" w:rsidRDefault="004E6657" w:rsidP="00FC6F74">
      <w:pPr>
        <w:spacing w:after="0" w:line="240" w:lineRule="auto"/>
      </w:pPr>
      <w:r>
        <w:separator/>
      </w:r>
    </w:p>
  </w:endnote>
  <w:endnote w:type="continuationSeparator" w:id="0">
    <w:p w14:paraId="2D53E454" w14:textId="77777777" w:rsidR="004E6657" w:rsidRDefault="004E6657"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C4C21" w14:textId="77777777" w:rsidR="004E6657" w:rsidRDefault="004E6657" w:rsidP="00FC6F74">
      <w:pPr>
        <w:spacing w:after="0" w:line="240" w:lineRule="auto"/>
      </w:pPr>
      <w:r>
        <w:separator/>
      </w:r>
    </w:p>
  </w:footnote>
  <w:footnote w:type="continuationSeparator" w:id="0">
    <w:p w14:paraId="4774709E" w14:textId="77777777" w:rsidR="004E6657" w:rsidRDefault="004E6657"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56703"/>
    <w:multiLevelType w:val="multilevel"/>
    <w:tmpl w:val="382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30B07"/>
    <w:multiLevelType w:val="multilevel"/>
    <w:tmpl w:val="8A66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D1578"/>
    <w:multiLevelType w:val="multilevel"/>
    <w:tmpl w:val="8CC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6"/>
  </w:num>
  <w:num w:numId="2" w16cid:durableId="1391073999">
    <w:abstractNumId w:val="0"/>
  </w:num>
  <w:num w:numId="3" w16cid:durableId="1985967335">
    <w:abstractNumId w:val="1"/>
  </w:num>
  <w:num w:numId="4" w16cid:durableId="1981956934">
    <w:abstractNumId w:val="3"/>
  </w:num>
  <w:num w:numId="5" w16cid:durableId="187261224">
    <w:abstractNumId w:val="10"/>
  </w:num>
  <w:num w:numId="6" w16cid:durableId="549414431">
    <w:abstractNumId w:val="8"/>
  </w:num>
  <w:num w:numId="7" w16cid:durableId="690304781">
    <w:abstractNumId w:val="9"/>
  </w:num>
  <w:num w:numId="8" w16cid:durableId="577908233">
    <w:abstractNumId w:val="5"/>
  </w:num>
  <w:num w:numId="9" w16cid:durableId="1719205909">
    <w:abstractNumId w:val="7"/>
  </w:num>
  <w:num w:numId="10" w16cid:durableId="1014111781">
    <w:abstractNumId w:val="4"/>
  </w:num>
  <w:num w:numId="11" w16cid:durableId="35874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85F17"/>
    <w:rsid w:val="001E6F77"/>
    <w:rsid w:val="0023641F"/>
    <w:rsid w:val="00261CDC"/>
    <w:rsid w:val="002810AF"/>
    <w:rsid w:val="00285C6E"/>
    <w:rsid w:val="00300D62"/>
    <w:rsid w:val="003022ED"/>
    <w:rsid w:val="003D06E6"/>
    <w:rsid w:val="00470175"/>
    <w:rsid w:val="00472DFF"/>
    <w:rsid w:val="0047713C"/>
    <w:rsid w:val="00495A72"/>
    <w:rsid w:val="004D323E"/>
    <w:rsid w:val="004E6657"/>
    <w:rsid w:val="004F65E9"/>
    <w:rsid w:val="00537925"/>
    <w:rsid w:val="00537D46"/>
    <w:rsid w:val="00541217"/>
    <w:rsid w:val="00555AD6"/>
    <w:rsid w:val="00613151"/>
    <w:rsid w:val="0062247E"/>
    <w:rsid w:val="00631E32"/>
    <w:rsid w:val="00651E97"/>
    <w:rsid w:val="006E3AE2"/>
    <w:rsid w:val="006F2F51"/>
    <w:rsid w:val="00717C5F"/>
    <w:rsid w:val="007B1A7D"/>
    <w:rsid w:val="007F04B1"/>
    <w:rsid w:val="007F47FA"/>
    <w:rsid w:val="00835D6B"/>
    <w:rsid w:val="008657F6"/>
    <w:rsid w:val="00875F4F"/>
    <w:rsid w:val="00893C2C"/>
    <w:rsid w:val="008A522C"/>
    <w:rsid w:val="008B6370"/>
    <w:rsid w:val="00900094"/>
    <w:rsid w:val="009C455D"/>
    <w:rsid w:val="00A41DCB"/>
    <w:rsid w:val="00AA4019"/>
    <w:rsid w:val="00AD1514"/>
    <w:rsid w:val="00B333D7"/>
    <w:rsid w:val="00B5100D"/>
    <w:rsid w:val="00B62391"/>
    <w:rsid w:val="00BD4398"/>
    <w:rsid w:val="00C0243C"/>
    <w:rsid w:val="00C40E80"/>
    <w:rsid w:val="00C47EF4"/>
    <w:rsid w:val="00C61561"/>
    <w:rsid w:val="00CA4B92"/>
    <w:rsid w:val="00D16889"/>
    <w:rsid w:val="00D17E0E"/>
    <w:rsid w:val="00D703B9"/>
    <w:rsid w:val="00D80D80"/>
    <w:rsid w:val="00DE5A18"/>
    <w:rsid w:val="00E01AAF"/>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20</cp:revision>
  <dcterms:created xsi:type="dcterms:W3CDTF">2025-08-31T11:22:00Z</dcterms:created>
  <dcterms:modified xsi:type="dcterms:W3CDTF">2025-09-19T11:05:00Z</dcterms:modified>
</cp:coreProperties>
</file>