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93492" w14:textId="46913AF9" w:rsidR="008657F6" w:rsidRPr="00416E9B" w:rsidRDefault="00C47EF4">
      <w:pPr>
        <w:rPr>
          <w:rFonts w:ascii="Arial" w:hAnsi="Arial" w:cs="Arial"/>
        </w:rPr>
      </w:pPr>
      <w:r w:rsidRPr="00416E9B">
        <w:rPr>
          <w:rFonts w:ascii="Arial" w:hAnsi="Arial" w:cs="Arial"/>
        </w:rPr>
        <w:t>Summary</w:t>
      </w:r>
      <w:r w:rsidR="00B333D7" w:rsidRPr="00416E9B">
        <w:rPr>
          <w:rFonts w:ascii="Arial" w:hAnsi="Arial" w:cs="Arial"/>
        </w:rPr>
        <w:t xml:space="preserve"> Report</w:t>
      </w:r>
    </w:p>
    <w:p w14:paraId="7CDEA7A2" w14:textId="77777777" w:rsidR="00537925" w:rsidRPr="00416E9B" w:rsidRDefault="00537925">
      <w:pPr>
        <w:rPr>
          <w:rFonts w:ascii="Arial" w:hAnsi="Arial" w:cs="Arial"/>
        </w:rPr>
      </w:pPr>
    </w:p>
    <w:p w14:paraId="7A1AE49E" w14:textId="0DE14C76" w:rsidR="00AA4019" w:rsidRPr="00416E9B" w:rsidRDefault="00537925" w:rsidP="00B62391">
      <w:pPr>
        <w:rPr>
          <w:rFonts w:ascii="Arial" w:hAnsi="Arial" w:cs="Arial"/>
        </w:rPr>
      </w:pPr>
      <w:r w:rsidRPr="00416E9B">
        <w:rPr>
          <w:rFonts w:ascii="Arial" w:hAnsi="Arial" w:cs="Arial"/>
        </w:rPr>
        <w:t>Title</w:t>
      </w:r>
    </w:p>
    <w:p w14:paraId="5AD085FC" w14:textId="107AB364" w:rsidR="00AA4019" w:rsidRPr="00416E9B" w:rsidRDefault="009C455D" w:rsidP="00B62391">
      <w:pPr>
        <w:rPr>
          <w:rFonts w:ascii="Arial" w:hAnsi="Arial" w:cs="Arial"/>
          <w:b/>
          <w:bCs/>
        </w:rPr>
      </w:pPr>
      <w:r w:rsidRPr="00416E9B">
        <w:rPr>
          <w:rFonts w:ascii="Arial" w:hAnsi="Arial" w:cs="Arial"/>
          <w:b/>
          <w:bCs/>
        </w:rPr>
        <w:t>SUMMARY REPORT THAT ANALIZE THE AUSTRALIAN REGULATORY FRAMEWORK AND ITS IMPACT ON OPTUS' NETWORK SERVICE PLANNING AND ACCESSIBILITY</w:t>
      </w:r>
    </w:p>
    <w:p w14:paraId="1961776C" w14:textId="77777777" w:rsidR="00416E9B" w:rsidRPr="00416E9B" w:rsidRDefault="00416E9B" w:rsidP="00416E9B">
      <w:pPr>
        <w:rPr>
          <w:rFonts w:ascii="Arial" w:hAnsi="Arial" w:cs="Arial"/>
          <w:b/>
          <w:bCs/>
        </w:rPr>
      </w:pPr>
    </w:p>
    <w:p w14:paraId="2EB004D2" w14:textId="6F7CD341" w:rsidR="00416E9B" w:rsidRPr="00416E9B" w:rsidRDefault="00416E9B" w:rsidP="00416E9B">
      <w:pPr>
        <w:jc w:val="both"/>
        <w:rPr>
          <w:rFonts w:ascii="Arial" w:hAnsi="Arial" w:cs="Arial"/>
          <w:b/>
          <w:bCs/>
        </w:rPr>
      </w:pPr>
      <w:r w:rsidRPr="00416E9B">
        <w:rPr>
          <w:rFonts w:ascii="Arial" w:hAnsi="Arial" w:cs="Arial"/>
          <w:b/>
          <w:bCs/>
        </w:rPr>
        <w:t>Introduction</w:t>
      </w:r>
    </w:p>
    <w:p w14:paraId="31B5A8C2" w14:textId="77777777" w:rsidR="00416E9B" w:rsidRPr="00416E9B" w:rsidRDefault="00416E9B" w:rsidP="00416E9B">
      <w:pPr>
        <w:jc w:val="both"/>
        <w:rPr>
          <w:rFonts w:ascii="Arial" w:hAnsi="Arial" w:cs="Arial"/>
        </w:rPr>
      </w:pPr>
      <w:r w:rsidRPr="00416E9B">
        <w:rPr>
          <w:rFonts w:ascii="Arial" w:hAnsi="Arial" w:cs="Arial"/>
        </w:rPr>
        <w:t>This report has been developed to examine the Australian regulatory framework governing telecommunications, with a specific focus on its impact on Optus’ network service planning and accessibility. The purpose is twofold: first, to highlight the critical role of regulations and oversight by the Australian Competition and Consumer Commission (ACCC) in promoting fair competition among carriers, and second, to emphasise the importance of compliance with accessibility and coverage obligations in order to avoid reputational and operational risks.</w:t>
      </w:r>
    </w:p>
    <w:p w14:paraId="2117E45C" w14:textId="77777777" w:rsidR="00416E9B" w:rsidRPr="00416E9B" w:rsidRDefault="00416E9B" w:rsidP="00416E9B">
      <w:pPr>
        <w:jc w:val="both"/>
        <w:rPr>
          <w:rFonts w:ascii="Arial" w:hAnsi="Arial" w:cs="Arial"/>
        </w:rPr>
      </w:pPr>
    </w:p>
    <w:p w14:paraId="2CA054A5" w14:textId="77777777" w:rsidR="00416E9B" w:rsidRPr="00416E9B" w:rsidRDefault="00416E9B" w:rsidP="00416E9B">
      <w:pPr>
        <w:jc w:val="both"/>
        <w:rPr>
          <w:rFonts w:ascii="Arial" w:hAnsi="Arial" w:cs="Arial"/>
        </w:rPr>
      </w:pPr>
      <w:r w:rsidRPr="00416E9B">
        <w:rPr>
          <w:rFonts w:ascii="Arial" w:hAnsi="Arial" w:cs="Arial"/>
        </w:rPr>
        <w:t>The Australian telecommunications sector is characterised by a small number of dominant carriers, including Telstra, Optus, and TPG/Vodafone, which compete to provide mobile, broadband, and fixed-line services across a geographically vast and diverse country. Within this landscape, regulatory bodies such as the ACCC and the Australian Communications and Media Authority (ACMA) play an essential role in safeguarding consumer rights, ensuring service quality, and maintaining healthy competition. The Universal Service Obligation (USO) also provides a baseline requirement to guarantee access to standard telephone services for all Australians, regardless of location.</w:t>
      </w:r>
    </w:p>
    <w:p w14:paraId="1DDC12C3" w14:textId="77777777" w:rsidR="00416E9B" w:rsidRPr="00416E9B" w:rsidRDefault="00416E9B" w:rsidP="00416E9B">
      <w:pPr>
        <w:jc w:val="both"/>
        <w:rPr>
          <w:rFonts w:ascii="Arial" w:hAnsi="Arial" w:cs="Arial"/>
        </w:rPr>
      </w:pPr>
    </w:p>
    <w:p w14:paraId="1EC88DFF" w14:textId="77777777" w:rsidR="00416E9B" w:rsidRPr="00416E9B" w:rsidRDefault="00416E9B" w:rsidP="00416E9B">
      <w:pPr>
        <w:jc w:val="both"/>
        <w:rPr>
          <w:rFonts w:ascii="Arial" w:hAnsi="Arial" w:cs="Arial"/>
        </w:rPr>
      </w:pPr>
      <w:r w:rsidRPr="00416E9B">
        <w:rPr>
          <w:rFonts w:ascii="Arial" w:hAnsi="Arial" w:cs="Arial"/>
        </w:rPr>
        <w:t>Optus, as the second-largest telecommunications provider in Australia, has been subject to both opportunities and challenges in this regulatory environment. While the company has expanded its network to cover the majority of the population, it has also faced scrutiny over controversial practices, such as misleading representations of coverage and unethical sales tactics, which resulted in public criticism and regulatory intervention. These cases underscore the necessity for carriers to align network service planning with strict regulatory compliance and ethical standards, not only to meet legal obligations but also to maintain consumer trust and market competitiveness.</w:t>
      </w:r>
    </w:p>
    <w:p w14:paraId="0EFC2A3C" w14:textId="77777777" w:rsidR="00416E9B" w:rsidRPr="00416E9B" w:rsidRDefault="00416E9B" w:rsidP="00416E9B">
      <w:pPr>
        <w:jc w:val="both"/>
        <w:rPr>
          <w:rFonts w:ascii="Arial" w:hAnsi="Arial" w:cs="Arial"/>
        </w:rPr>
      </w:pPr>
    </w:p>
    <w:p w14:paraId="2DBF8928" w14:textId="7AECF4EB" w:rsidR="00416E9B" w:rsidRDefault="00416E9B" w:rsidP="00416E9B">
      <w:pPr>
        <w:jc w:val="both"/>
        <w:rPr>
          <w:rFonts w:ascii="Arial" w:hAnsi="Arial" w:cs="Arial"/>
        </w:rPr>
      </w:pPr>
      <w:r w:rsidRPr="00416E9B">
        <w:rPr>
          <w:rFonts w:ascii="Arial" w:hAnsi="Arial" w:cs="Arial"/>
        </w:rPr>
        <w:lastRenderedPageBreak/>
        <w:t>This introduction sets the foundation for a deeper analysis of legislation and regulations, current accessibility levels, and the broader impact of compliance requirements on Optus’ ability to deliver reliable and equitable network services across Australia.</w:t>
      </w:r>
    </w:p>
    <w:p w14:paraId="70EA07FE" w14:textId="77777777" w:rsidR="00DA6A14" w:rsidRDefault="00DA6A14" w:rsidP="00416E9B">
      <w:pPr>
        <w:jc w:val="both"/>
        <w:rPr>
          <w:rFonts w:ascii="Arial" w:hAnsi="Arial" w:cs="Arial"/>
        </w:rPr>
      </w:pPr>
    </w:p>
    <w:p w14:paraId="2C31BC99" w14:textId="350F79C7" w:rsidR="005A4DA9" w:rsidRPr="00F673DA" w:rsidRDefault="005A4DA9" w:rsidP="00416E9B">
      <w:pPr>
        <w:jc w:val="both"/>
        <w:rPr>
          <w:rFonts w:ascii="Arial" w:hAnsi="Arial" w:cs="Arial"/>
          <w:b/>
          <w:bCs/>
        </w:rPr>
      </w:pPr>
      <w:r w:rsidRPr="00F673DA">
        <w:rPr>
          <w:rFonts w:ascii="Arial" w:hAnsi="Arial" w:cs="Arial"/>
          <w:b/>
          <w:bCs/>
        </w:rPr>
        <w:t>Legislation and regulations</w:t>
      </w:r>
    </w:p>
    <w:p w14:paraId="4FAD27ED" w14:textId="77777777" w:rsidR="00F673DA" w:rsidRPr="00F673DA" w:rsidRDefault="00F673DA" w:rsidP="00F673DA">
      <w:pPr>
        <w:jc w:val="both"/>
        <w:rPr>
          <w:rFonts w:ascii="Arial" w:hAnsi="Arial" w:cs="Arial"/>
        </w:rPr>
      </w:pPr>
      <w:r w:rsidRPr="00F673DA">
        <w:rPr>
          <w:rFonts w:ascii="Arial" w:hAnsi="Arial" w:cs="Arial"/>
        </w:rPr>
        <w:t>The Australian telecommunications industry operates within a highly regulated environment designed to balance innovation, competition, and consumer protection. For carriers such as Optus, compliance with regulatory obligations is not only a legal requirement but also a matter of corporate accountability and reputation. Past controversies surrounding Optus, including allegations of unethical sales practices and misleading coverage representations, highlight the risks of non-compliance and the crucial role regulators play in ensuring integrity and transparency across the sector.</w:t>
      </w:r>
    </w:p>
    <w:p w14:paraId="40E18830" w14:textId="77777777" w:rsidR="00F673DA" w:rsidRPr="00F673DA" w:rsidRDefault="00F673DA" w:rsidP="00F673DA">
      <w:pPr>
        <w:jc w:val="both"/>
        <w:rPr>
          <w:rFonts w:ascii="Arial" w:hAnsi="Arial" w:cs="Arial"/>
        </w:rPr>
      </w:pPr>
    </w:p>
    <w:p w14:paraId="27327228" w14:textId="77777777" w:rsidR="00F673DA" w:rsidRPr="00F673DA" w:rsidRDefault="00F673DA" w:rsidP="00F673DA">
      <w:pPr>
        <w:jc w:val="both"/>
        <w:rPr>
          <w:rFonts w:ascii="Arial" w:hAnsi="Arial" w:cs="Arial"/>
        </w:rPr>
      </w:pPr>
      <w:r w:rsidRPr="00F673DA">
        <w:rPr>
          <w:rFonts w:ascii="Arial" w:hAnsi="Arial" w:cs="Arial"/>
        </w:rPr>
        <w:t>The Australian Communications and Media Authority (ACMA) is the primary regulator of telecommunications. Established as an independent statutory authority, ACMA’s responsibilities include issuing carrier licences, managing spectrum allocations, enforcing consumer safeguards, and overseeing compliance with service standards. Its authority is grounded in the Telecommunications Act 1997, the Radiocommunications Act 1992, and related legislation. ACMA collaborates with a range of domestic and international bodies, including the Australian Competition and Consumer Commission (ACCC), the Office of the Australian Information Commissioner (OAIC), and regulators such as Ofcom in the UK and the FCC in the USA.</w:t>
      </w:r>
    </w:p>
    <w:p w14:paraId="55521E67" w14:textId="77777777" w:rsidR="00F673DA" w:rsidRPr="00F673DA" w:rsidRDefault="00F673DA" w:rsidP="00F673DA">
      <w:pPr>
        <w:jc w:val="both"/>
        <w:rPr>
          <w:rFonts w:ascii="Arial" w:hAnsi="Arial" w:cs="Arial"/>
        </w:rPr>
      </w:pPr>
    </w:p>
    <w:p w14:paraId="4A654642" w14:textId="77777777" w:rsidR="00F673DA" w:rsidRPr="00F673DA" w:rsidRDefault="00F673DA" w:rsidP="00F673DA">
      <w:pPr>
        <w:jc w:val="both"/>
        <w:rPr>
          <w:rFonts w:ascii="Arial" w:hAnsi="Arial" w:cs="Arial"/>
        </w:rPr>
      </w:pPr>
      <w:r w:rsidRPr="00F673DA">
        <w:rPr>
          <w:rFonts w:ascii="Arial" w:hAnsi="Arial" w:cs="Arial"/>
        </w:rPr>
        <w:t>The ACCC complements ACMA’s role by serving as the national competition and consumer regulator. Under the Competition and Consumer Act 2010, it ensures that carriers like Optus operate within a competitive and fair environment. Its responsibilities extend to monitoring wholesale access arrangements, enforcing consumer protection laws, and preventing anti-competitive conduct. Importantly, the ACCC has been instrumental in addressing misleading practices in the industry, including those involving Optus, reinforcing its significance as a safeguard against market abuses. Alongside these regulators, the OAIC provides oversight of privacy and data protection, enforcing the Privacy Act 1988 and monitoring compliance with data breach notification requirements. This aspect is particularly relevant in light of the 2022 Optus data breach, which underscored the need for stringent data protection standards and effective oversight.</w:t>
      </w:r>
    </w:p>
    <w:p w14:paraId="2A4540F2" w14:textId="77777777" w:rsidR="00F673DA" w:rsidRPr="00F673DA" w:rsidRDefault="00F673DA" w:rsidP="00F673DA">
      <w:pPr>
        <w:jc w:val="both"/>
        <w:rPr>
          <w:rFonts w:ascii="Arial" w:hAnsi="Arial" w:cs="Arial"/>
        </w:rPr>
      </w:pPr>
    </w:p>
    <w:p w14:paraId="3DD95E21" w14:textId="77777777" w:rsidR="00F673DA" w:rsidRPr="00F673DA" w:rsidRDefault="00F673DA" w:rsidP="00F673DA">
      <w:pPr>
        <w:jc w:val="both"/>
        <w:rPr>
          <w:rFonts w:ascii="Arial" w:hAnsi="Arial" w:cs="Arial"/>
        </w:rPr>
      </w:pPr>
      <w:r w:rsidRPr="00F673DA">
        <w:rPr>
          <w:rFonts w:ascii="Arial" w:hAnsi="Arial" w:cs="Arial"/>
        </w:rPr>
        <w:lastRenderedPageBreak/>
        <w:t>Operating as a carrier in Australia requires multiple licences and authorisations. Optus, for example, holds a Carrier Licence permitting the construction and maintenance of its telecommunications infrastructure, as well as Carriage Service Provider (CSP) registration enabling it to deliver services to end users. In addition, spectrum licences and apparatus licences grant Optus access to radiofrequency bands critical for mobile and satellite services. Carrier licensing also entails compliance with interception laws under the Telecommunications (Interception and Access) Act 1979, adherence to industry codes, and allocation of numbering resources under the national numbering plan. Collectively, these licensing obligations create a robust regulatory framework that ensures carriers act responsibly while delivering services.</w:t>
      </w:r>
    </w:p>
    <w:p w14:paraId="56FCE623" w14:textId="77777777" w:rsidR="00F673DA" w:rsidRPr="00F673DA" w:rsidRDefault="00F673DA" w:rsidP="00F673DA">
      <w:pPr>
        <w:jc w:val="both"/>
        <w:rPr>
          <w:rFonts w:ascii="Arial" w:hAnsi="Arial" w:cs="Arial"/>
        </w:rPr>
      </w:pPr>
    </w:p>
    <w:p w14:paraId="3F15B7DD" w14:textId="77777777" w:rsidR="00F673DA" w:rsidRPr="00F673DA" w:rsidRDefault="00F673DA" w:rsidP="00F673DA">
      <w:pPr>
        <w:jc w:val="both"/>
        <w:rPr>
          <w:rFonts w:ascii="Arial" w:hAnsi="Arial" w:cs="Arial"/>
        </w:rPr>
      </w:pPr>
      <w:r w:rsidRPr="00F673DA">
        <w:rPr>
          <w:rFonts w:ascii="Arial" w:hAnsi="Arial" w:cs="Arial"/>
        </w:rPr>
        <w:t>Regulation imposes both opportunities and constraints for Optus. On the one hand, strict rules around service standards, infrastructure access, and consumer protection enhance public trust and ensure fair competition. On the other hand, compliance with these requirements increases operational costs, limits flexibility in infrastructure deployment, and subjects Optus to ongoing scrutiny. Spectrum auctions, mandatory contributions to universal service schemes, and cyber security obligations under the Security of Critical Infrastructure Act further add to the regulatory burden. Deregulation, by contrast, could grant Optus greater freedom to innovate, reduce compliance costs, and accelerate 5G rollout. However, a deregulated environment risks weakening consumer protections and exacerbating market inequalities, particularly in rural and remote areas where commercial incentives are limited.</w:t>
      </w:r>
    </w:p>
    <w:p w14:paraId="3F3B6962" w14:textId="77777777" w:rsidR="00F673DA" w:rsidRPr="00F673DA" w:rsidRDefault="00F673DA" w:rsidP="00F673DA">
      <w:pPr>
        <w:jc w:val="both"/>
        <w:rPr>
          <w:rFonts w:ascii="Arial" w:hAnsi="Arial" w:cs="Arial"/>
        </w:rPr>
      </w:pPr>
    </w:p>
    <w:p w14:paraId="6546B51B" w14:textId="77777777" w:rsidR="00F673DA" w:rsidRPr="00F673DA" w:rsidRDefault="00F673DA" w:rsidP="00F673DA">
      <w:pPr>
        <w:jc w:val="both"/>
        <w:rPr>
          <w:rFonts w:ascii="Arial" w:hAnsi="Arial" w:cs="Arial"/>
        </w:rPr>
      </w:pPr>
      <w:r w:rsidRPr="00F673DA">
        <w:rPr>
          <w:rFonts w:ascii="Arial" w:hAnsi="Arial" w:cs="Arial"/>
        </w:rPr>
        <w:t>A central component of Australia’s telecommunications regulation is the Universal Service Obligation (USO), which mandates that all Australians, regardless of location, have access to a standard telephone service and public payphones. The USO is primarily implemented by Telstra under the Telstra Universal Service Obligation Performance Agreement (TUSOPA). This contract, valued at approximately AUD 270 million annually until 2032, is funded through a combination of government subsidies and industry levies paid by carriers including Optus. While Telstra remains responsible for delivering the services, Optus contributes financially, thereby supporting the maintenance of connectivity in non-commercial areas. This obligation highlights the principle of shared responsibility among carriers in ensuring equitable access to essential communications services across Australia.</w:t>
      </w:r>
    </w:p>
    <w:p w14:paraId="649ECB36" w14:textId="77777777" w:rsidR="00F673DA" w:rsidRPr="00F673DA" w:rsidRDefault="00F673DA" w:rsidP="00F673DA">
      <w:pPr>
        <w:jc w:val="both"/>
        <w:rPr>
          <w:rFonts w:ascii="Arial" w:hAnsi="Arial" w:cs="Arial"/>
        </w:rPr>
      </w:pPr>
    </w:p>
    <w:p w14:paraId="3F82292F" w14:textId="3AE6C0DE" w:rsidR="00DA6A14" w:rsidRPr="00416E9B" w:rsidRDefault="00F673DA" w:rsidP="00F673DA">
      <w:pPr>
        <w:jc w:val="both"/>
        <w:rPr>
          <w:rFonts w:ascii="Arial" w:hAnsi="Arial" w:cs="Arial"/>
        </w:rPr>
      </w:pPr>
      <w:r w:rsidRPr="00F673DA">
        <w:rPr>
          <w:rFonts w:ascii="Arial" w:hAnsi="Arial" w:cs="Arial"/>
        </w:rPr>
        <w:t xml:space="preserve">Telstra’s implementation of the USO involves extensive planning for service provision, infrastructure maintenance, fault repair, and accessibility for people with disabilities. It also ensures continuous emergency access to Triple Zero (000). Optus, while not the designated universal service provider, must still integrate USO-related requirements into its planning, particularly through its financial contributions and adherence to </w:t>
      </w:r>
      <w:r w:rsidRPr="00F673DA">
        <w:rPr>
          <w:rFonts w:ascii="Arial" w:hAnsi="Arial" w:cs="Arial"/>
        </w:rPr>
        <w:lastRenderedPageBreak/>
        <w:t>consumer safeguard codes enforced by ACMA. For Optus, alignment with these obligations is not only about compliance but also about reputation. Any failure to meet regulatory expectations—whether through misleading coverage claims or inadequate consumer protections—directly undermines public trust and invites heightened regulatory scrutiny.</w:t>
      </w:r>
    </w:p>
    <w:p w14:paraId="60875BE2" w14:textId="53088F0B" w:rsidR="00EF0D31" w:rsidRPr="00416E9B" w:rsidRDefault="00EF0D31" w:rsidP="00C40E80">
      <w:pPr>
        <w:jc w:val="both"/>
        <w:rPr>
          <w:rFonts w:ascii="Arial" w:hAnsi="Arial" w:cs="Arial"/>
        </w:rPr>
      </w:pPr>
      <w:r w:rsidRPr="00416E9B">
        <w:rPr>
          <w:rFonts w:ascii="Arial" w:hAnsi="Arial" w:cs="Arial"/>
        </w:rPr>
        <w:t>Accessibility</w:t>
      </w:r>
    </w:p>
    <w:p w14:paraId="4D6AACD3" w14:textId="77777777" w:rsidR="00EF0D31" w:rsidRPr="00416E9B" w:rsidRDefault="00EF0D31" w:rsidP="00C40E80">
      <w:pPr>
        <w:jc w:val="both"/>
        <w:rPr>
          <w:rFonts w:ascii="Arial" w:hAnsi="Arial" w:cs="Arial"/>
        </w:rPr>
      </w:pPr>
    </w:p>
    <w:p w14:paraId="715B9CE0" w14:textId="6519F1AC" w:rsidR="00EF0D31" w:rsidRDefault="00DA6A14" w:rsidP="00DA6A14">
      <w:pPr>
        <w:jc w:val="both"/>
        <w:rPr>
          <w:rFonts w:ascii="Arial" w:hAnsi="Arial" w:cs="Arial"/>
        </w:rPr>
      </w:pPr>
      <w:r w:rsidRPr="00DA6A14">
        <w:rPr>
          <w:rFonts w:ascii="Arial" w:hAnsi="Arial" w:cs="Arial"/>
        </w:rPr>
        <w:t>Impact of regulations on accessibility</w:t>
      </w:r>
    </w:p>
    <w:p w14:paraId="0D2C43CF" w14:textId="77777777" w:rsidR="00DA6A14" w:rsidRDefault="00DA6A14" w:rsidP="00DA6A14">
      <w:pPr>
        <w:jc w:val="both"/>
        <w:rPr>
          <w:rFonts w:ascii="Arial" w:hAnsi="Arial" w:cs="Arial"/>
        </w:rPr>
      </w:pPr>
    </w:p>
    <w:p w14:paraId="78CCBA4F" w14:textId="77777777" w:rsidR="00DA6A14" w:rsidRPr="00416E9B" w:rsidRDefault="00DA6A14" w:rsidP="00DA6A14">
      <w:pPr>
        <w:jc w:val="both"/>
        <w:rPr>
          <w:rFonts w:ascii="Arial" w:hAnsi="Arial" w:cs="Arial"/>
        </w:rPr>
      </w:pPr>
    </w:p>
    <w:sectPr w:rsidR="00DA6A14" w:rsidRPr="00416E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A0696B" w14:textId="77777777" w:rsidR="00874D4C" w:rsidRDefault="00874D4C" w:rsidP="00FC6F74">
      <w:pPr>
        <w:spacing w:after="0" w:line="240" w:lineRule="auto"/>
      </w:pPr>
      <w:r>
        <w:separator/>
      </w:r>
    </w:p>
  </w:endnote>
  <w:endnote w:type="continuationSeparator" w:id="0">
    <w:p w14:paraId="4141FBEF" w14:textId="77777777" w:rsidR="00874D4C" w:rsidRDefault="00874D4C" w:rsidP="00FC6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A5DFF6" w14:textId="77777777" w:rsidR="00874D4C" w:rsidRDefault="00874D4C" w:rsidP="00FC6F74">
      <w:pPr>
        <w:spacing w:after="0" w:line="240" w:lineRule="auto"/>
      </w:pPr>
      <w:r>
        <w:separator/>
      </w:r>
    </w:p>
  </w:footnote>
  <w:footnote w:type="continuationSeparator" w:id="0">
    <w:p w14:paraId="2DAC51C4" w14:textId="77777777" w:rsidR="00874D4C" w:rsidRDefault="00874D4C" w:rsidP="00FC6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92117"/>
    <w:multiLevelType w:val="multilevel"/>
    <w:tmpl w:val="4B10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B2B44"/>
    <w:multiLevelType w:val="multilevel"/>
    <w:tmpl w:val="079E7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B1150"/>
    <w:multiLevelType w:val="hybridMultilevel"/>
    <w:tmpl w:val="97B81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816D52"/>
    <w:multiLevelType w:val="multilevel"/>
    <w:tmpl w:val="59A6A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113D6E"/>
    <w:multiLevelType w:val="multilevel"/>
    <w:tmpl w:val="6E6223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BC331E"/>
    <w:multiLevelType w:val="multilevel"/>
    <w:tmpl w:val="8B54B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0F4F6C"/>
    <w:multiLevelType w:val="multilevel"/>
    <w:tmpl w:val="3E92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7715031">
    <w:abstractNumId w:val="4"/>
  </w:num>
  <w:num w:numId="2" w16cid:durableId="1391073999">
    <w:abstractNumId w:val="0"/>
  </w:num>
  <w:num w:numId="3" w16cid:durableId="1985967335">
    <w:abstractNumId w:val="1"/>
  </w:num>
  <w:num w:numId="4" w16cid:durableId="1981956934">
    <w:abstractNumId w:val="2"/>
  </w:num>
  <w:num w:numId="5" w16cid:durableId="187261224">
    <w:abstractNumId w:val="7"/>
  </w:num>
  <w:num w:numId="6" w16cid:durableId="549414431">
    <w:abstractNumId w:val="5"/>
  </w:num>
  <w:num w:numId="7" w16cid:durableId="690304781">
    <w:abstractNumId w:val="6"/>
  </w:num>
  <w:num w:numId="8" w16cid:durableId="577908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51"/>
    <w:rsid w:val="00080865"/>
    <w:rsid w:val="000F52CF"/>
    <w:rsid w:val="000F74FC"/>
    <w:rsid w:val="00127EF2"/>
    <w:rsid w:val="00130C28"/>
    <w:rsid w:val="00185F17"/>
    <w:rsid w:val="001E6F77"/>
    <w:rsid w:val="0023641F"/>
    <w:rsid w:val="00261CDC"/>
    <w:rsid w:val="002810AF"/>
    <w:rsid w:val="00285C6E"/>
    <w:rsid w:val="00300D62"/>
    <w:rsid w:val="003022ED"/>
    <w:rsid w:val="003D06E6"/>
    <w:rsid w:val="00416E9B"/>
    <w:rsid w:val="00472DFF"/>
    <w:rsid w:val="0047713C"/>
    <w:rsid w:val="00495A72"/>
    <w:rsid w:val="004F65E9"/>
    <w:rsid w:val="00537925"/>
    <w:rsid w:val="00537D46"/>
    <w:rsid w:val="00541217"/>
    <w:rsid w:val="00555AD6"/>
    <w:rsid w:val="005A4DA9"/>
    <w:rsid w:val="00613151"/>
    <w:rsid w:val="0062247E"/>
    <w:rsid w:val="00651E97"/>
    <w:rsid w:val="006E3AE2"/>
    <w:rsid w:val="006F2F51"/>
    <w:rsid w:val="00717C5F"/>
    <w:rsid w:val="007B1A7D"/>
    <w:rsid w:val="007F04B1"/>
    <w:rsid w:val="007F47FA"/>
    <w:rsid w:val="00835D6B"/>
    <w:rsid w:val="008657F6"/>
    <w:rsid w:val="00874D4C"/>
    <w:rsid w:val="00875F4F"/>
    <w:rsid w:val="00893C2C"/>
    <w:rsid w:val="008A522C"/>
    <w:rsid w:val="00900094"/>
    <w:rsid w:val="009C455D"/>
    <w:rsid w:val="00A41DCB"/>
    <w:rsid w:val="00AA4019"/>
    <w:rsid w:val="00AD1514"/>
    <w:rsid w:val="00B333D7"/>
    <w:rsid w:val="00B5100D"/>
    <w:rsid w:val="00B62391"/>
    <w:rsid w:val="00BD4398"/>
    <w:rsid w:val="00C0243C"/>
    <w:rsid w:val="00C40E80"/>
    <w:rsid w:val="00C47EF4"/>
    <w:rsid w:val="00C61561"/>
    <w:rsid w:val="00CA4B92"/>
    <w:rsid w:val="00D16889"/>
    <w:rsid w:val="00D17E0E"/>
    <w:rsid w:val="00D703B9"/>
    <w:rsid w:val="00D80D80"/>
    <w:rsid w:val="00DA6A14"/>
    <w:rsid w:val="00DE5A18"/>
    <w:rsid w:val="00E01AAF"/>
    <w:rsid w:val="00EF0D31"/>
    <w:rsid w:val="00F217DB"/>
    <w:rsid w:val="00F673DA"/>
    <w:rsid w:val="00F92405"/>
    <w:rsid w:val="00FC6F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C5CB"/>
  <w15:chartTrackingRefBased/>
  <w15:docId w15:val="{81FD4640-C08F-4E93-8DE6-662B79E3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131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1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1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1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1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1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1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1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1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151"/>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613151"/>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613151"/>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613151"/>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613151"/>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613151"/>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613151"/>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613151"/>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613151"/>
    <w:rPr>
      <w:rFonts w:eastAsiaTheme="majorEastAsia" w:cstheme="majorBidi"/>
      <w:noProof/>
      <w:color w:val="272727" w:themeColor="text1" w:themeTint="D8"/>
    </w:rPr>
  </w:style>
  <w:style w:type="paragraph" w:styleId="Title">
    <w:name w:val="Title"/>
    <w:basedOn w:val="Normal"/>
    <w:next w:val="Normal"/>
    <w:link w:val="TitleChar"/>
    <w:uiPriority w:val="10"/>
    <w:qFormat/>
    <w:rsid w:val="006131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151"/>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6131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151"/>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613151"/>
    <w:pPr>
      <w:spacing w:before="160"/>
      <w:jc w:val="center"/>
    </w:pPr>
    <w:rPr>
      <w:i/>
      <w:iCs/>
      <w:color w:val="404040" w:themeColor="text1" w:themeTint="BF"/>
    </w:rPr>
  </w:style>
  <w:style w:type="character" w:customStyle="1" w:styleId="QuoteChar">
    <w:name w:val="Quote Char"/>
    <w:basedOn w:val="DefaultParagraphFont"/>
    <w:link w:val="Quote"/>
    <w:uiPriority w:val="29"/>
    <w:rsid w:val="00613151"/>
    <w:rPr>
      <w:i/>
      <w:iCs/>
      <w:noProof/>
      <w:color w:val="404040" w:themeColor="text1" w:themeTint="BF"/>
    </w:rPr>
  </w:style>
  <w:style w:type="paragraph" w:styleId="ListParagraph">
    <w:name w:val="List Paragraph"/>
    <w:basedOn w:val="Normal"/>
    <w:uiPriority w:val="34"/>
    <w:qFormat/>
    <w:rsid w:val="00613151"/>
    <w:pPr>
      <w:ind w:left="720"/>
      <w:contextualSpacing/>
    </w:pPr>
  </w:style>
  <w:style w:type="character" w:styleId="IntenseEmphasis">
    <w:name w:val="Intense Emphasis"/>
    <w:basedOn w:val="DefaultParagraphFont"/>
    <w:uiPriority w:val="21"/>
    <w:qFormat/>
    <w:rsid w:val="00613151"/>
    <w:rPr>
      <w:i/>
      <w:iCs/>
      <w:color w:val="0F4761" w:themeColor="accent1" w:themeShade="BF"/>
    </w:rPr>
  </w:style>
  <w:style w:type="paragraph" w:styleId="IntenseQuote">
    <w:name w:val="Intense Quote"/>
    <w:basedOn w:val="Normal"/>
    <w:next w:val="Normal"/>
    <w:link w:val="IntenseQuoteChar"/>
    <w:uiPriority w:val="30"/>
    <w:qFormat/>
    <w:rsid w:val="006131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151"/>
    <w:rPr>
      <w:i/>
      <w:iCs/>
      <w:noProof/>
      <w:color w:val="0F4761" w:themeColor="accent1" w:themeShade="BF"/>
    </w:rPr>
  </w:style>
  <w:style w:type="character" w:styleId="IntenseReference">
    <w:name w:val="Intense Reference"/>
    <w:basedOn w:val="DefaultParagraphFont"/>
    <w:uiPriority w:val="32"/>
    <w:qFormat/>
    <w:rsid w:val="00613151"/>
    <w:rPr>
      <w:b/>
      <w:bCs/>
      <w:smallCaps/>
      <w:color w:val="0F4761" w:themeColor="accent1" w:themeShade="BF"/>
      <w:spacing w:val="5"/>
    </w:rPr>
  </w:style>
  <w:style w:type="paragraph" w:styleId="NormalWeb">
    <w:name w:val="Normal (Web)"/>
    <w:basedOn w:val="Normal"/>
    <w:uiPriority w:val="99"/>
    <w:semiHidden/>
    <w:unhideWhenUsed/>
    <w:rsid w:val="00285C6E"/>
    <w:pPr>
      <w:spacing w:before="100" w:beforeAutospacing="1" w:after="100" w:afterAutospacing="1" w:line="240" w:lineRule="auto"/>
    </w:pPr>
    <w:rPr>
      <w:rFonts w:ascii="Times New Roman" w:eastAsia="Times New Roman" w:hAnsi="Times New Roman" w:cs="Times New Roman"/>
      <w:noProof w:val="0"/>
      <w:kern w:val="0"/>
      <w:lang w:eastAsia="en-AU"/>
      <w14:ligatures w14:val="none"/>
    </w:rPr>
  </w:style>
  <w:style w:type="character" w:styleId="Strong">
    <w:name w:val="Strong"/>
    <w:basedOn w:val="DefaultParagraphFont"/>
    <w:uiPriority w:val="22"/>
    <w:qFormat/>
    <w:rsid w:val="00285C6E"/>
    <w:rPr>
      <w:b/>
      <w:bCs/>
    </w:rPr>
  </w:style>
  <w:style w:type="character" w:styleId="Emphasis">
    <w:name w:val="Emphasis"/>
    <w:basedOn w:val="DefaultParagraphFont"/>
    <w:uiPriority w:val="20"/>
    <w:qFormat/>
    <w:rsid w:val="003D06E6"/>
    <w:rPr>
      <w:i/>
      <w:iCs/>
    </w:rPr>
  </w:style>
  <w:style w:type="paragraph" w:styleId="Header">
    <w:name w:val="header"/>
    <w:basedOn w:val="Normal"/>
    <w:link w:val="HeaderChar"/>
    <w:uiPriority w:val="99"/>
    <w:unhideWhenUsed/>
    <w:rsid w:val="00FC6F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F74"/>
    <w:rPr>
      <w:noProof/>
    </w:rPr>
  </w:style>
  <w:style w:type="paragraph" w:styleId="Footer">
    <w:name w:val="footer"/>
    <w:basedOn w:val="Normal"/>
    <w:link w:val="FooterChar"/>
    <w:uiPriority w:val="99"/>
    <w:unhideWhenUsed/>
    <w:rsid w:val="00FC6F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F74"/>
    <w:rPr>
      <w:noProof/>
    </w:rPr>
  </w:style>
  <w:style w:type="character" w:styleId="Hyperlink">
    <w:name w:val="Hyperlink"/>
    <w:basedOn w:val="DefaultParagraphFont"/>
    <w:uiPriority w:val="99"/>
    <w:unhideWhenUsed/>
    <w:rsid w:val="00875F4F"/>
    <w:rPr>
      <w:color w:val="467886" w:themeColor="hyperlink"/>
      <w:u w:val="single"/>
    </w:rPr>
  </w:style>
  <w:style w:type="character" w:styleId="UnresolvedMention">
    <w:name w:val="Unresolved Mention"/>
    <w:basedOn w:val="DefaultParagraphFont"/>
    <w:uiPriority w:val="99"/>
    <w:semiHidden/>
    <w:unhideWhenUsed/>
    <w:rsid w:val="00875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ESPITIA MANUEL SERGIO</dc:creator>
  <cp:keywords/>
  <dc:description/>
  <cp:lastModifiedBy>PEREZ ESPITIA MANUEL SERGIO</cp:lastModifiedBy>
  <cp:revision>19</cp:revision>
  <dcterms:created xsi:type="dcterms:W3CDTF">2025-08-31T11:22:00Z</dcterms:created>
  <dcterms:modified xsi:type="dcterms:W3CDTF">2025-09-18T13:03:00Z</dcterms:modified>
</cp:coreProperties>
</file>