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&#13;&#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6F8EA2AC">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000000">
      <w:pPr>
        <w:pStyle w:val="TOC1"/>
        <w:tabs>
          <w:tab w:val="right" w:leader="dot" w:pos="9282"/>
        </w:tabs>
        <w:rPr>
          <w:rFonts w:asciiTheme="minorHAnsi" w:eastAsiaTheme="minorEastAsia" w:hAnsiTheme="minorHAnsi"/>
          <w:noProof/>
          <w:sz w:val="24"/>
          <w:szCs w:val="24"/>
          <w:lang w:eastAsia="en-GB"/>
        </w:rPr>
      </w:pPr>
      <w:hyperlink w:anchor="_Toc63252959" w:history="1">
        <w:r w:rsidR="00673D81" w:rsidRPr="00977EDC">
          <w:rPr>
            <w:rStyle w:val="Hyperlink"/>
            <w:noProof/>
          </w:rPr>
          <w:t>Section 2: Identifying, testing and evaluating vendor products and equipment</w:t>
        </w:r>
        <w:r w:rsidR="00673D81">
          <w:rPr>
            <w:noProof/>
            <w:webHidden/>
          </w:rPr>
          <w:tab/>
        </w:r>
        <w:r w:rsidR="00673D81">
          <w:rPr>
            <w:noProof/>
            <w:webHidden/>
          </w:rPr>
          <w:fldChar w:fldCharType="begin"/>
        </w:r>
        <w:r w:rsidR="00673D81">
          <w:rPr>
            <w:noProof/>
            <w:webHidden/>
          </w:rPr>
          <w:instrText xml:space="preserve"> PAGEREF _Toc63252959 \h </w:instrText>
        </w:r>
        <w:r w:rsidR="00673D81">
          <w:rPr>
            <w:noProof/>
            <w:webHidden/>
          </w:rPr>
        </w:r>
        <w:r w:rsidR="00673D81">
          <w:rPr>
            <w:noProof/>
            <w:webHidden/>
          </w:rPr>
          <w:fldChar w:fldCharType="separate"/>
        </w:r>
        <w:r w:rsidR="00673D81">
          <w:rPr>
            <w:noProof/>
            <w:webHidden/>
          </w:rPr>
          <w:t>7</w:t>
        </w:r>
        <w:r w:rsidR="00673D81">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07D8EC9B" w:rsidR="00C221C6" w:rsidRPr="00AA08C6" w:rsidRDefault="00C221C6" w:rsidP="0025129B">
            <w:pPr>
              <w:pStyle w:val="RTOWorksBodyText"/>
            </w:pP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7F9AD62" w:rsidR="00C221C6" w:rsidRPr="00AA08C6" w:rsidRDefault="00C221C6" w:rsidP="0025129B">
            <w:pPr>
              <w:pStyle w:val="RTOWorksBodyText"/>
            </w:pP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307D4F7C" w:rsidR="00C221C6" w:rsidRPr="00AA08C6" w:rsidRDefault="00C221C6" w:rsidP="0025129B">
            <w:pPr>
              <w:pStyle w:val="RTOWorksBodyText"/>
            </w:pP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525F1B71" w:rsidR="00C221C6" w:rsidRPr="00AA08C6" w:rsidRDefault="00C221C6" w:rsidP="0025129B">
            <w:pPr>
              <w:pStyle w:val="RTOWorksBodyText"/>
            </w:pP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7327"/>
      </w:tblGrid>
      <w:tr w:rsidR="00D93113" w:rsidRPr="00AA08C6" w14:paraId="4F800340" w14:textId="77777777" w:rsidTr="00AF22E3">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7327" w:type="dxa"/>
          </w:tcPr>
          <w:p w14:paraId="0E3CD9E6" w14:textId="23D8F6D8" w:rsidR="00D93113" w:rsidRPr="00AA08C6" w:rsidRDefault="00D93113" w:rsidP="00AF22E3">
            <w:pPr>
              <w:pStyle w:val="RTOWorksBodyText"/>
            </w:pPr>
          </w:p>
        </w:tc>
      </w:tr>
      <w:tr w:rsidR="00954A17" w:rsidRPr="00AA08C6" w14:paraId="73282ECA" w14:textId="77777777" w:rsidTr="00AF22E3">
        <w:trPr>
          <w:trHeight w:val="3402"/>
        </w:trPr>
        <w:tc>
          <w:tcPr>
            <w:tcW w:w="1955" w:type="dxa"/>
          </w:tcPr>
          <w:p w14:paraId="1D5FE87F" w14:textId="77777777" w:rsidR="00954A17" w:rsidRPr="00AA08C6" w:rsidRDefault="00954A17" w:rsidP="00DA71B4">
            <w:pPr>
              <w:pStyle w:val="RTOWorksBodyText"/>
              <w:spacing w:line="276" w:lineRule="auto"/>
            </w:pPr>
            <w:r w:rsidRPr="00AA08C6">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7327" w:type="dxa"/>
          </w:tcPr>
          <w:p w14:paraId="582DE146" w14:textId="5582703E" w:rsidR="00954A17" w:rsidRPr="00AA08C6" w:rsidRDefault="00954A17" w:rsidP="00AF22E3">
            <w:pPr>
              <w:pStyle w:val="RTOWorksBodyText"/>
            </w:pPr>
          </w:p>
        </w:tc>
      </w:tr>
      <w:tr w:rsidR="00954A17" w:rsidRPr="00AA08C6" w14:paraId="546F746C" w14:textId="77777777" w:rsidTr="00AF22E3">
        <w:trPr>
          <w:trHeight w:val="3402"/>
        </w:trPr>
        <w:tc>
          <w:tcPr>
            <w:tcW w:w="1955" w:type="dxa"/>
          </w:tcPr>
          <w:p w14:paraId="727857BC" w14:textId="77777777" w:rsidR="00954A17" w:rsidRPr="00AA08C6" w:rsidRDefault="00954A17" w:rsidP="00DA71B4">
            <w:pPr>
              <w:pStyle w:val="RTOWorksBodyText"/>
              <w:spacing w:line="276" w:lineRule="auto"/>
            </w:pPr>
            <w:r w:rsidRPr="00AA08C6">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7327" w:type="dxa"/>
          </w:tcPr>
          <w:p w14:paraId="5E00815B" w14:textId="4E607D3B" w:rsidR="00D67CB6" w:rsidRPr="00AA08C6" w:rsidRDefault="00D67CB6" w:rsidP="00AF22E3">
            <w:pPr>
              <w:pStyle w:val="RTOWorksBodyText"/>
            </w:pPr>
          </w:p>
        </w:tc>
      </w:tr>
      <w:tr w:rsidR="00D93113" w:rsidRPr="00AA08C6" w14:paraId="73981F83" w14:textId="77777777" w:rsidTr="00AF22E3">
        <w:trPr>
          <w:trHeight w:val="3402"/>
        </w:trPr>
        <w:tc>
          <w:tcPr>
            <w:tcW w:w="1955" w:type="dxa"/>
          </w:tcPr>
          <w:p w14:paraId="6E44398E" w14:textId="71EAD748"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7327" w:type="dxa"/>
          </w:tcPr>
          <w:p w14:paraId="5C20DBAB" w14:textId="45DF6505" w:rsidR="00D93113" w:rsidRPr="00AA08C6" w:rsidRDefault="00D93113" w:rsidP="00AF22E3">
            <w:pPr>
              <w:pStyle w:val="RTOWorksBodyText"/>
            </w:pPr>
          </w:p>
        </w:tc>
      </w:tr>
    </w:tbl>
    <w:p w14:paraId="61A42075" w14:textId="77777777" w:rsidR="001F7133" w:rsidRPr="00AA08C6" w:rsidRDefault="001F7133">
      <w:r w:rsidRPr="00AA08C6">
        <w:br w:type="page"/>
      </w:r>
    </w:p>
    <w:p w14:paraId="051FF2DB" w14:textId="07DF99AC" w:rsidR="001F7133" w:rsidRPr="00AA08C6" w:rsidRDefault="001F7133" w:rsidP="001F7133">
      <w:pPr>
        <w:pStyle w:val="RTOWorksHeading1"/>
      </w:pPr>
      <w:bookmarkStart w:id="3" w:name="_Toc63252959"/>
      <w:r w:rsidRPr="00AA08C6">
        <w:lastRenderedPageBreak/>
        <w:t>Section 2: Identifying, testing and evaluating vendor products and equipment</w:t>
      </w:r>
      <w:bookmarkEnd w:id="3"/>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you have identified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5DB3F693" w14:textId="0818E813" w:rsidR="00D96906" w:rsidRPr="00AA08C6" w:rsidRDefault="00D96906" w:rsidP="00933209">
            <w:pPr>
              <w:pStyle w:val="RTOWorks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w:t>
            </w:r>
            <w:proofErr w:type="gramStart"/>
            <w:r w:rsidRPr="00A13728">
              <w:rPr>
                <w:i/>
                <w:iCs/>
              </w:rPr>
              <w:t>completed,</w:t>
            </w:r>
            <w:proofErr w:type="gramEnd"/>
            <w:r w:rsidRPr="00A13728">
              <w:rPr>
                <w:i/>
                <w:iCs/>
              </w:rPr>
              <w:t xml:space="preserve">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8A2CE6">
      <w:footerReference w:type="default" r:id="rId15"/>
      <w:type w:val="continuous"/>
      <w:pgSz w:w="11900" w:h="16840"/>
      <w:pgMar w:top="1247" w:right="1247" w:bottom="1134"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7DC32" w14:textId="77777777" w:rsidR="00AC7EFA" w:rsidRDefault="00AC7EFA" w:rsidP="00B80E94">
      <w:pPr>
        <w:spacing w:line="240" w:lineRule="auto"/>
      </w:pPr>
      <w:r>
        <w:separator/>
      </w:r>
    </w:p>
  </w:endnote>
  <w:endnote w:type="continuationSeparator" w:id="0">
    <w:p w14:paraId="23E2DBBE" w14:textId="77777777" w:rsidR="00AC7EFA" w:rsidRDefault="00AC7EFA"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panose1 w:val="020B0504020202020204"/>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F2596" w14:textId="77777777" w:rsidR="00AC7EFA" w:rsidRDefault="00AC7EFA" w:rsidP="00B80E94">
      <w:pPr>
        <w:spacing w:line="240" w:lineRule="auto"/>
      </w:pPr>
      <w:r>
        <w:separator/>
      </w:r>
    </w:p>
  </w:footnote>
  <w:footnote w:type="continuationSeparator" w:id="0">
    <w:p w14:paraId="7BCCDE24" w14:textId="77777777" w:rsidR="00AC7EFA" w:rsidRDefault="00AC7EFA"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2C02E8"/>
    <w:multiLevelType w:val="multilevel"/>
    <w:tmpl w:val="8BB414F2"/>
    <w:numStyleLink w:val="BodtTextBullets"/>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7"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8"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4"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9CE4C2B"/>
    <w:multiLevelType w:val="multilevel"/>
    <w:tmpl w:val="FDF09F14"/>
    <w:numStyleLink w:val="BodyTextBulletIndent"/>
  </w:abstractNum>
  <w:abstractNum w:abstractNumId="17"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22"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9"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6353D6"/>
    <w:multiLevelType w:val="multilevel"/>
    <w:tmpl w:val="78D890BE"/>
    <w:numStyleLink w:val="AssessorGuidanceBullets"/>
  </w:abstractNum>
  <w:abstractNum w:abstractNumId="35"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19"/>
  </w:num>
  <w:num w:numId="2" w16cid:durableId="1225291217">
    <w:abstractNumId w:val="19"/>
    <w:lvlOverride w:ilvl="0">
      <w:startOverride w:val="1"/>
    </w:lvlOverride>
  </w:num>
  <w:num w:numId="3" w16cid:durableId="1659378545">
    <w:abstractNumId w:val="21"/>
  </w:num>
  <w:num w:numId="4" w16cid:durableId="872426574">
    <w:abstractNumId w:val="17"/>
  </w:num>
  <w:num w:numId="5" w16cid:durableId="473059319">
    <w:abstractNumId w:val="31"/>
  </w:num>
  <w:num w:numId="6" w16cid:durableId="1877770138">
    <w:abstractNumId w:val="27"/>
  </w:num>
  <w:num w:numId="7" w16cid:durableId="2125036417">
    <w:abstractNumId w:val="18"/>
  </w:num>
  <w:num w:numId="8" w16cid:durableId="2008746544">
    <w:abstractNumId w:val="32"/>
  </w:num>
  <w:num w:numId="9" w16cid:durableId="116993029">
    <w:abstractNumId w:val="24"/>
  </w:num>
  <w:num w:numId="10" w16cid:durableId="825172868">
    <w:abstractNumId w:val="12"/>
  </w:num>
  <w:num w:numId="11" w16cid:durableId="1166898492">
    <w:abstractNumId w:val="26"/>
  </w:num>
  <w:num w:numId="12" w16cid:durableId="261843691">
    <w:abstractNumId w:val="1"/>
  </w:num>
  <w:num w:numId="13" w16cid:durableId="313266626">
    <w:abstractNumId w:val="2"/>
  </w:num>
  <w:num w:numId="14" w16cid:durableId="1521972871">
    <w:abstractNumId w:val="20"/>
  </w:num>
  <w:num w:numId="15" w16cid:durableId="712077327">
    <w:abstractNumId w:val="36"/>
  </w:num>
  <w:num w:numId="16" w16cid:durableId="1638341702">
    <w:abstractNumId w:val="5"/>
  </w:num>
  <w:num w:numId="17" w16cid:durableId="1652443006">
    <w:abstractNumId w:val="25"/>
  </w:num>
  <w:num w:numId="18" w16cid:durableId="1996254744">
    <w:abstractNumId w:val="14"/>
  </w:num>
  <w:num w:numId="19" w16cid:durableId="2054111356">
    <w:abstractNumId w:val="4"/>
  </w:num>
  <w:num w:numId="20" w16cid:durableId="1818568344">
    <w:abstractNumId w:val="30"/>
  </w:num>
  <w:num w:numId="21" w16cid:durableId="1564755736">
    <w:abstractNumId w:val="10"/>
  </w:num>
  <w:num w:numId="22" w16cid:durableId="1067345028">
    <w:abstractNumId w:val="28"/>
  </w:num>
  <w:num w:numId="23" w16cid:durableId="213005224">
    <w:abstractNumId w:val="11"/>
  </w:num>
  <w:num w:numId="24" w16cid:durableId="1196623906">
    <w:abstractNumId w:val="7"/>
  </w:num>
  <w:num w:numId="25" w16cid:durableId="657345463">
    <w:abstractNumId w:val="6"/>
  </w:num>
  <w:num w:numId="26" w16cid:durableId="1507019323">
    <w:abstractNumId w:val="29"/>
  </w:num>
  <w:num w:numId="27" w16cid:durableId="360907665">
    <w:abstractNumId w:val="19"/>
  </w:num>
  <w:num w:numId="28" w16cid:durableId="71969648">
    <w:abstractNumId w:val="35"/>
  </w:num>
  <w:num w:numId="29" w16cid:durableId="1072508692">
    <w:abstractNumId w:val="22"/>
  </w:num>
  <w:num w:numId="30" w16cid:durableId="1825900508">
    <w:abstractNumId w:val="15"/>
  </w:num>
  <w:num w:numId="31" w16cid:durableId="1335494716">
    <w:abstractNumId w:val="15"/>
  </w:num>
  <w:num w:numId="32" w16cid:durableId="1792507142">
    <w:abstractNumId w:val="10"/>
  </w:num>
  <w:num w:numId="33" w16cid:durableId="1189875558">
    <w:abstractNumId w:val="10"/>
  </w:num>
  <w:num w:numId="34" w16cid:durableId="1207527849">
    <w:abstractNumId w:val="3"/>
  </w:num>
  <w:num w:numId="35" w16cid:durableId="628319874">
    <w:abstractNumId w:val="3"/>
  </w:num>
  <w:num w:numId="36" w16cid:durableId="1225873238">
    <w:abstractNumId w:val="3"/>
  </w:num>
  <w:num w:numId="37" w16cid:durableId="718438219">
    <w:abstractNumId w:val="9"/>
  </w:num>
  <w:num w:numId="38" w16cid:durableId="1801073690">
    <w:abstractNumId w:val="9"/>
  </w:num>
  <w:num w:numId="39" w16cid:durableId="2003266870">
    <w:abstractNumId w:val="9"/>
  </w:num>
  <w:num w:numId="40" w16cid:durableId="897134810">
    <w:abstractNumId w:val="23"/>
  </w:num>
  <w:num w:numId="41" w16cid:durableId="1029264127">
    <w:abstractNumId w:val="18"/>
  </w:num>
  <w:num w:numId="42" w16cid:durableId="315840196">
    <w:abstractNumId w:val="13"/>
  </w:num>
  <w:num w:numId="43" w16cid:durableId="1454321211">
    <w:abstractNumId w:val="34"/>
  </w:num>
  <w:num w:numId="44" w16cid:durableId="1265267445">
    <w:abstractNumId w:val="16"/>
  </w:num>
  <w:num w:numId="45" w16cid:durableId="1375697013">
    <w:abstractNumId w:val="8"/>
  </w:num>
  <w:num w:numId="46" w16cid:durableId="1061440068">
    <w:abstractNumId w:val="0"/>
  </w:num>
  <w:num w:numId="47" w16cid:durableId="12775636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E25C9"/>
    <w:rsid w:val="000F71E1"/>
    <w:rsid w:val="00101AF3"/>
    <w:rsid w:val="0010388E"/>
    <w:rsid w:val="001078BB"/>
    <w:rsid w:val="00113B81"/>
    <w:rsid w:val="001147C2"/>
    <w:rsid w:val="00121040"/>
    <w:rsid w:val="00121606"/>
    <w:rsid w:val="001326AE"/>
    <w:rsid w:val="00156E50"/>
    <w:rsid w:val="00163444"/>
    <w:rsid w:val="001671C7"/>
    <w:rsid w:val="001A2BDF"/>
    <w:rsid w:val="001B38EC"/>
    <w:rsid w:val="001C5388"/>
    <w:rsid w:val="001D0929"/>
    <w:rsid w:val="001D6E5C"/>
    <w:rsid w:val="001E19B0"/>
    <w:rsid w:val="001E44C3"/>
    <w:rsid w:val="001F10A9"/>
    <w:rsid w:val="001F22EE"/>
    <w:rsid w:val="001F7133"/>
    <w:rsid w:val="00202820"/>
    <w:rsid w:val="00204D82"/>
    <w:rsid w:val="002251FA"/>
    <w:rsid w:val="002331FE"/>
    <w:rsid w:val="0025129B"/>
    <w:rsid w:val="00252F2A"/>
    <w:rsid w:val="002573AB"/>
    <w:rsid w:val="0026158A"/>
    <w:rsid w:val="00263D41"/>
    <w:rsid w:val="00264414"/>
    <w:rsid w:val="002651D6"/>
    <w:rsid w:val="0028761D"/>
    <w:rsid w:val="00290642"/>
    <w:rsid w:val="00292792"/>
    <w:rsid w:val="00295B4B"/>
    <w:rsid w:val="002C076E"/>
    <w:rsid w:val="002C1D31"/>
    <w:rsid w:val="002D166F"/>
    <w:rsid w:val="00315480"/>
    <w:rsid w:val="00321124"/>
    <w:rsid w:val="00324076"/>
    <w:rsid w:val="00340D10"/>
    <w:rsid w:val="003508F1"/>
    <w:rsid w:val="00395F63"/>
    <w:rsid w:val="003A0748"/>
    <w:rsid w:val="003B09FE"/>
    <w:rsid w:val="003B0B0C"/>
    <w:rsid w:val="003B3168"/>
    <w:rsid w:val="003C2B25"/>
    <w:rsid w:val="003E1319"/>
    <w:rsid w:val="003E2B0E"/>
    <w:rsid w:val="003F3596"/>
    <w:rsid w:val="00401851"/>
    <w:rsid w:val="00403ABB"/>
    <w:rsid w:val="00425344"/>
    <w:rsid w:val="0044017D"/>
    <w:rsid w:val="00444552"/>
    <w:rsid w:val="00476FB7"/>
    <w:rsid w:val="00486500"/>
    <w:rsid w:val="0049429F"/>
    <w:rsid w:val="004943FA"/>
    <w:rsid w:val="00495DE9"/>
    <w:rsid w:val="004B6784"/>
    <w:rsid w:val="004C7C4A"/>
    <w:rsid w:val="004D450F"/>
    <w:rsid w:val="004D7087"/>
    <w:rsid w:val="004E176B"/>
    <w:rsid w:val="004E7382"/>
    <w:rsid w:val="00503424"/>
    <w:rsid w:val="005110DC"/>
    <w:rsid w:val="00524E78"/>
    <w:rsid w:val="005358B6"/>
    <w:rsid w:val="005648AD"/>
    <w:rsid w:val="00580B7B"/>
    <w:rsid w:val="00582E3C"/>
    <w:rsid w:val="00594834"/>
    <w:rsid w:val="005B21B0"/>
    <w:rsid w:val="005C01D1"/>
    <w:rsid w:val="005D2AB2"/>
    <w:rsid w:val="005F04C0"/>
    <w:rsid w:val="005F4090"/>
    <w:rsid w:val="0061605A"/>
    <w:rsid w:val="0064050E"/>
    <w:rsid w:val="0066598C"/>
    <w:rsid w:val="00670FFB"/>
    <w:rsid w:val="00673D81"/>
    <w:rsid w:val="006911ED"/>
    <w:rsid w:val="006915DF"/>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61DC"/>
    <w:rsid w:val="007814B8"/>
    <w:rsid w:val="007B5716"/>
    <w:rsid w:val="007C6377"/>
    <w:rsid w:val="007F656B"/>
    <w:rsid w:val="00803C01"/>
    <w:rsid w:val="0080593E"/>
    <w:rsid w:val="00812F5A"/>
    <w:rsid w:val="00834718"/>
    <w:rsid w:val="008722D3"/>
    <w:rsid w:val="0089730F"/>
    <w:rsid w:val="008A2CE6"/>
    <w:rsid w:val="008B2065"/>
    <w:rsid w:val="008D0690"/>
    <w:rsid w:val="008D5FA9"/>
    <w:rsid w:val="008E05A3"/>
    <w:rsid w:val="00900058"/>
    <w:rsid w:val="009206AB"/>
    <w:rsid w:val="00933209"/>
    <w:rsid w:val="00936B56"/>
    <w:rsid w:val="00937D87"/>
    <w:rsid w:val="00954A17"/>
    <w:rsid w:val="00957981"/>
    <w:rsid w:val="00961D49"/>
    <w:rsid w:val="009926CE"/>
    <w:rsid w:val="009A0109"/>
    <w:rsid w:val="009B69EF"/>
    <w:rsid w:val="009C15B1"/>
    <w:rsid w:val="009D4C84"/>
    <w:rsid w:val="009E431C"/>
    <w:rsid w:val="00A01CFD"/>
    <w:rsid w:val="00A030F4"/>
    <w:rsid w:val="00A13728"/>
    <w:rsid w:val="00A30C8C"/>
    <w:rsid w:val="00A55B92"/>
    <w:rsid w:val="00A65B01"/>
    <w:rsid w:val="00A77535"/>
    <w:rsid w:val="00A83692"/>
    <w:rsid w:val="00A977DD"/>
    <w:rsid w:val="00AA08C6"/>
    <w:rsid w:val="00AB5AEB"/>
    <w:rsid w:val="00AC7EFA"/>
    <w:rsid w:val="00AE0C84"/>
    <w:rsid w:val="00AF22E3"/>
    <w:rsid w:val="00AF7820"/>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E6F7E"/>
    <w:rsid w:val="00BF2546"/>
    <w:rsid w:val="00C018A2"/>
    <w:rsid w:val="00C14992"/>
    <w:rsid w:val="00C1605D"/>
    <w:rsid w:val="00C221C6"/>
    <w:rsid w:val="00C86F3F"/>
    <w:rsid w:val="00CA614C"/>
    <w:rsid w:val="00CC5B4E"/>
    <w:rsid w:val="00D061BE"/>
    <w:rsid w:val="00D11828"/>
    <w:rsid w:val="00D22ADF"/>
    <w:rsid w:val="00D27AAB"/>
    <w:rsid w:val="00D31CD7"/>
    <w:rsid w:val="00D34D69"/>
    <w:rsid w:val="00D416EB"/>
    <w:rsid w:val="00D43069"/>
    <w:rsid w:val="00D511D1"/>
    <w:rsid w:val="00D6385C"/>
    <w:rsid w:val="00D64E1B"/>
    <w:rsid w:val="00D67CB6"/>
    <w:rsid w:val="00D7593B"/>
    <w:rsid w:val="00D90515"/>
    <w:rsid w:val="00D91635"/>
    <w:rsid w:val="00D93113"/>
    <w:rsid w:val="00D96906"/>
    <w:rsid w:val="00DA4AAB"/>
    <w:rsid w:val="00DA71B4"/>
    <w:rsid w:val="00DB4B96"/>
    <w:rsid w:val="00DD62ED"/>
    <w:rsid w:val="00E0476A"/>
    <w:rsid w:val="00E13566"/>
    <w:rsid w:val="00E23F9A"/>
    <w:rsid w:val="00E2567D"/>
    <w:rsid w:val="00E2662A"/>
    <w:rsid w:val="00E438F1"/>
    <w:rsid w:val="00E44713"/>
    <w:rsid w:val="00E70201"/>
    <w:rsid w:val="00E72312"/>
    <w:rsid w:val="00EB2F06"/>
    <w:rsid w:val="00EB7B7C"/>
    <w:rsid w:val="00EC2199"/>
    <w:rsid w:val="00F11EAA"/>
    <w:rsid w:val="00F1766F"/>
    <w:rsid w:val="00F562E8"/>
    <w:rsid w:val="00F75CC6"/>
    <w:rsid w:val="00F764F7"/>
    <w:rsid w:val="00F805A8"/>
    <w:rsid w:val="00FB1625"/>
    <w:rsid w:val="00FB1997"/>
    <w:rsid w:val="00FB7F1B"/>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numPr>
        <w:numId w:val="36"/>
      </w:num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Mae Espiritu</cp:lastModifiedBy>
  <cp:revision>11</cp:revision>
  <dcterms:created xsi:type="dcterms:W3CDTF">2021-02-03T02:53:00Z</dcterms:created>
  <dcterms:modified xsi:type="dcterms:W3CDTF">2024-09-05T03:49:00Z</dcterms:modified>
</cp:coreProperties>
</file>