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102E62" w14:textId="6388FB1A" w:rsidR="000F345F" w:rsidRPr="00FC03F4" w:rsidRDefault="0046173D" w:rsidP="00FC03F4">
      <w:pPr>
        <w:widowControl w:val="0"/>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hAnsiTheme="minorHAnsi" w:cstheme="minorHAnsi"/>
          <w:noProof/>
          <w:color w:val="000000" w:themeColor="text1"/>
          <w:szCs w:val="22"/>
        </w:rPr>
        <w:drawing>
          <wp:anchor distT="0" distB="0" distL="0" distR="0" simplePos="0" relativeHeight="251658240" behindDoc="1" locked="0" layoutInCell="1" hidden="0" allowOverlap="1" wp14:anchorId="19C79E82" wp14:editId="373FA6C7">
            <wp:simplePos x="0" y="0"/>
            <wp:positionH relativeFrom="column">
              <wp:posOffset>10160</wp:posOffset>
            </wp:positionH>
            <wp:positionV relativeFrom="paragraph">
              <wp:posOffset>108585</wp:posOffset>
            </wp:positionV>
            <wp:extent cx="532179" cy="500248"/>
            <wp:effectExtent l="0" t="0" r="0" b="0"/>
            <wp:wrapNone/>
            <wp:docPr id="3"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8"/>
                    <a:srcRect r="71562" b="-10375"/>
                    <a:stretch>
                      <a:fillRect/>
                    </a:stretch>
                  </pic:blipFill>
                  <pic:spPr>
                    <a:xfrm>
                      <a:off x="0" y="0"/>
                      <a:ext cx="532179" cy="500248"/>
                    </a:xfrm>
                    <a:prstGeom prst="rect">
                      <a:avLst/>
                    </a:prstGeom>
                    <a:ln/>
                  </pic:spPr>
                </pic:pic>
              </a:graphicData>
            </a:graphic>
          </wp:anchor>
        </w:drawing>
      </w:r>
    </w:p>
    <w:tbl>
      <w:tblPr>
        <w:tblStyle w:val="a"/>
        <w:tblW w:w="9308"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1022"/>
        <w:gridCol w:w="8286"/>
      </w:tblGrid>
      <w:tr w:rsidR="00FC03F4" w:rsidRPr="00FC03F4" w14:paraId="024F92F9" w14:textId="77777777" w:rsidTr="00046659">
        <w:trPr>
          <w:trHeight w:val="474"/>
        </w:trPr>
        <w:tc>
          <w:tcPr>
            <w:tcW w:w="1022" w:type="dxa"/>
          </w:tcPr>
          <w:p w14:paraId="6AD042A9" w14:textId="16CA220D" w:rsidR="00FC03F4" w:rsidRPr="00FC03F4" w:rsidRDefault="00FC03F4" w:rsidP="00FC03F4">
            <w:pPr>
              <w:pBdr>
                <w:top w:val="nil"/>
                <w:left w:val="nil"/>
                <w:bottom w:val="nil"/>
                <w:right w:val="nil"/>
                <w:between w:val="nil"/>
              </w:pBdr>
              <w:spacing w:before="120"/>
              <w:ind w:left="-112"/>
              <w:rPr>
                <w:rFonts w:asciiTheme="minorHAnsi" w:eastAsia="Arial" w:hAnsiTheme="minorHAnsi" w:cstheme="minorHAnsi"/>
                <w:color w:val="000000" w:themeColor="text1"/>
                <w:szCs w:val="22"/>
              </w:rPr>
            </w:pPr>
          </w:p>
        </w:tc>
        <w:tc>
          <w:tcPr>
            <w:tcW w:w="8286" w:type="dxa"/>
          </w:tcPr>
          <w:p w14:paraId="529A3E29" w14:textId="47B23820"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
                <w:bCs/>
                <w:color w:val="000000" w:themeColor="text1"/>
                <w:sz w:val="28"/>
                <w:szCs w:val="28"/>
              </w:rPr>
            </w:pPr>
            <w:r w:rsidRPr="00FC03F4">
              <w:rPr>
                <w:rFonts w:asciiTheme="minorHAnsi" w:eastAsia="Arial" w:hAnsiTheme="minorHAnsi" w:cstheme="minorHAnsi"/>
                <w:b/>
                <w:bCs/>
                <w:color w:val="000000" w:themeColor="text1"/>
                <w:sz w:val="28"/>
                <w:szCs w:val="28"/>
              </w:rPr>
              <w:t>Bring Your Own Device (BYOD) Cybersecurity Policy 1.</w:t>
            </w:r>
            <w:r w:rsidR="009D6A12">
              <w:rPr>
                <w:rFonts w:asciiTheme="minorHAnsi" w:eastAsia="Arial" w:hAnsiTheme="minorHAnsi" w:cstheme="minorHAnsi"/>
                <w:b/>
                <w:bCs/>
                <w:color w:val="000000" w:themeColor="text1"/>
                <w:sz w:val="28"/>
                <w:szCs w:val="28"/>
              </w:rPr>
              <w:t>2</w:t>
            </w:r>
          </w:p>
        </w:tc>
      </w:tr>
    </w:tbl>
    <w:p w14:paraId="41C61966" w14:textId="2A8F855C"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Purpose</w:t>
      </w:r>
    </w:p>
    <w:p w14:paraId="4A10A3E9"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This policy establishes the rules and requirements for the use of personal devices, including smartphones, tablets, and laptops, to access the organisation's systems, data, and applications. A personal device, for the purposes of this policy, is any device that is not owned or fully managed by the organisation.</w:t>
      </w:r>
    </w:p>
    <w:p w14:paraId="7B6CECB8" w14:textId="318E351D"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br/>
        <w:t>The purpose of this policy is to:</w:t>
      </w:r>
    </w:p>
    <w:p w14:paraId="1CC24F33"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Protect the organisation's data and customer information when it is accessed through personal devices.</w:t>
      </w:r>
    </w:p>
    <w:p w14:paraId="656510D8"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Clearly define what staff are and are not permitted to do with their personal devices in a work context.</w:t>
      </w:r>
    </w:p>
    <w:p w14:paraId="71442CF2"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Address the cybersecurity risks identified through the organisation's awareness survey, in particular the use of unmanaged personal devices to access corporate systems and the management of work credentials on personal platforms.</w:t>
      </w:r>
    </w:p>
    <w:p w14:paraId="5F7D3121" w14:textId="77777777" w:rsid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Ensure compliance with applicable Australian and international legislative requirements.</w:t>
      </w:r>
    </w:p>
    <w:p w14:paraId="0575A221" w14:textId="0A74A414" w:rsidR="008C7D68" w:rsidRPr="008C7D68" w:rsidRDefault="008C7D68" w:rsidP="008C7D68">
      <w:pPr>
        <w:pStyle w:val="ListBullet"/>
        <w:numPr>
          <w:ilvl w:val="0"/>
          <w:numId w:val="35"/>
        </w:numPr>
      </w:pPr>
      <w:r>
        <w:rPr>
          <w:highlight w:val="yellow"/>
        </w:rPr>
        <w:t>Govern the use of artificial intelligence (AI) tools on personal devices to prevent unauthorised data exposure through Shadow AI.</w:t>
      </w:r>
    </w:p>
    <w:p w14:paraId="60D2AA82"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p>
    <w:p w14:paraId="0CE4302C"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This policy has been developed in alignment with the following legislation:</w:t>
      </w:r>
    </w:p>
    <w:p w14:paraId="2918AD86"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Privacy Act 1988 (Cth) - governs the collection, use, storage, and disclosure of personal information, including customer data that may be accessible via a personal device connected to organisational systems.</w:t>
      </w:r>
    </w:p>
    <w:p w14:paraId="32C5C798"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Privacy Amendment (Notifiable Data Breaches) Act 2017 (Cth) - requires the organisation to notify the Office of the Australian Information Commissioner (OAIC) and affected individuals when a data breach involving personal information is likely to cause serious harm. This includes incidents originating from or involving a personal device.</w:t>
      </w:r>
    </w:p>
    <w:p w14:paraId="72905F8D" w14:textId="654A1634"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National Cybersecurity Protection Act 2024 (USA) - applies to operations and data involving United States-based customers or systems, establishing baseline security requirements for connected devices and the protection of data accessed or stored on those devices.</w:t>
      </w:r>
    </w:p>
    <w:p w14:paraId="2B0550CD" w14:textId="77777777"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Scope</w:t>
      </w:r>
    </w:p>
    <w:p w14:paraId="424897BB"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This policy applies to:</w:t>
      </w:r>
    </w:p>
    <w:p w14:paraId="75F1C88E"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All permanent and casual employees who use a personal device to access any organisational system, application, email account, or data.</w:t>
      </w:r>
    </w:p>
    <w:p w14:paraId="57A7F7CE" w14:textId="77777777" w:rsidR="00FC03F4" w:rsidRP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Contractors and third-party personnel who have been granted access to organisational resources via a personal device.</w:t>
      </w:r>
    </w:p>
    <w:p w14:paraId="61DA7C37" w14:textId="77777777" w:rsidR="00FC03F4" w:rsidRDefault="00FC03F4" w:rsidP="00FC03F4">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All organisational platforms and data accessible via a personal device, including corporate email, cloud storage, financial and banking systems, and remote desktop environments.</w:t>
      </w:r>
    </w:p>
    <w:p w14:paraId="3447373B" w14:textId="6920D2CF" w:rsidR="008C7D68" w:rsidRPr="008C7D68" w:rsidRDefault="008C7D68" w:rsidP="008C7D68">
      <w:pPr>
        <w:pStyle w:val="ListBullet"/>
        <w:numPr>
          <w:ilvl w:val="0"/>
          <w:numId w:val="35"/>
        </w:numPr>
      </w:pPr>
      <w:r>
        <w:rPr>
          <w:highlight w:val="yellow"/>
        </w:rPr>
        <w:t>Any use of AI-powered tools or platforms on a personal device where organisational, client, or internal data may be processed or transmitted.</w:t>
      </w:r>
    </w:p>
    <w:p w14:paraId="15DC36C7"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p>
    <w:p w14:paraId="3C2E403E" w14:textId="77777777" w:rsidR="00FC03F4" w:rsidRPr="00FC03F4" w:rsidRDefault="00FC03F4" w:rsidP="00FC03F4">
      <w:pPr>
        <w:pBdr>
          <w:top w:val="nil"/>
          <w:left w:val="nil"/>
          <w:bottom w:val="nil"/>
          <w:right w:val="nil"/>
          <w:between w:val="nil"/>
        </w:pBdr>
        <w:spacing w:before="0" w:after="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This policy does not apply to fully company-managed devices issued by the organisation's IT team. Those devices are governed by the Device and Endpoint Security Policy.</w:t>
      </w:r>
    </w:p>
    <w:p w14:paraId="4FE6D381" w14:textId="77777777" w:rsidR="0062408F" w:rsidRPr="00FC03F4" w:rsidRDefault="0062408F"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p w14:paraId="768FF51F" w14:textId="77777777" w:rsidR="008C7D68" w:rsidRDefault="008C7D68">
      <w:pPr>
        <w:rPr>
          <w:rFonts w:asciiTheme="minorHAnsi" w:eastAsia="Arial" w:hAnsiTheme="minorHAnsi" w:cstheme="minorHAnsi"/>
          <w:b/>
          <w:color w:val="000000" w:themeColor="text1"/>
          <w:sz w:val="24"/>
        </w:rPr>
      </w:pPr>
      <w:r>
        <w:rPr>
          <w:rFonts w:asciiTheme="minorHAnsi" w:eastAsia="Arial" w:hAnsiTheme="minorHAnsi" w:cstheme="minorHAnsi"/>
          <w:b/>
          <w:color w:val="000000" w:themeColor="text1"/>
          <w:sz w:val="24"/>
        </w:rPr>
        <w:br w:type="page"/>
      </w:r>
    </w:p>
    <w:p w14:paraId="00B36818" w14:textId="2B444ECE" w:rsidR="00FC03F4" w:rsidRPr="0020168F" w:rsidRDefault="00000000" w:rsidP="00FC03F4">
      <w:pPr>
        <w:pBdr>
          <w:top w:val="nil"/>
          <w:left w:val="nil"/>
          <w:bottom w:val="nil"/>
          <w:right w:val="nil"/>
          <w:between w:val="nil"/>
        </w:pBdr>
        <w:spacing w:before="12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lastRenderedPageBreak/>
        <w:t>Polic</w:t>
      </w:r>
      <w:r w:rsidR="0046173D" w:rsidRPr="0020168F">
        <w:rPr>
          <w:rFonts w:asciiTheme="minorHAnsi" w:eastAsia="Arial" w:hAnsiTheme="minorHAnsi" w:cstheme="minorHAnsi"/>
          <w:b/>
          <w:color w:val="000000" w:themeColor="text1"/>
          <w:sz w:val="24"/>
        </w:rPr>
        <w:t>y</w:t>
      </w:r>
      <w:r w:rsidR="00FC03F4" w:rsidRPr="0020168F">
        <w:rPr>
          <w:rFonts w:asciiTheme="minorHAnsi" w:eastAsia="Arial" w:hAnsiTheme="minorHAnsi" w:cstheme="minorHAnsi"/>
          <w:b/>
          <w:color w:val="000000" w:themeColor="text1"/>
          <w:sz w:val="24"/>
        </w:rPr>
        <w:t xml:space="preserve"> principles</w:t>
      </w:r>
    </w:p>
    <w:p w14:paraId="0DB9AB76" w14:textId="7E11A7ED" w:rsidR="00FC03F4" w:rsidRPr="00FC03F4" w:rsidRDefault="00FC03F4" w:rsidP="00FC03F4">
      <w:pPr>
        <w:pStyle w:val="ListParagraph"/>
        <w:numPr>
          <w:ilvl w:val="0"/>
          <w:numId w:val="36"/>
        </w:num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What You Are Allowed and Not Allowed to Do With Your Device</w:t>
      </w:r>
    </w:p>
    <w:p w14:paraId="26F38850"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The table below outlines what is and is not permitted when using a personal device for work purposes. These rules exist to protect both the organisation's data and your personal information. If you are unsure whether a specific activity is permitted, contact the IT Security team before proceeding.</w:t>
      </w:r>
    </w:p>
    <w:p w14:paraId="67C1329C"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tbl>
      <w:tblPr>
        <w:tblStyle w:val="GridTable4-Accent3"/>
        <w:tblW w:w="10435" w:type="dxa"/>
        <w:tblLook w:val="04A0" w:firstRow="1" w:lastRow="0" w:firstColumn="1" w:lastColumn="0" w:noHBand="0" w:noVBand="1"/>
      </w:tblPr>
      <w:tblGrid>
        <w:gridCol w:w="4957"/>
        <w:gridCol w:w="5478"/>
      </w:tblGrid>
      <w:tr w:rsidR="00FC03F4" w:rsidRPr="00FC03F4" w14:paraId="65998CEE" w14:textId="77777777" w:rsidTr="00201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9BF8ACC"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Permitted Use</w:t>
            </w:r>
          </w:p>
        </w:tc>
        <w:tc>
          <w:tcPr>
            <w:tcW w:w="5478" w:type="dxa"/>
          </w:tcPr>
          <w:p w14:paraId="443CA52D" w14:textId="77777777" w:rsidR="00FC03F4" w:rsidRPr="00FC03F4" w:rsidRDefault="00FC03F4" w:rsidP="00FC03F4">
            <w:pPr>
              <w:pBdr>
                <w:top w:val="nil"/>
                <w:left w:val="nil"/>
                <w:bottom w:val="nil"/>
                <w:right w:val="nil"/>
                <w:between w:val="nil"/>
              </w:pBdr>
              <w:spacing w:before="120" w:after="120"/>
              <w:cnfStyle w:val="100000000000" w:firstRow="1"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Prohibited Use</w:t>
            </w:r>
          </w:p>
        </w:tc>
      </w:tr>
      <w:tr w:rsidR="00FC03F4" w:rsidRPr="00FC03F4" w14:paraId="3CD213AD"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4EC081A4"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Accessing work email and calendar via the approved mobile application.</w:t>
            </w:r>
          </w:p>
        </w:tc>
        <w:tc>
          <w:tcPr>
            <w:tcW w:w="5478" w:type="dxa"/>
          </w:tcPr>
          <w:p w14:paraId="4A3A6218"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Storing customer financial data or personal information locally on your device.</w:t>
            </w:r>
          </w:p>
        </w:tc>
      </w:tr>
      <w:tr w:rsidR="00FC03F4" w:rsidRPr="00FC03F4" w14:paraId="6745F5A7"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6249AF55"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Connecting to organisational systems through the approved VPN only.</w:t>
            </w:r>
          </w:p>
        </w:tc>
        <w:tc>
          <w:tcPr>
            <w:tcW w:w="5478" w:type="dxa"/>
          </w:tcPr>
          <w:p w14:paraId="3FD847C4" w14:textId="77777777" w:rsidR="00FC03F4" w:rsidRPr="00FC03F4" w:rsidRDefault="00FC03F4" w:rsidP="00FC03F4">
            <w:pPr>
              <w:pBdr>
                <w:top w:val="nil"/>
                <w:left w:val="nil"/>
                <w:bottom w:val="nil"/>
                <w:right w:val="nil"/>
                <w:between w:val="nil"/>
              </w:pBd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Connecting to organisational systems via public or unsecured Wi-Fi without VPN.</w:t>
            </w:r>
          </w:p>
        </w:tc>
      </w:tr>
      <w:tr w:rsidR="00FC03F4" w:rsidRPr="00FC03F4" w14:paraId="6D88C0E2"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1EE0481"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Using MFA authenticator applications installed on your device.</w:t>
            </w:r>
          </w:p>
        </w:tc>
        <w:tc>
          <w:tcPr>
            <w:tcW w:w="5478" w:type="dxa"/>
          </w:tcPr>
          <w:p w14:paraId="232F6D81"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Installing unapproved applications that request access to work data or accounts.</w:t>
            </w:r>
          </w:p>
        </w:tc>
      </w:tr>
      <w:tr w:rsidR="00FC03F4" w:rsidRPr="00FC03F4" w14:paraId="718A3C18"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325C98D6"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Attending video conferences using approved platforms.</w:t>
            </w:r>
          </w:p>
        </w:tc>
        <w:tc>
          <w:tcPr>
            <w:tcW w:w="5478" w:type="dxa"/>
          </w:tcPr>
          <w:p w14:paraId="25601173" w14:textId="77777777" w:rsidR="00FC03F4" w:rsidRPr="00FC03F4" w:rsidRDefault="00FC03F4" w:rsidP="00FC03F4">
            <w:pPr>
              <w:pBdr>
                <w:top w:val="nil"/>
                <w:left w:val="nil"/>
                <w:bottom w:val="nil"/>
                <w:right w:val="nil"/>
                <w:between w:val="nil"/>
              </w:pBdr>
              <w:spacing w:before="120" w:after="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Sharing your device with others while work data or applications are accessible.</w:t>
            </w:r>
          </w:p>
        </w:tc>
      </w:tr>
      <w:tr w:rsidR="00FC03F4" w:rsidRPr="00FC03F4" w14:paraId="433996EB" w14:textId="77777777" w:rsidTr="00201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F306452" w14:textId="77777777" w:rsidR="00FC03F4" w:rsidRPr="00FC03F4" w:rsidRDefault="00FC03F4" w:rsidP="00FC03F4">
            <w:pPr>
              <w:pBdr>
                <w:top w:val="nil"/>
                <w:left w:val="nil"/>
                <w:bottom w:val="nil"/>
                <w:right w:val="nil"/>
                <w:between w:val="nil"/>
              </w:pBdr>
              <w:spacing w:before="120" w:after="120"/>
              <w:rPr>
                <w:rFonts w:asciiTheme="minorHAnsi" w:eastAsia="Arial" w:hAnsiTheme="minorHAnsi" w:cstheme="minorHAnsi"/>
                <w:b w:val="0"/>
                <w:bCs w:val="0"/>
                <w:color w:val="000000" w:themeColor="text1"/>
                <w:szCs w:val="22"/>
              </w:rPr>
            </w:pPr>
            <w:r w:rsidRPr="00FC03F4">
              <w:rPr>
                <w:rFonts w:asciiTheme="minorHAnsi" w:eastAsia="Arial" w:hAnsiTheme="minorHAnsi" w:cstheme="minorHAnsi"/>
                <w:b w:val="0"/>
                <w:bCs w:val="0"/>
                <w:color w:val="000000" w:themeColor="text1"/>
                <w:szCs w:val="22"/>
              </w:rPr>
              <w:t>Accessing organisational cloud storage through approved applications only.</w:t>
            </w:r>
          </w:p>
        </w:tc>
        <w:tc>
          <w:tcPr>
            <w:tcW w:w="5478" w:type="dxa"/>
          </w:tcPr>
          <w:p w14:paraId="5E858484" w14:textId="77777777" w:rsidR="00FC03F4" w:rsidRPr="00FC03F4" w:rsidRDefault="00FC03F4" w:rsidP="00FC03F4">
            <w:pPr>
              <w:pBdr>
                <w:top w:val="nil"/>
                <w:left w:val="nil"/>
                <w:bottom w:val="nil"/>
                <w:right w:val="nil"/>
                <w:between w:val="nil"/>
              </w:pBdr>
              <w:spacing w:before="120" w:after="120"/>
              <w:cnfStyle w:val="000000100000" w:firstRow="0" w:lastRow="0" w:firstColumn="0" w:lastColumn="0" w:oddVBand="0" w:evenVBand="0" w:oddHBand="1" w:evenHBand="0" w:firstRowFirstColumn="0" w:firstRowLastColumn="0" w:lastRowFirstColumn="0" w:lastRowLastColumn="0"/>
              <w:rPr>
                <w:rFonts w:asciiTheme="minorHAnsi" w:eastAsia="Arial" w:hAnsiTheme="minorHAnsi" w:cstheme="minorHAnsi"/>
                <w:color w:val="000000" w:themeColor="text1"/>
                <w:szCs w:val="22"/>
              </w:rPr>
            </w:pPr>
            <w:r w:rsidRPr="00FC03F4">
              <w:rPr>
                <w:rFonts w:asciiTheme="minorHAnsi" w:eastAsia="Arial" w:hAnsiTheme="minorHAnsi" w:cstheme="minorHAnsi"/>
                <w:color w:val="000000" w:themeColor="text1"/>
                <w:szCs w:val="22"/>
              </w:rPr>
              <w:t>Sending work-related sensitive information via personal messaging applications.</w:t>
            </w:r>
          </w:p>
        </w:tc>
      </w:tr>
      <w:tr w:rsidR="008C7D68" w:rsidRPr="00FC03F4" w14:paraId="081F702D" w14:textId="77777777" w:rsidTr="0020168F">
        <w:tc>
          <w:tcPr>
            <w:cnfStyle w:val="001000000000" w:firstRow="0" w:lastRow="0" w:firstColumn="1" w:lastColumn="0" w:oddVBand="0" w:evenVBand="0" w:oddHBand="0" w:evenHBand="0" w:firstRowFirstColumn="0" w:firstRowLastColumn="0" w:lastRowFirstColumn="0" w:lastRowLastColumn="0"/>
            <w:tcW w:w="4957" w:type="dxa"/>
          </w:tcPr>
          <w:p w14:paraId="11E011E2" w14:textId="44D58C8D" w:rsidR="008C7D68" w:rsidRPr="008C7D68" w:rsidRDefault="008C7D68" w:rsidP="00FC03F4">
            <w:pPr>
              <w:pBdr>
                <w:top w:val="nil"/>
                <w:left w:val="nil"/>
                <w:bottom w:val="nil"/>
                <w:right w:val="nil"/>
                <w:between w:val="nil"/>
              </w:pBdr>
              <w:spacing w:before="120"/>
              <w:rPr>
                <w:rFonts w:asciiTheme="minorHAnsi" w:eastAsia="Arial" w:hAnsiTheme="minorHAnsi" w:cstheme="minorHAnsi"/>
                <w:b w:val="0"/>
                <w:bCs w:val="0"/>
                <w:color w:val="000000" w:themeColor="text1"/>
                <w:szCs w:val="22"/>
              </w:rPr>
            </w:pPr>
            <w:r w:rsidRPr="008C7D68">
              <w:rPr>
                <w:rFonts w:asciiTheme="minorHAnsi" w:hAnsiTheme="minorHAnsi" w:cstheme="minorHAnsi"/>
                <w:b w:val="0"/>
                <w:bCs w:val="0"/>
                <w:highlight w:val="yellow"/>
              </w:rPr>
              <w:t>Using only AI tools listed in the organisation's approved software inventory for work-related tasks.</w:t>
            </w:r>
          </w:p>
        </w:tc>
        <w:tc>
          <w:tcPr>
            <w:tcW w:w="5478" w:type="dxa"/>
          </w:tcPr>
          <w:p w14:paraId="5C1AB85B" w14:textId="199BA8BF" w:rsidR="008C7D68" w:rsidRPr="008C7D68" w:rsidRDefault="008C7D68" w:rsidP="00FC03F4">
            <w:pPr>
              <w:pBdr>
                <w:top w:val="nil"/>
                <w:left w:val="nil"/>
                <w:bottom w:val="nil"/>
                <w:right w:val="nil"/>
                <w:between w:val="nil"/>
              </w:pBdr>
              <w:spacing w:before="120"/>
              <w:cnfStyle w:val="000000000000" w:firstRow="0" w:lastRow="0" w:firstColumn="0" w:lastColumn="0" w:oddVBand="0" w:evenVBand="0" w:oddHBand="0" w:evenHBand="0" w:firstRowFirstColumn="0" w:firstRowLastColumn="0" w:lastRowFirstColumn="0" w:lastRowLastColumn="0"/>
              <w:rPr>
                <w:rFonts w:asciiTheme="minorHAnsi" w:eastAsia="Arial" w:hAnsiTheme="minorHAnsi" w:cstheme="minorHAnsi"/>
                <w:color w:val="000000" w:themeColor="text1"/>
                <w:szCs w:val="22"/>
              </w:rPr>
            </w:pPr>
            <w:r w:rsidRPr="008C7D68">
              <w:rPr>
                <w:rFonts w:asciiTheme="minorHAnsi" w:hAnsiTheme="minorHAnsi" w:cstheme="minorHAnsi"/>
                <w:highlight w:val="yellow"/>
              </w:rPr>
              <w:t>Uploading organisational documents, client data, internal communications, or configuration files to external AI platforms or AI-powered tools not listed in the organisation's approved software inventory.</w:t>
            </w:r>
          </w:p>
        </w:tc>
      </w:tr>
    </w:tbl>
    <w:p w14:paraId="135F7C7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color w:val="000000" w:themeColor="text1"/>
          <w:szCs w:val="22"/>
        </w:rPr>
      </w:pPr>
    </w:p>
    <w:p w14:paraId="51373C9F" w14:textId="40C11530" w:rsidR="00FC03F4" w:rsidRPr="00FC03F4" w:rsidRDefault="00FC03F4" w:rsidP="00FC03F4">
      <w:pPr>
        <w:pStyle w:val="ListParagraph"/>
        <w:numPr>
          <w:ilvl w:val="0"/>
          <w:numId w:val="36"/>
        </w:num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Access to Organisational Data and Applications</w:t>
      </w:r>
    </w:p>
    <w:p w14:paraId="4F1D739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Access to organisational data and applications via a personal device is a privilege and is subject to the following conditions:</w:t>
      </w:r>
    </w:p>
    <w:p w14:paraId="37E8E4F7"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Only applications approved by the IT Security team may be used to access organisational data. The IT Security team maintains and updates a current list of approved applications.</w:t>
      </w:r>
    </w:p>
    <w:p w14:paraId="7CA4A188"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The organisation may deploy a Mobile Device Management (MDM) solution on enrolled personal devices. Think of MDM as a secure, separate work folder installed on your phone or tablet. It manages only the organisational data stored within that folder and does not access your personal photos, messages, contacts, or other personal content.</w:t>
      </w:r>
    </w:p>
    <w:p w14:paraId="52D5DB63"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All work-related data stored or cached on a personal device is the property of the organisation and may be remotely removed by the IT Security team if the device is lost, if the staff member leaves the organisation, or if a security incident is detected.</w:t>
      </w:r>
    </w:p>
    <w:p w14:paraId="714E3DE7" w14:textId="77777777" w:rsidR="00FC03F4" w:rsidRPr="00FC03F4"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Multi-factor authentication (MFA) must be enabled for all organisational accounts accessed via a personal device. For staff who find software-based MFA tools cumbersome when managing multiple systems, the organisation will evaluate the provision of hardware security keys, as requested in the cybersecurity awareness survey.</w:t>
      </w:r>
    </w:p>
    <w:p w14:paraId="16F5AD85" w14:textId="1341BE50" w:rsidR="00FC03F4" w:rsidRPr="008C7D68" w:rsidRDefault="00FC03F4" w:rsidP="00FC03F4">
      <w:pPr>
        <w:numPr>
          <w:ilvl w:val="0"/>
          <w:numId w:val="35"/>
        </w:numPr>
        <w:pBdr>
          <w:top w:val="nil"/>
          <w:left w:val="nil"/>
          <w:bottom w:val="nil"/>
          <w:right w:val="nil"/>
          <w:between w:val="nil"/>
        </w:pBdr>
        <w:spacing w:before="120"/>
        <w:rPr>
          <w:rFonts w:asciiTheme="minorHAnsi" w:eastAsia="Arial" w:hAnsiTheme="minorHAnsi" w:cstheme="minorHAnsi"/>
          <w:bCs/>
          <w:color w:val="000000" w:themeColor="text1"/>
          <w:szCs w:val="22"/>
        </w:rPr>
      </w:pPr>
      <w:r w:rsidRPr="00FC03F4">
        <w:rPr>
          <w:rFonts w:asciiTheme="minorHAnsi" w:eastAsia="Arial" w:hAnsiTheme="minorHAnsi" w:cstheme="minorHAnsi"/>
          <w:bCs/>
          <w:color w:val="000000" w:themeColor="text1"/>
          <w:szCs w:val="22"/>
        </w:rPr>
        <w:t xml:space="preserve">All work-related credentials on a personal device must be managed through the organisation's approved </w:t>
      </w:r>
      <w:r w:rsidRPr="008C7D68">
        <w:rPr>
          <w:rFonts w:asciiTheme="minorHAnsi" w:eastAsia="Arial" w:hAnsiTheme="minorHAnsi" w:cstheme="minorHAnsi"/>
          <w:bCs/>
          <w:color w:val="000000" w:themeColor="text1"/>
          <w:szCs w:val="22"/>
        </w:rPr>
        <w:t>password manager. Personal and work credentials must not be stored in the same application or browser.</w:t>
      </w:r>
    </w:p>
    <w:p w14:paraId="564A68A3" w14:textId="402664DD" w:rsidR="008C7D68" w:rsidRP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lastRenderedPageBreak/>
        <w:t>AI-powered tools used on a personal device for any work-related purpose must appear on the IT Security team's approved software inventory. The use of external AI platforms to process, summarise, translate, or analyse organisational or client data constitutes a Shadow AI risk and is strictly prohibited.</w:t>
      </w:r>
    </w:p>
    <w:p w14:paraId="36F0B280" w14:textId="77777777" w:rsidR="000F345F"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Responsibilities</w:t>
      </w:r>
    </w:p>
    <w:p w14:paraId="53F47C83"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All Staff</w:t>
      </w:r>
    </w:p>
    <w:p w14:paraId="655999DC"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Read, understand, and comply with this policy before using a personal device for work purposes.</w:t>
      </w:r>
    </w:p>
    <w:p w14:paraId="397078D2"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Complete the device enrolment process as outlined in Procedure 1 before accessing any organisational system on a personal device.</w:t>
      </w:r>
    </w:p>
    <w:p w14:paraId="2AD7D959"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Keep the device's operating system and applications updated at all times to ensure security patches are applied.</w:t>
      </w:r>
    </w:p>
    <w:p w14:paraId="35B9E2A1"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Report a lost, stolen, or suspected compromised device to the IT Security team immediately, regardless of the time of day.</w:t>
      </w:r>
    </w:p>
    <w:p w14:paraId="37381647" w14:textId="77777777" w:rsidR="00FC03F4" w:rsidRDefault="00FC03F4" w:rsidP="0020168F">
      <w:pPr>
        <w:numPr>
          <w:ilvl w:val="0"/>
          <w:numId w:val="35"/>
        </w:numPr>
        <w:pBdr>
          <w:top w:val="nil"/>
          <w:left w:val="nil"/>
          <w:bottom w:val="nil"/>
          <w:right w:val="nil"/>
          <w:between w:val="nil"/>
        </w:pBdr>
        <w:spacing w:before="12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Sign and return the BYOD Acknowledgement Form during enrolment, confirming understanding of this policy.</w:t>
      </w:r>
    </w:p>
    <w:p w14:paraId="7B13E8FA" w14:textId="77777777" w:rsidR="008C7D68" w:rsidRP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t>Refrain from using any AI tool not listed in the organisation's approved software inventory, and immediately notify the IT Security team upon discovering unauthorised AI usage within their team or department.</w:t>
      </w:r>
    </w:p>
    <w:p w14:paraId="2D5A44F3" w14:textId="58A680B0" w:rsidR="008C7D68" w:rsidRP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t>Never approve access changes, credential resets, or financial authorisations based solely on a voice call or video meeting received on a personal device, regardless of the apparent identity of the requester.</w:t>
      </w:r>
    </w:p>
    <w:p w14:paraId="7DBB68D2"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IT Security Team</w:t>
      </w:r>
    </w:p>
    <w:p w14:paraId="19B147FD"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Maintain and publish the approved list of applications for personal device access.</w:t>
      </w:r>
    </w:p>
    <w:p w14:paraId="41236696"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Administer the MDM solution and manage device enrolment, compliance monitoring, and remote wipe procedures.</w:t>
      </w:r>
    </w:p>
    <w:p w14:paraId="062372BF"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Review and update this policy at least annually or following a relevant security incident or legislative change.</w:t>
      </w:r>
    </w:p>
    <w:p w14:paraId="18F5AC3B" w14:textId="77777777" w:rsidR="00FC03F4"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Provide guidance to staff on compliance with this policy and assess device eligibility during enrolment.</w:t>
      </w:r>
    </w:p>
    <w:p w14:paraId="16302EB4" w14:textId="43F64F1A" w:rsidR="008C7D68" w:rsidRP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t>Maintain and publish the approved AI tools inventory and deploy Data Loss Prevention (DLP) rules to detect and block uploads of sensitive file types to unauthorised cloud or AI services.</w:t>
      </w:r>
    </w:p>
    <w:p w14:paraId="23DD18AB" w14:textId="77777777" w:rsidR="00FC03F4" w:rsidRPr="00FC03F4" w:rsidRDefault="00FC03F4" w:rsidP="00FC03F4">
      <w:pPr>
        <w:pBdr>
          <w:top w:val="nil"/>
          <w:left w:val="nil"/>
          <w:bottom w:val="nil"/>
          <w:right w:val="nil"/>
          <w:between w:val="nil"/>
        </w:pBdr>
        <w:spacing w:before="12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Managers and Supervisors</w:t>
      </w:r>
    </w:p>
    <w:p w14:paraId="74082BAA"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Ensure all direct reports who use personal devices for work have completed enrolment and formally acknowledged this policy.</w:t>
      </w:r>
    </w:p>
    <w:p w14:paraId="788006E6" w14:textId="77777777" w:rsidR="00FC03F4" w:rsidRPr="0020168F"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Report any suspected non-compliance with this policy to the IT Security team promptly.</w:t>
      </w:r>
    </w:p>
    <w:p w14:paraId="6295A634" w14:textId="77777777" w:rsidR="00FC03F4" w:rsidRDefault="00FC03F4" w:rsidP="0020168F">
      <w:pPr>
        <w:numPr>
          <w:ilvl w:val="0"/>
          <w:numId w:val="35"/>
        </w:numPr>
        <w:pBdr>
          <w:top w:val="nil"/>
          <w:left w:val="nil"/>
          <w:bottom w:val="nil"/>
          <w:right w:val="nil"/>
          <w:between w:val="nil"/>
        </w:pBdr>
        <w:tabs>
          <w:tab w:val="left" w:pos="1560"/>
        </w:tabs>
        <w:spacing w:before="0" w:after="0"/>
        <w:rPr>
          <w:rFonts w:asciiTheme="minorHAnsi" w:eastAsia="Arial" w:hAnsiTheme="minorHAnsi" w:cstheme="minorHAnsi"/>
          <w:color w:val="000000" w:themeColor="text1"/>
          <w:szCs w:val="22"/>
        </w:rPr>
      </w:pPr>
      <w:r w:rsidRPr="0020168F">
        <w:rPr>
          <w:rFonts w:asciiTheme="minorHAnsi" w:eastAsia="Arial" w:hAnsiTheme="minorHAnsi" w:cstheme="minorHAnsi"/>
          <w:color w:val="000000" w:themeColor="text1"/>
          <w:szCs w:val="22"/>
        </w:rPr>
        <w:t>Support staff in completing required cybersecurity training related to personal device use.</w:t>
      </w:r>
    </w:p>
    <w:p w14:paraId="7DAEA056" w14:textId="11EE2168" w:rsidR="008C7D68" w:rsidRPr="008C7D68" w:rsidRDefault="008C7D68" w:rsidP="008C7D68">
      <w:pPr>
        <w:pStyle w:val="ListBullet"/>
        <w:numPr>
          <w:ilvl w:val="0"/>
          <w:numId w:val="35"/>
        </w:numPr>
        <w:rPr>
          <w:rFonts w:asciiTheme="minorHAnsi" w:hAnsiTheme="minorHAnsi" w:cstheme="minorHAnsi"/>
        </w:rPr>
      </w:pPr>
      <w:r w:rsidRPr="008C7D68">
        <w:rPr>
          <w:rFonts w:asciiTheme="minorHAnsi" w:hAnsiTheme="minorHAnsi" w:cstheme="minorHAnsi"/>
          <w:highlight w:val="yellow"/>
        </w:rPr>
        <w:t>Remind direct reports to apply out-of-band verification for any sensitive request received via voice or video on a personal device, and reinforce the reporting culture for suspected deepfake-based social engineering attempts.</w:t>
      </w:r>
    </w:p>
    <w:p w14:paraId="4AFCA886" w14:textId="77777777" w:rsidR="000F345F" w:rsidRPr="00FC03F4" w:rsidRDefault="000F345F" w:rsidP="00FC03F4">
      <w:pPr>
        <w:pBdr>
          <w:top w:val="nil"/>
          <w:left w:val="nil"/>
          <w:bottom w:val="nil"/>
          <w:right w:val="nil"/>
          <w:between w:val="nil"/>
        </w:pBdr>
        <w:spacing w:before="120"/>
        <w:rPr>
          <w:rFonts w:asciiTheme="minorHAnsi" w:eastAsia="Arial" w:hAnsiTheme="minorHAnsi" w:cstheme="minorHAnsi"/>
          <w:color w:val="000000" w:themeColor="text1"/>
          <w:szCs w:val="22"/>
        </w:rPr>
      </w:pPr>
    </w:p>
    <w:p w14:paraId="553D030C" w14:textId="06C4445D" w:rsidR="00650EFD" w:rsidRPr="0020168F" w:rsidRDefault="00000000" w:rsidP="00FC03F4">
      <w:pPr>
        <w:pBdr>
          <w:top w:val="nil"/>
          <w:left w:val="nil"/>
          <w:bottom w:val="nil"/>
          <w:right w:val="nil"/>
          <w:between w:val="nil"/>
        </w:pBdr>
        <w:spacing w:before="360"/>
        <w:rPr>
          <w:rFonts w:asciiTheme="minorHAnsi" w:eastAsia="Arial" w:hAnsiTheme="minorHAnsi" w:cstheme="minorHAnsi"/>
          <w:b/>
          <w:color w:val="000000" w:themeColor="text1"/>
          <w:sz w:val="24"/>
        </w:rPr>
      </w:pPr>
      <w:r w:rsidRPr="0020168F">
        <w:rPr>
          <w:rFonts w:asciiTheme="minorHAnsi" w:eastAsia="Arial" w:hAnsiTheme="minorHAnsi" w:cstheme="minorHAnsi"/>
          <w:b/>
          <w:color w:val="000000" w:themeColor="text1"/>
          <w:sz w:val="24"/>
        </w:rPr>
        <w:t>Procedures</w:t>
      </w:r>
    </w:p>
    <w:p w14:paraId="43F6CA9A" w14:textId="62634929"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Device Enrolment and Registration</w:t>
      </w:r>
    </w:p>
    <w:p w14:paraId="6DC75FF7" w14:textId="77777777" w:rsidR="00FC03F4" w:rsidRPr="0020168F" w:rsidRDefault="00FC03F4" w:rsidP="0020168F">
      <w:p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Before a personal device may be used to access any organisational system, it must be enrolled and approved by the IT Security team. This process ensures your device meets minimum security requirements and allows the organisation to protect its data if the device is ever lost or compromised.</w:t>
      </w:r>
    </w:p>
    <w:p w14:paraId="14B987C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lastRenderedPageBreak/>
        <w:t>Submit a BYOD Enrolment Request to the IT Security team via the internal IT service portal. Include the device type, operating system version, and the organisational systems or applications you require access to.</w:t>
      </w:r>
    </w:p>
    <w:p w14:paraId="2C99EF1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The IT Security team will assess whether your device meets the minimum requirements: a currently supported operating system, full-device encryption enabled, an active screen lock using a PIN, password, or biometric authentication, and no evidence of unauthorised modifications such as jailbreaking or rooting.</w:t>
      </w:r>
    </w:p>
    <w:p w14:paraId="28757E53"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the device meets requirements, the IT Security team will install the approved MDM agent. This creates a secure, separate work container on your device for all organisational data and applications. Your personal content is not affected.</w:t>
      </w:r>
    </w:p>
    <w:p w14:paraId="3E7C0880"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Install the organisation's approved password manager and MFA authenticator application as directed by the IT Security team during the enrolment session.</w:t>
      </w:r>
    </w:p>
    <w:p w14:paraId="375EE1E1" w14:textId="77777777"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Read and sign the BYOD Acknowledgement Form, confirming you have read this policy and accept your responsibilities. This form is kept on file by HR as part of your employment record.</w:t>
      </w:r>
    </w:p>
    <w:p w14:paraId="47A2A749" w14:textId="2D0D9EA4" w:rsidR="00FC03F4" w:rsidRPr="0020168F" w:rsidRDefault="00FC03F4" w:rsidP="0020168F">
      <w:pPr>
        <w:numPr>
          <w:ilvl w:val="0"/>
          <w:numId w:val="37"/>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Once the IT Security team confirms your enrolment is complete, you may begin accessing approved organisational systems on your personal device.</w:t>
      </w:r>
    </w:p>
    <w:p w14:paraId="45F86E2A" w14:textId="057B729D"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Handling Organisational Data and Applications on a Personal Device</w:t>
      </w:r>
    </w:p>
    <w:p w14:paraId="66A72882" w14:textId="77777777" w:rsidR="00FC03F4" w:rsidRPr="0020168F" w:rsidRDefault="00FC03F4" w:rsidP="0020168F">
      <w:p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This procedure covers how to handle work-related data and applications during your day-to-day use of a personal device, in order to minimise the risk of data exposure or unauthorised access.</w:t>
      </w:r>
    </w:p>
    <w:p w14:paraId="35C9E89B"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Only access organisational data through the applications installed within the MDM-managed work container on your device. Do not copy, forward, or save organisational data outside of this container into personal applications, personal email, or personal cloud storage.</w:t>
      </w:r>
    </w:p>
    <w:p w14:paraId="1DED52EF" w14:textId="77777777" w:rsidR="00FC03F4" w:rsidRPr="0020168F"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Before accessing any work system on your personal device, check that you are on a trusted network. If you are on public Wi-Fi or an unfamiliar network, activate the organisation's approved VPN before opening any work application.</w:t>
      </w:r>
    </w:p>
    <w:p w14:paraId="34935F62" w14:textId="77777777" w:rsidR="00FC03F4" w:rsidRPr="008C7D68"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 xml:space="preserve">Use the organisation's approved password manager for all work-related credentials stored on your device. </w:t>
      </w:r>
      <w:r w:rsidRPr="008C7D68">
        <w:rPr>
          <w:rFonts w:asciiTheme="minorHAnsi" w:eastAsia="Arial" w:hAnsiTheme="minorHAnsi" w:cstheme="minorHAnsi"/>
          <w:bCs/>
          <w:color w:val="000000" w:themeColor="text1"/>
          <w:szCs w:val="22"/>
        </w:rPr>
        <w:t>Do not save work passwords in your device's built-in browser or in any personal password application.</w:t>
      </w:r>
    </w:p>
    <w:p w14:paraId="3F963715" w14:textId="01A99810" w:rsidR="008C7D68" w:rsidRPr="008C7D68" w:rsidRDefault="008C7D68" w:rsidP="008C7D68">
      <w:pPr>
        <w:pStyle w:val="ListNumber"/>
        <w:numPr>
          <w:ilvl w:val="0"/>
          <w:numId w:val="38"/>
        </w:numPr>
        <w:spacing w:after="0"/>
        <w:rPr>
          <w:rFonts w:asciiTheme="minorHAnsi" w:hAnsiTheme="minorHAnsi" w:cstheme="minorHAnsi"/>
        </w:rPr>
      </w:pPr>
      <w:r w:rsidRPr="008C7D68">
        <w:rPr>
          <w:rFonts w:asciiTheme="minorHAnsi" w:hAnsiTheme="minorHAnsi" w:cstheme="minorHAnsi"/>
          <w:highlight w:val="yellow"/>
        </w:rPr>
        <w:t>If you receive a suspicious communication on your personal device that appears to target your work credentials or requests urgent action, do not click on any links. Apply the PACT framework: Pause before acting, Activate MFA on your accounts, Call the sender directly via a known trusted channel to verify, and Turn on automatic updates on your device. Report the communication to the IT Security team. Additionally, never approve access changes, credential resets, or financial authorisations based solely on a voice call or video meeting received on your personal device, regardless of the apparent identity of the requester. Always verify through a secondary, trusted out-of-band channel (for example, calling back on a known number or sending a message through a separate internal platform) before taking any action.</w:t>
      </w:r>
    </w:p>
    <w:p w14:paraId="14BF1429" w14:textId="77777777" w:rsidR="00FC03F4" w:rsidRPr="008C7D68"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8C7D68">
        <w:rPr>
          <w:rFonts w:asciiTheme="minorHAnsi" w:eastAsia="Arial" w:hAnsiTheme="minorHAnsi" w:cstheme="minorHAnsi"/>
          <w:bCs/>
          <w:color w:val="000000" w:themeColor="text1"/>
          <w:szCs w:val="22"/>
        </w:rPr>
        <w:t>If you receive a suspicious communication on your personal device that appears to target your work credentials or requests urgent action, do not click on any links. Apply the PACT framework: Pause before acting, Activate MFA on your accounts, Call the sender directly via a known trusted channel to verify, and Turn on automatic updates on your device. Report the communication to the IT Security team.</w:t>
      </w:r>
    </w:p>
    <w:p w14:paraId="01752F68" w14:textId="77777777" w:rsidR="00FC03F4" w:rsidRPr="008C7D68"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8C7D68">
        <w:rPr>
          <w:rFonts w:asciiTheme="minorHAnsi" w:eastAsia="Arial" w:hAnsiTheme="minorHAnsi" w:cstheme="minorHAnsi"/>
          <w:bCs/>
          <w:color w:val="000000" w:themeColor="text1"/>
          <w:szCs w:val="22"/>
        </w:rPr>
        <w:t>Keep your device's operating system and all applications, including those within the work container, up to date. Enable automatic updates where possible so that security patches are applied without delay.</w:t>
      </w:r>
    </w:p>
    <w:p w14:paraId="607806B1" w14:textId="61D70BBB" w:rsidR="00FC03F4" w:rsidRPr="008C7D68" w:rsidRDefault="00FC03F4" w:rsidP="0020168F">
      <w:pPr>
        <w:numPr>
          <w:ilvl w:val="0"/>
          <w:numId w:val="38"/>
        </w:numPr>
        <w:pBdr>
          <w:top w:val="nil"/>
          <w:left w:val="nil"/>
          <w:bottom w:val="nil"/>
          <w:right w:val="nil"/>
          <w:between w:val="nil"/>
        </w:pBdr>
        <w:spacing w:before="0"/>
        <w:rPr>
          <w:rFonts w:asciiTheme="minorHAnsi" w:eastAsia="Arial" w:hAnsiTheme="minorHAnsi" w:cstheme="minorHAnsi"/>
          <w:bCs/>
          <w:color w:val="000000" w:themeColor="text1"/>
          <w:szCs w:val="22"/>
        </w:rPr>
      </w:pPr>
      <w:r w:rsidRPr="008C7D68">
        <w:rPr>
          <w:rFonts w:asciiTheme="minorHAnsi" w:eastAsia="Arial" w:hAnsiTheme="minorHAnsi" w:cstheme="minorHAnsi"/>
          <w:bCs/>
          <w:color w:val="000000" w:themeColor="text1"/>
          <w:szCs w:val="22"/>
        </w:rPr>
        <w:t>At the end of each work session, close all organisational applications and lock your device screen. Do not leave work applications open and visible when your device is unattended.</w:t>
      </w:r>
    </w:p>
    <w:p w14:paraId="64ED3EAD" w14:textId="7237A52E" w:rsidR="008C7D68" w:rsidRPr="008C7D68" w:rsidRDefault="008C7D68" w:rsidP="008C7D68">
      <w:pPr>
        <w:pStyle w:val="ListNumber"/>
        <w:numPr>
          <w:ilvl w:val="0"/>
          <w:numId w:val="38"/>
        </w:numPr>
        <w:rPr>
          <w:rFonts w:asciiTheme="minorHAnsi" w:hAnsiTheme="minorHAnsi" w:cstheme="minorHAnsi"/>
        </w:rPr>
      </w:pPr>
      <w:r w:rsidRPr="008C7D68">
        <w:rPr>
          <w:rFonts w:asciiTheme="minorHAnsi" w:hAnsiTheme="minorHAnsi" w:cstheme="minorHAnsi"/>
          <w:highlight w:val="yellow"/>
        </w:rPr>
        <w:t xml:space="preserve">Do not use AI-powered tools or platforms on your personal device to process, summarise, translate, or analyse work-related documents, client data, or internal communications unless the tool has been explicitly </w:t>
      </w:r>
      <w:r w:rsidRPr="008C7D68">
        <w:rPr>
          <w:rFonts w:asciiTheme="minorHAnsi" w:hAnsiTheme="minorHAnsi" w:cstheme="minorHAnsi"/>
          <w:highlight w:val="yellow"/>
        </w:rPr>
        <w:lastRenderedPageBreak/>
        <w:t>approved by the IT Security team and appears on the organisation's approved software inventory. If you are unsure whether an AI tool is approved, contact the IT Security team before use.</w:t>
      </w:r>
    </w:p>
    <w:p w14:paraId="77A5A075" w14:textId="04AB4C5C" w:rsidR="00FC03F4" w:rsidRPr="00FC03F4" w:rsidRDefault="00FC03F4" w:rsidP="00FC03F4">
      <w:pPr>
        <w:pStyle w:val="ListParagraph"/>
        <w:numPr>
          <w:ilvl w:val="0"/>
          <w:numId w:val="40"/>
        </w:num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 xml:space="preserve"> Reporting a Security Incident Involving a Personal Device</w:t>
      </w:r>
    </w:p>
    <w:p w14:paraId="28099D2B" w14:textId="77777777" w:rsidR="00FC03F4" w:rsidRPr="0020168F" w:rsidRDefault="00FC03F4" w:rsidP="0020168F">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your personal device is lost, stolen, or you suspect it has been accessed without your authorisation, you must act immediately. Delays in reporting can result in unauthorised access to organisational systems and customer data, which may trigger the organisation's legal notification obligations under the Privacy Amendment (Notifiable Data Breaches) Act 2017.</w:t>
      </w:r>
    </w:p>
    <w:p w14:paraId="13DF4D6B"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Contact the IT Security team immediately upon discovering the loss, theft, or suspected compromise. Do not wait until the next business day. Contact details for the IT Security team are available on the internal intranet and in the employee handbook.</w:t>
      </w:r>
    </w:p>
    <w:p w14:paraId="78A9D0B1"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When reporting, provide the following information: your name and role, the device type and operating system, the organisational systems and applications the device had access to, when you last had the device in your possession, and any actions you have already taken.</w:t>
      </w:r>
    </w:p>
    <w:p w14:paraId="25B819CD"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Do not attempt to recover the device or investigate the incident independently. Taking uncoordinated action may interfere with the IT Security team's ability to contain the breach and preserve evidence needed for investigation.</w:t>
      </w:r>
    </w:p>
    <w:p w14:paraId="22C29EEC"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The IT Security team will initiate a remote wipe of the organisational work container on your device via the MDM solution. This removes all organisational data and applications without affecting your personal content such as photos or personal messages.</w:t>
      </w:r>
    </w:p>
    <w:p w14:paraId="1F578839" w14:textId="77777777" w:rsidR="00FC03F4" w:rsidRPr="0020168F"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If the incident involves the potential exposure of customer personal information, the IT Security team will assess whether the breach meets the threshold for mandatory notification under the Privacy Amendment (Notifiable Data Breaches) Act 2017 and will manage the reporting process to the OAIC if required.</w:t>
      </w:r>
    </w:p>
    <w:p w14:paraId="7C11A6EE" w14:textId="77777777" w:rsidR="00FC03F4" w:rsidRDefault="00FC03F4" w:rsidP="0020168F">
      <w:pPr>
        <w:numPr>
          <w:ilvl w:val="0"/>
          <w:numId w:val="39"/>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Complete the Incident Report Form provided by the IT Security team within 24 hours of your initial report, providing a full account of the circumstances. This record is maintained as part of the organisation's incident log in accordance with data protection requirements.</w:t>
      </w:r>
    </w:p>
    <w:p w14:paraId="6E913265" w14:textId="6723887C" w:rsidR="006E48DD" w:rsidRPr="006E48DD" w:rsidRDefault="006E48DD" w:rsidP="006E48DD">
      <w:pPr>
        <w:pStyle w:val="ListNumber"/>
        <w:numPr>
          <w:ilvl w:val="0"/>
          <w:numId w:val="39"/>
        </w:numPr>
        <w:rPr>
          <w:rFonts w:asciiTheme="minorHAnsi" w:hAnsiTheme="minorHAnsi" w:cstheme="minorHAnsi"/>
        </w:rPr>
      </w:pPr>
      <w:r w:rsidRPr="006E48DD">
        <w:rPr>
          <w:rFonts w:asciiTheme="minorHAnsi" w:hAnsiTheme="minorHAnsi" w:cstheme="minorHAnsi"/>
          <w:highlight w:val="yellow"/>
        </w:rPr>
        <w:t>If the incident involves suspected Shadow AI usage (for example, organisational data uploaded to an external AI platform without authorisation), report this separately as a data exposure event. The IT Security team will assess the scope of data involved and determine whether mandatory breach notification obligations are triggered.</w:t>
      </w:r>
    </w:p>
    <w:p w14:paraId="04ED51BC" w14:textId="77777777" w:rsidR="00FC03F4" w:rsidRPr="00FC03F4" w:rsidRDefault="00FC03F4" w:rsidP="00FC03F4">
      <w:pPr>
        <w:pBdr>
          <w:top w:val="nil"/>
          <w:left w:val="nil"/>
          <w:bottom w:val="nil"/>
          <w:right w:val="nil"/>
          <w:between w:val="nil"/>
        </w:pBdr>
        <w:spacing w:before="360"/>
        <w:rPr>
          <w:rFonts w:asciiTheme="minorHAnsi" w:eastAsia="Arial" w:hAnsiTheme="minorHAnsi" w:cstheme="minorHAnsi"/>
          <w:b/>
          <w:bCs/>
          <w:color w:val="000000" w:themeColor="text1"/>
          <w:szCs w:val="22"/>
        </w:rPr>
      </w:pPr>
      <w:r w:rsidRPr="00FC03F4">
        <w:rPr>
          <w:rFonts w:asciiTheme="minorHAnsi" w:eastAsia="Arial" w:hAnsiTheme="minorHAnsi" w:cstheme="minorHAnsi"/>
          <w:b/>
          <w:bCs/>
          <w:color w:val="000000" w:themeColor="text1"/>
          <w:szCs w:val="22"/>
        </w:rPr>
        <w:t>6. Compliance and Enforcement</w:t>
      </w:r>
    </w:p>
    <w:p w14:paraId="1F654A4D" w14:textId="77777777" w:rsidR="00FC03F4" w:rsidRPr="0020168F" w:rsidRDefault="00FC03F4" w:rsidP="0020168F">
      <w:p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All staff who use a personal device for work purposes must comply with this policy. Non-compliance may result in:</w:t>
      </w:r>
    </w:p>
    <w:p w14:paraId="0BE03DDF"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Immediate revocation of access to all organisational systems from the personal device.</w:t>
      </w:r>
    </w:p>
    <w:p w14:paraId="34B25BF2" w14:textId="77777777" w:rsidR="00FC03F4" w:rsidRPr="0020168F"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Formal disciplinary action, up to and including termination of employment or contract.</w:t>
      </w:r>
    </w:p>
    <w:p w14:paraId="397E14C7" w14:textId="77777777" w:rsidR="00FC03F4" w:rsidRDefault="00FC03F4" w:rsidP="0020168F">
      <w:pPr>
        <w:numPr>
          <w:ilvl w:val="0"/>
          <w:numId w:val="35"/>
        </w:numPr>
        <w:pBdr>
          <w:top w:val="nil"/>
          <w:left w:val="nil"/>
          <w:bottom w:val="nil"/>
          <w:right w:val="nil"/>
          <w:between w:val="nil"/>
        </w:pBdr>
        <w:spacing w:before="0" w:after="0"/>
        <w:rPr>
          <w:rFonts w:asciiTheme="minorHAnsi" w:eastAsia="Arial" w:hAnsiTheme="minorHAnsi" w:cstheme="minorHAnsi"/>
          <w:bCs/>
          <w:color w:val="000000" w:themeColor="text1"/>
          <w:szCs w:val="22"/>
        </w:rPr>
      </w:pPr>
      <w:r w:rsidRPr="0020168F">
        <w:rPr>
          <w:rFonts w:asciiTheme="minorHAnsi" w:eastAsia="Arial" w:hAnsiTheme="minorHAnsi" w:cstheme="minorHAnsi"/>
          <w:bCs/>
          <w:color w:val="000000" w:themeColor="text1"/>
          <w:szCs w:val="22"/>
        </w:rPr>
        <w:t>Legal liability where non-compliance results in a breach of the Privacy Act 1988 or other applicable legislation.</w:t>
      </w:r>
    </w:p>
    <w:p w14:paraId="5516C6C4" w14:textId="4A8E7567" w:rsidR="006E48DD" w:rsidRPr="006E48DD" w:rsidRDefault="006E48DD" w:rsidP="006E48DD">
      <w:pPr>
        <w:pStyle w:val="ListBullet"/>
        <w:numPr>
          <w:ilvl w:val="0"/>
          <w:numId w:val="35"/>
        </w:numPr>
        <w:rPr>
          <w:rFonts w:asciiTheme="minorHAnsi" w:hAnsiTheme="minorHAnsi" w:cstheme="minorHAnsi"/>
        </w:rPr>
      </w:pPr>
      <w:r w:rsidRPr="006E48DD">
        <w:rPr>
          <w:rFonts w:asciiTheme="minorHAnsi" w:hAnsiTheme="minorHAnsi" w:cstheme="minorHAnsi"/>
          <w:highlight w:val="yellow"/>
        </w:rPr>
        <w:t>In cases involving Shadow AI, disciplinary action may include mandatory retraining, formal written warning, or escalation to the organisation's Legal and Compliance team if client data exposure is confirmed.</w:t>
      </w:r>
    </w:p>
    <w:p w14:paraId="34EFE32C" w14:textId="77777777" w:rsidR="00FC03F4" w:rsidRPr="00FC03F4" w:rsidRDefault="00FC03F4" w:rsidP="00FC03F4">
      <w:pPr>
        <w:pBdr>
          <w:top w:val="nil"/>
          <w:left w:val="nil"/>
          <w:bottom w:val="nil"/>
          <w:right w:val="nil"/>
          <w:between w:val="nil"/>
        </w:pBdr>
        <w:spacing w:before="360"/>
        <w:rPr>
          <w:rFonts w:asciiTheme="minorHAnsi" w:eastAsia="Arial" w:hAnsiTheme="minorHAnsi" w:cstheme="minorHAnsi"/>
          <w:b/>
          <w:color w:val="000000" w:themeColor="text1"/>
          <w:szCs w:val="22"/>
        </w:rPr>
      </w:pPr>
    </w:p>
    <w:p w14:paraId="6A540BA8" w14:textId="0AC27B13" w:rsidR="006E48DD" w:rsidRDefault="00FC03F4" w:rsidP="0020168F">
      <w:pPr>
        <w:pBdr>
          <w:top w:val="nil"/>
          <w:left w:val="nil"/>
          <w:bottom w:val="nil"/>
          <w:right w:val="nil"/>
          <w:between w:val="nil"/>
        </w:pBdr>
        <w:spacing w:before="360"/>
        <w:jc w:val="both"/>
        <w:rPr>
          <w:rFonts w:asciiTheme="minorHAnsi" w:eastAsia="Arial" w:hAnsiTheme="minorHAnsi" w:cstheme="minorHAnsi"/>
          <w:b/>
          <w:color w:val="000000" w:themeColor="text1"/>
          <w:szCs w:val="22"/>
        </w:rPr>
      </w:pPr>
      <w:r w:rsidRPr="00FC03F4">
        <w:rPr>
          <w:rFonts w:asciiTheme="minorHAnsi" w:eastAsia="Arial" w:hAnsiTheme="minorHAnsi" w:cstheme="minorHAnsi"/>
          <w:b/>
          <w:color w:val="000000" w:themeColor="text1"/>
          <w:szCs w:val="22"/>
        </w:rPr>
        <w:t>The organisation monitors compliance with this policy through regular MDM compliance reports and annual cybersecurity audits. Staff are encouraged to direct any questions or concerns about this policy to the IT Security team or their manager at any time.</w:t>
      </w:r>
    </w:p>
    <w:p w14:paraId="61F850BB" w14:textId="77777777" w:rsidR="006E48DD" w:rsidRDefault="006E48DD">
      <w:pPr>
        <w:rPr>
          <w:rFonts w:asciiTheme="minorHAnsi" w:eastAsia="Arial" w:hAnsiTheme="minorHAnsi" w:cstheme="minorHAnsi"/>
          <w:b/>
          <w:color w:val="000000" w:themeColor="text1"/>
          <w:szCs w:val="22"/>
        </w:rPr>
      </w:pPr>
      <w:r>
        <w:rPr>
          <w:rFonts w:asciiTheme="minorHAnsi" w:eastAsia="Arial" w:hAnsiTheme="minorHAnsi" w:cstheme="minorHAnsi"/>
          <w:b/>
          <w:color w:val="000000" w:themeColor="text1"/>
          <w:szCs w:val="22"/>
        </w:rPr>
        <w:br w:type="page"/>
      </w:r>
    </w:p>
    <w:p w14:paraId="296B0C45" w14:textId="366897CD" w:rsidR="00650EFD" w:rsidRPr="006E48DD" w:rsidRDefault="006E48DD" w:rsidP="0020168F">
      <w:pPr>
        <w:pBdr>
          <w:top w:val="nil"/>
          <w:left w:val="nil"/>
          <w:bottom w:val="nil"/>
          <w:right w:val="nil"/>
          <w:between w:val="nil"/>
        </w:pBdr>
        <w:spacing w:before="360"/>
        <w:jc w:val="both"/>
        <w:rPr>
          <w:rFonts w:asciiTheme="minorHAnsi" w:eastAsia="Arial" w:hAnsiTheme="minorHAnsi" w:cstheme="minorHAnsi"/>
          <w:bCs/>
          <w:color w:val="000000" w:themeColor="text1"/>
          <w:szCs w:val="22"/>
          <w:highlight w:val="yellow"/>
        </w:rPr>
      </w:pPr>
      <w:r w:rsidRPr="006E48DD">
        <w:rPr>
          <w:rFonts w:asciiTheme="minorHAnsi" w:eastAsia="Arial" w:hAnsiTheme="minorHAnsi" w:cstheme="minorHAnsi"/>
          <w:bCs/>
          <w:color w:val="000000" w:themeColor="text1"/>
          <w:szCs w:val="22"/>
          <w:highlight w:val="yellow"/>
        </w:rPr>
        <w:lastRenderedPageBreak/>
        <w:t>Hi teacher,</w:t>
      </w:r>
    </w:p>
    <w:p w14:paraId="0A43A6F6" w14:textId="77777777" w:rsidR="006E48DD" w:rsidRPr="006E48DD" w:rsidRDefault="006E48DD" w:rsidP="0020168F">
      <w:pPr>
        <w:pBdr>
          <w:top w:val="nil"/>
          <w:left w:val="nil"/>
          <w:bottom w:val="nil"/>
          <w:right w:val="nil"/>
          <w:between w:val="nil"/>
        </w:pBdr>
        <w:spacing w:before="360"/>
        <w:jc w:val="both"/>
        <w:rPr>
          <w:rFonts w:asciiTheme="minorHAnsi" w:eastAsia="Arial" w:hAnsiTheme="minorHAnsi" w:cstheme="minorHAnsi"/>
          <w:bCs/>
          <w:color w:val="000000" w:themeColor="text1"/>
          <w:szCs w:val="22"/>
          <w:highlight w:val="yellow"/>
        </w:rPr>
      </w:pPr>
    </w:p>
    <w:p w14:paraId="3433BF61" w14:textId="7207BADF" w:rsidR="006E48DD" w:rsidRPr="006E48DD" w:rsidRDefault="006E48DD" w:rsidP="0020168F">
      <w:pPr>
        <w:pBdr>
          <w:top w:val="nil"/>
          <w:left w:val="nil"/>
          <w:bottom w:val="nil"/>
          <w:right w:val="nil"/>
          <w:between w:val="nil"/>
        </w:pBdr>
        <w:spacing w:before="360"/>
        <w:jc w:val="both"/>
        <w:rPr>
          <w:rFonts w:asciiTheme="minorHAnsi" w:eastAsia="Arial" w:hAnsiTheme="minorHAnsi" w:cstheme="minorHAnsi"/>
          <w:bCs/>
          <w:color w:val="000000" w:themeColor="text1"/>
          <w:szCs w:val="22"/>
        </w:rPr>
      </w:pPr>
      <w:r w:rsidRPr="006E48DD">
        <w:rPr>
          <w:bCs/>
          <w:highlight w:val="yellow"/>
        </w:rPr>
        <w:t xml:space="preserve">As an additional aspect identified for further awareness within the organisation, I incorporated </w:t>
      </w:r>
      <w:r w:rsidRPr="006E48DD">
        <w:rPr>
          <w:rStyle w:val="Strong"/>
          <w:b w:val="0"/>
          <w:i/>
          <w:iCs/>
          <w:highlight w:val="yellow"/>
        </w:rPr>
        <w:t xml:space="preserve">Shadow AI </w:t>
      </w:r>
      <w:r w:rsidRPr="006E48DD">
        <w:rPr>
          <w:rStyle w:val="Strong"/>
          <w:b w:val="0"/>
          <w:highlight w:val="yellow"/>
        </w:rPr>
        <w:t>and</w:t>
      </w:r>
      <w:r w:rsidRPr="006E48DD">
        <w:rPr>
          <w:rStyle w:val="Strong"/>
          <w:b w:val="0"/>
          <w:i/>
          <w:iCs/>
          <w:highlight w:val="yellow"/>
        </w:rPr>
        <w:t xml:space="preserve"> deepfake-based social engineering</w:t>
      </w:r>
      <w:r w:rsidRPr="006E48DD">
        <w:rPr>
          <w:b/>
          <w:i/>
          <w:iCs/>
          <w:highlight w:val="yellow"/>
        </w:rPr>
        <w:t xml:space="preserve"> </w:t>
      </w:r>
      <w:r w:rsidRPr="006E48DD">
        <w:rPr>
          <w:bCs/>
          <w:highlight w:val="yellow"/>
        </w:rPr>
        <w:t>into the updated BYOD Policy and Procedures (Version</w:t>
      </w:r>
      <w:r>
        <w:rPr>
          <w:bCs/>
          <w:highlight w:val="yellow"/>
        </w:rPr>
        <w:t xml:space="preserve"> 1.2</w:t>
      </w:r>
      <w:r w:rsidRPr="006E48DD">
        <w:rPr>
          <w:bCs/>
          <w:highlight w:val="yellow"/>
        </w:rPr>
        <w:t>). These threats were not part of the original program but emerged as critical gaps following the survey results and my own research, given that employees reported using personal devices and personal applications to manage work access (Q5, Q12), which creates a direct exposure pathway for Shadow AI - where staff may unknowingly upload internal documents or client data to external AI platforms such as ChatGPT or Gemini without IT oversight or governance controls. Alongside this, the growing use of AI-generated voice and video deepfakes means that a phone call or video meeting received on a personal device can no longer be trusted as sufficient basis for approving sensitive actions such as credential resets or access changes, a risk that is particularly relevant in the financial sector context of this organisation. To address both threats, I updated the policy to include a prohibited use clause banning uploads of organisational data to unapproved AI platforms, a new procedural step requiring employees to verify AI tool approval before use, an out-of-band verification requirement embedded within the existing PACT framework, DLP control responsibilities assigned to the IT Security team, and a dedicated incident reporting step for Shadow AI exposure events - ensuring that the program now reflects the latest cybersecurity threats currently impacting Australian organisations.</w:t>
      </w:r>
    </w:p>
    <w:sectPr w:rsidR="006E48DD" w:rsidRPr="006E48DD" w:rsidSect="0062408F">
      <w:headerReference w:type="default" r:id="rId9"/>
      <w:footerReference w:type="even" r:id="rId10"/>
      <w:footerReference w:type="default" r:id="rId11"/>
      <w:headerReference w:type="first" r:id="rId12"/>
      <w:footerReference w:type="first" r:id="rId13"/>
      <w:pgSz w:w="11900" w:h="16840"/>
      <w:pgMar w:top="720" w:right="720" w:bottom="720" w:left="720" w:header="709" w:footer="709"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7FA4A" w14:textId="77777777" w:rsidR="009809B8" w:rsidRDefault="009809B8">
      <w:pPr>
        <w:spacing w:before="0" w:after="0"/>
      </w:pPr>
      <w:r>
        <w:separator/>
      </w:r>
    </w:p>
  </w:endnote>
  <w:endnote w:type="continuationSeparator" w:id="0">
    <w:p w14:paraId="1648898A" w14:textId="77777777" w:rsidR="009809B8" w:rsidRDefault="009809B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Kalinga">
    <w:panose1 w:val="020B0502040204020203"/>
    <w:charset w:val="00"/>
    <w:family w:val="swiss"/>
    <w:pitch w:val="variable"/>
    <w:sig w:usb0="0008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4625D" w14:textId="77777777" w:rsidR="000F345F" w:rsidRDefault="00000000">
    <w:pPr>
      <w:pBdr>
        <w:top w:val="nil"/>
        <w:left w:val="nil"/>
        <w:bottom w:val="nil"/>
        <w:right w:val="nil"/>
        <w:between w:val="nil"/>
      </w:pBdr>
      <w:tabs>
        <w:tab w:val="center" w:pos="4320"/>
        <w:tab w:val="right" w:pos="8640"/>
      </w:tabs>
      <w:spacing w:before="0" w:after="0"/>
      <w:jc w:val="right"/>
      <w:rPr>
        <w:color w:val="000000"/>
        <w:szCs w:val="22"/>
      </w:rPr>
    </w:pPr>
    <w:r>
      <w:rPr>
        <w:color w:val="000000"/>
        <w:szCs w:val="22"/>
      </w:rPr>
      <w:fldChar w:fldCharType="begin"/>
    </w:r>
    <w:r>
      <w:rPr>
        <w:color w:val="000000"/>
        <w:szCs w:val="22"/>
      </w:rPr>
      <w:instrText>PAGE</w:instrText>
    </w:r>
    <w:r>
      <w:rPr>
        <w:color w:val="000000"/>
        <w:szCs w:val="22"/>
      </w:rPr>
      <w:fldChar w:fldCharType="separate"/>
    </w:r>
    <w:r>
      <w:rPr>
        <w:color w:val="000000"/>
        <w:szCs w:val="22"/>
      </w:rPr>
      <w:fldChar w:fldCharType="end"/>
    </w:r>
  </w:p>
  <w:p w14:paraId="29BE523E" w14:textId="77777777" w:rsidR="000F345F" w:rsidRDefault="000F345F">
    <w:pPr>
      <w:pBdr>
        <w:top w:val="nil"/>
        <w:left w:val="nil"/>
        <w:bottom w:val="nil"/>
        <w:right w:val="nil"/>
        <w:between w:val="nil"/>
      </w:pBdr>
      <w:tabs>
        <w:tab w:val="center" w:pos="4320"/>
        <w:tab w:val="right" w:pos="8640"/>
      </w:tabs>
      <w:spacing w:before="0" w:after="0"/>
      <w:ind w:right="360"/>
      <w:rPr>
        <w:color w:val="000000"/>
        <w:szCs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DEEDE" w14:textId="77777777" w:rsidR="000F345F" w:rsidRDefault="000F345F">
    <w:pPr>
      <w:pBdr>
        <w:bottom w:val="single" w:sz="12" w:space="4" w:color="000000"/>
      </w:pBdr>
      <w:tabs>
        <w:tab w:val="right" w:pos="8565"/>
      </w:tabs>
      <w:spacing w:before="0" w:after="0"/>
      <w:rPr>
        <w:sz w:val="16"/>
        <w:szCs w:val="16"/>
      </w:rPr>
    </w:pPr>
  </w:p>
  <w:p w14:paraId="1115D6B8" w14:textId="00E0EE39" w:rsidR="000F345F" w:rsidRDefault="00000000">
    <w:pPr>
      <w:tabs>
        <w:tab w:val="right" w:pos="8565"/>
      </w:tabs>
      <w:spacing w:before="0"/>
      <w:ind w:right="-2"/>
      <w:rPr>
        <w:sz w:val="16"/>
        <w:szCs w:val="16"/>
      </w:rPr>
    </w:pPr>
    <w:r>
      <w:rPr>
        <w:sz w:val="16"/>
        <w:szCs w:val="16"/>
      </w:rPr>
      <w:t xml:space="preserve">Trident Education Pty Ltd trading as Milestones International College | TOID 45323|CRICOS 03877M| </w:t>
    </w:r>
    <w:hyperlink r:id="rId1">
      <w:r w:rsidR="000F345F">
        <w:rPr>
          <w:color w:val="0563C1"/>
          <w:sz w:val="16"/>
          <w:szCs w:val="16"/>
          <w:u w:val="single"/>
        </w:rPr>
        <w:t>info@milestones.vic.edu.au</w:t>
      </w:r>
    </w:hyperlink>
    <w:r>
      <w:rPr>
        <w:color w:val="0563C1"/>
        <w:sz w:val="16"/>
        <w:szCs w:val="16"/>
        <w:u w:val="single"/>
      </w:rPr>
      <w:t xml:space="preserve"> </w:t>
    </w:r>
    <w:r>
      <w:rPr>
        <w:sz w:val="16"/>
        <w:szCs w:val="16"/>
      </w:rPr>
      <w:t>|</w:t>
    </w:r>
  </w:p>
  <w:p w14:paraId="0DDB0DD7" w14:textId="77777777" w:rsidR="000F345F" w:rsidRDefault="00000000">
    <w:pPr>
      <w:tabs>
        <w:tab w:val="center" w:pos="4513"/>
        <w:tab w:val="right" w:pos="9026"/>
        <w:tab w:val="right" w:pos="9356"/>
      </w:tabs>
      <w:spacing w:before="0" w:after="0"/>
      <w:jc w:val="right"/>
      <w:rPr>
        <w:rFonts w:ascii="Arial" w:eastAsia="Arial" w:hAnsi="Arial" w:cs="Arial"/>
        <w:sz w:val="16"/>
        <w:szCs w:val="16"/>
      </w:rPr>
    </w:pPr>
    <w:r>
      <w:rPr>
        <w:rFonts w:ascii="Arial" w:eastAsia="Arial" w:hAnsi="Arial" w:cs="Arial"/>
        <w:b/>
        <w:sz w:val="16"/>
        <w:szCs w:val="16"/>
      </w:rPr>
      <w:t>|</w:t>
    </w:r>
    <w:r>
      <w:rPr>
        <w:rFonts w:ascii="Arial" w:eastAsia="Arial" w:hAnsi="Arial" w:cs="Arial"/>
        <w:sz w:val="16"/>
        <w:szCs w:val="16"/>
      </w:rPr>
      <w:t xml:space="preserve"> Page: </w:t>
    </w: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sidR="0046173D">
      <w:rPr>
        <w:rFonts w:ascii="Arial" w:eastAsia="Arial" w:hAnsi="Arial" w:cs="Arial"/>
        <w:noProof/>
        <w:sz w:val="16"/>
        <w:szCs w:val="16"/>
      </w:rPr>
      <w:t>1</w:t>
    </w:r>
    <w:r>
      <w:rPr>
        <w:rFonts w:ascii="Arial" w:eastAsia="Arial" w:hAnsi="Arial"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53DE9" w14:textId="77777777" w:rsidR="000F345F" w:rsidRDefault="00000000">
    <w:pPr>
      <w:pBdr>
        <w:top w:val="nil"/>
        <w:left w:val="nil"/>
        <w:bottom w:val="nil"/>
        <w:right w:val="nil"/>
        <w:between w:val="nil"/>
      </w:pBdr>
      <w:tabs>
        <w:tab w:val="center" w:pos="4320"/>
        <w:tab w:val="right" w:pos="8640"/>
      </w:tabs>
      <w:spacing w:before="0" w:after="0"/>
      <w:rPr>
        <w:rFonts w:ascii="Arial" w:eastAsia="Arial" w:hAnsi="Arial" w:cs="Arial"/>
        <w:color w:val="000000"/>
        <w:sz w:val="16"/>
        <w:szCs w:val="16"/>
      </w:rPr>
    </w:pPr>
    <w:r>
      <w:rPr>
        <w:rFonts w:ascii="Arial" w:eastAsia="Arial" w:hAnsi="Arial" w:cs="Arial"/>
        <w:color w:val="000000"/>
        <w:sz w:val="16"/>
        <w:szCs w:val="16"/>
      </w:rPr>
      <w:t>J+S Learningwork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DA688" w14:textId="77777777" w:rsidR="009809B8" w:rsidRDefault="009809B8">
      <w:pPr>
        <w:spacing w:before="0" w:after="0"/>
      </w:pPr>
      <w:r>
        <w:separator/>
      </w:r>
    </w:p>
  </w:footnote>
  <w:footnote w:type="continuationSeparator" w:id="0">
    <w:p w14:paraId="414B427A" w14:textId="77777777" w:rsidR="009809B8" w:rsidRDefault="009809B8">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B9785" w14:textId="77777777" w:rsidR="000F345F" w:rsidRDefault="00000000">
    <w:pPr>
      <w:pBdr>
        <w:top w:val="nil"/>
        <w:left w:val="nil"/>
        <w:bottom w:val="nil"/>
        <w:right w:val="nil"/>
        <w:between w:val="nil"/>
      </w:pBdr>
      <w:tabs>
        <w:tab w:val="center" w:pos="4320"/>
        <w:tab w:val="right" w:pos="8640"/>
      </w:tabs>
      <w:spacing w:before="0" w:after="0" w:line="276" w:lineRule="auto"/>
      <w:rPr>
        <w:color w:val="000000"/>
        <w:szCs w:val="22"/>
      </w:rPr>
    </w:pPr>
    <w:r>
      <w:rPr>
        <w:noProof/>
      </w:rPr>
      <w:drawing>
        <wp:anchor distT="0" distB="0" distL="0" distR="0" simplePos="0" relativeHeight="251658240" behindDoc="1" locked="0" layoutInCell="1" hidden="0" allowOverlap="1" wp14:anchorId="7BA683AF" wp14:editId="3E16D400">
          <wp:simplePos x="0" y="0"/>
          <wp:positionH relativeFrom="column">
            <wp:posOffset>4305300</wp:posOffset>
          </wp:positionH>
          <wp:positionV relativeFrom="paragraph">
            <wp:posOffset>-238124</wp:posOffset>
          </wp:positionV>
          <wp:extent cx="1866900" cy="459422"/>
          <wp:effectExtent l="0" t="0" r="0" b="0"/>
          <wp:wrapNone/>
          <wp:docPr id="2" name="image1.png" descr="A close 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 up of a logo&#10;&#10;Description automatically generated"/>
                  <pic:cNvPicPr preferRelativeResize="0"/>
                </pic:nvPicPr>
                <pic:blipFill>
                  <a:blip r:embed="rId1"/>
                  <a:srcRect/>
                  <a:stretch>
                    <a:fillRect/>
                  </a:stretch>
                </pic:blipFill>
                <pic:spPr>
                  <a:xfrm>
                    <a:off x="0" y="0"/>
                    <a:ext cx="1866900" cy="459422"/>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8035E" w14:textId="77777777" w:rsidR="000F345F" w:rsidRDefault="00000000">
    <w:pPr>
      <w:rPr>
        <w:rFonts w:ascii="Arial" w:eastAsia="Arial" w:hAnsi="Arial" w:cs="Arial"/>
        <w:b/>
        <w:color w:val="000000"/>
        <w:sz w:val="20"/>
        <w:szCs w:val="20"/>
      </w:rPr>
    </w:pPr>
    <w:r>
      <w:rPr>
        <w:rFonts w:ascii="Arial" w:eastAsia="Arial" w:hAnsi="Arial" w:cs="Arial"/>
        <w:b/>
        <w:color w:val="000000"/>
        <w:sz w:val="20"/>
        <w:szCs w:val="20"/>
      </w:rPr>
      <w:t xml:space="preserve">This document is Dispute Resolution Policy and Procedures. </w:t>
    </w:r>
  </w:p>
  <w:p w14:paraId="41462AF4" w14:textId="77777777" w:rsidR="000F345F" w:rsidRDefault="00000000">
    <w:pPr>
      <w:pBdr>
        <w:top w:val="nil"/>
        <w:left w:val="nil"/>
        <w:bottom w:val="nil"/>
        <w:right w:val="nil"/>
        <w:between w:val="nil"/>
      </w:pBdr>
      <w:tabs>
        <w:tab w:val="center" w:pos="4320"/>
        <w:tab w:val="right" w:pos="8640"/>
      </w:tabs>
      <w:spacing w:before="0" w:after="0"/>
      <w:rPr>
        <w:color w:val="000000"/>
        <w:szCs w:val="22"/>
      </w:rPr>
    </w:pPr>
    <w:r>
      <w:rPr>
        <w:rFonts w:ascii="Arial" w:eastAsia="Arial" w:hAnsi="Arial" w:cs="Arial"/>
        <w:b/>
        <w:color w:val="000000"/>
        <w:sz w:val="20"/>
        <w:szCs w:val="20"/>
      </w:rPr>
      <w:t>It is part of the supporting assessment resources for Assessment Task 2 of BSBWRK510.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7468DB4"/>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5B52D8D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B57B9"/>
    <w:multiLevelType w:val="hybridMultilevel"/>
    <w:tmpl w:val="2418310E"/>
    <w:lvl w:ilvl="0" w:tplc="514407B8">
      <w:start w:val="1"/>
      <w:numFmt w:val="bullet"/>
      <w:lvlText w:val="•"/>
      <w:lvlJc w:val="left"/>
      <w:pPr>
        <w:ind w:left="720" w:hanging="360"/>
      </w:pPr>
    </w:lvl>
    <w:lvl w:ilvl="1" w:tplc="7CD2E6D6">
      <w:numFmt w:val="decimal"/>
      <w:lvlText w:val=""/>
      <w:lvlJc w:val="left"/>
    </w:lvl>
    <w:lvl w:ilvl="2" w:tplc="4580B21A">
      <w:numFmt w:val="decimal"/>
      <w:lvlText w:val=""/>
      <w:lvlJc w:val="left"/>
    </w:lvl>
    <w:lvl w:ilvl="3" w:tplc="2B5A88A4">
      <w:numFmt w:val="decimal"/>
      <w:lvlText w:val=""/>
      <w:lvlJc w:val="left"/>
    </w:lvl>
    <w:lvl w:ilvl="4" w:tplc="82EE4498">
      <w:numFmt w:val="decimal"/>
      <w:lvlText w:val=""/>
      <w:lvlJc w:val="left"/>
    </w:lvl>
    <w:lvl w:ilvl="5" w:tplc="0CB027F2">
      <w:numFmt w:val="decimal"/>
      <w:lvlText w:val=""/>
      <w:lvlJc w:val="left"/>
    </w:lvl>
    <w:lvl w:ilvl="6" w:tplc="CC22C000">
      <w:numFmt w:val="decimal"/>
      <w:lvlText w:val=""/>
      <w:lvlJc w:val="left"/>
    </w:lvl>
    <w:lvl w:ilvl="7" w:tplc="4330F68A">
      <w:numFmt w:val="decimal"/>
      <w:lvlText w:val=""/>
      <w:lvlJc w:val="left"/>
    </w:lvl>
    <w:lvl w:ilvl="8" w:tplc="95428C72">
      <w:numFmt w:val="decimal"/>
      <w:lvlText w:val=""/>
      <w:lvlJc w:val="left"/>
    </w:lvl>
  </w:abstractNum>
  <w:abstractNum w:abstractNumId="3" w15:restartNumberingAfterBreak="0">
    <w:nsid w:val="058A382D"/>
    <w:multiLevelType w:val="multilevel"/>
    <w:tmpl w:val="B336A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86089"/>
    <w:multiLevelType w:val="multilevel"/>
    <w:tmpl w:val="3E34C2F8"/>
    <w:lvl w:ilvl="0">
      <w:start w:val="1"/>
      <w:numFmt w:val="decimal"/>
      <w:pStyle w:val="Responsebullet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0BE746B"/>
    <w:multiLevelType w:val="hybridMultilevel"/>
    <w:tmpl w:val="37EA9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55C23A1"/>
    <w:multiLevelType w:val="multilevel"/>
    <w:tmpl w:val="20084F3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61C6592"/>
    <w:multiLevelType w:val="hybridMultilevel"/>
    <w:tmpl w:val="3CAC0E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960974"/>
    <w:multiLevelType w:val="multilevel"/>
    <w:tmpl w:val="A2F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814AA5"/>
    <w:multiLevelType w:val="hybridMultilevel"/>
    <w:tmpl w:val="9D16CC02"/>
    <w:lvl w:ilvl="0" w:tplc="1BA02FF8">
      <w:start w:val="1"/>
      <w:numFmt w:val="decimal"/>
      <w:lvlText w:val="%1."/>
      <w:lvlJc w:val="left"/>
      <w:pPr>
        <w:ind w:left="720" w:hanging="360"/>
      </w:pPr>
    </w:lvl>
    <w:lvl w:ilvl="1" w:tplc="AA364A70">
      <w:numFmt w:val="decimal"/>
      <w:lvlText w:val=""/>
      <w:lvlJc w:val="left"/>
    </w:lvl>
    <w:lvl w:ilvl="2" w:tplc="20B046E2">
      <w:numFmt w:val="decimal"/>
      <w:lvlText w:val=""/>
      <w:lvlJc w:val="left"/>
    </w:lvl>
    <w:lvl w:ilvl="3" w:tplc="D42630D6">
      <w:numFmt w:val="decimal"/>
      <w:lvlText w:val=""/>
      <w:lvlJc w:val="left"/>
    </w:lvl>
    <w:lvl w:ilvl="4" w:tplc="E5AA40C8">
      <w:numFmt w:val="decimal"/>
      <w:lvlText w:val=""/>
      <w:lvlJc w:val="left"/>
    </w:lvl>
    <w:lvl w:ilvl="5" w:tplc="A7B69564">
      <w:numFmt w:val="decimal"/>
      <w:lvlText w:val=""/>
      <w:lvlJc w:val="left"/>
    </w:lvl>
    <w:lvl w:ilvl="6" w:tplc="83A606F2">
      <w:numFmt w:val="decimal"/>
      <w:lvlText w:val=""/>
      <w:lvlJc w:val="left"/>
    </w:lvl>
    <w:lvl w:ilvl="7" w:tplc="CECAC344">
      <w:numFmt w:val="decimal"/>
      <w:lvlText w:val=""/>
      <w:lvlJc w:val="left"/>
    </w:lvl>
    <w:lvl w:ilvl="8" w:tplc="AC28F292">
      <w:numFmt w:val="decimal"/>
      <w:lvlText w:val=""/>
      <w:lvlJc w:val="left"/>
    </w:lvl>
  </w:abstractNum>
  <w:abstractNum w:abstractNumId="10" w15:restartNumberingAfterBreak="0">
    <w:nsid w:val="22740764"/>
    <w:multiLevelType w:val="hybridMultilevel"/>
    <w:tmpl w:val="D0887CD0"/>
    <w:lvl w:ilvl="0" w:tplc="6660FE56">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3D83B9B"/>
    <w:multiLevelType w:val="multilevel"/>
    <w:tmpl w:val="CCAA0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153407"/>
    <w:multiLevelType w:val="multilevel"/>
    <w:tmpl w:val="54C453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4281B2A"/>
    <w:multiLevelType w:val="multilevel"/>
    <w:tmpl w:val="AB34557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7DD6289"/>
    <w:multiLevelType w:val="multilevel"/>
    <w:tmpl w:val="D01AEA8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C1543D7"/>
    <w:multiLevelType w:val="multilevel"/>
    <w:tmpl w:val="A5C2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6A5E81"/>
    <w:multiLevelType w:val="multilevel"/>
    <w:tmpl w:val="7960BA0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4C312C66"/>
    <w:multiLevelType w:val="hybridMultilevel"/>
    <w:tmpl w:val="EE88888C"/>
    <w:lvl w:ilvl="0" w:tplc="6158DB8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4D324C70"/>
    <w:multiLevelType w:val="multilevel"/>
    <w:tmpl w:val="721A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9B7AB1"/>
    <w:multiLevelType w:val="hybridMultilevel"/>
    <w:tmpl w:val="3A5A0E4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11C70C9"/>
    <w:multiLevelType w:val="multilevel"/>
    <w:tmpl w:val="59BC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63E33"/>
    <w:multiLevelType w:val="hybridMultilevel"/>
    <w:tmpl w:val="E2FA1EEE"/>
    <w:lvl w:ilvl="0" w:tplc="F42E1EAE">
      <w:start w:val="1"/>
      <w:numFmt w:val="decimal"/>
      <w:lvlText w:val="%1."/>
      <w:lvlJc w:val="left"/>
      <w:pPr>
        <w:ind w:left="720" w:hanging="360"/>
      </w:pPr>
    </w:lvl>
    <w:lvl w:ilvl="1" w:tplc="7206B05C">
      <w:numFmt w:val="decimal"/>
      <w:lvlText w:val=""/>
      <w:lvlJc w:val="left"/>
    </w:lvl>
    <w:lvl w:ilvl="2" w:tplc="6D826C50">
      <w:numFmt w:val="decimal"/>
      <w:lvlText w:val=""/>
      <w:lvlJc w:val="left"/>
    </w:lvl>
    <w:lvl w:ilvl="3" w:tplc="91841556">
      <w:numFmt w:val="decimal"/>
      <w:lvlText w:val=""/>
      <w:lvlJc w:val="left"/>
    </w:lvl>
    <w:lvl w:ilvl="4" w:tplc="F574F6AA">
      <w:numFmt w:val="decimal"/>
      <w:lvlText w:val=""/>
      <w:lvlJc w:val="left"/>
    </w:lvl>
    <w:lvl w:ilvl="5" w:tplc="6498B7B4">
      <w:numFmt w:val="decimal"/>
      <w:lvlText w:val=""/>
      <w:lvlJc w:val="left"/>
    </w:lvl>
    <w:lvl w:ilvl="6" w:tplc="222A01E2">
      <w:numFmt w:val="decimal"/>
      <w:lvlText w:val=""/>
      <w:lvlJc w:val="left"/>
    </w:lvl>
    <w:lvl w:ilvl="7" w:tplc="8A22A3C8">
      <w:numFmt w:val="decimal"/>
      <w:lvlText w:val=""/>
      <w:lvlJc w:val="left"/>
    </w:lvl>
    <w:lvl w:ilvl="8" w:tplc="AD4266EA">
      <w:numFmt w:val="decimal"/>
      <w:lvlText w:val=""/>
      <w:lvlJc w:val="left"/>
    </w:lvl>
  </w:abstractNum>
  <w:abstractNum w:abstractNumId="22" w15:restartNumberingAfterBreak="0">
    <w:nsid w:val="5AD67BD0"/>
    <w:multiLevelType w:val="multilevel"/>
    <w:tmpl w:val="416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458BE"/>
    <w:multiLevelType w:val="hybridMultilevel"/>
    <w:tmpl w:val="6F94EE70"/>
    <w:lvl w:ilvl="0" w:tplc="04906E46">
      <w:start w:val="1"/>
      <w:numFmt w:val="decimal"/>
      <w:lvlText w:val="%1."/>
      <w:lvlJc w:val="left"/>
      <w:pPr>
        <w:ind w:left="720" w:hanging="360"/>
      </w:pPr>
    </w:lvl>
    <w:lvl w:ilvl="1" w:tplc="F00EF852">
      <w:numFmt w:val="decimal"/>
      <w:lvlText w:val=""/>
      <w:lvlJc w:val="left"/>
    </w:lvl>
    <w:lvl w:ilvl="2" w:tplc="E7E615C0">
      <w:numFmt w:val="decimal"/>
      <w:lvlText w:val=""/>
      <w:lvlJc w:val="left"/>
    </w:lvl>
    <w:lvl w:ilvl="3" w:tplc="BA142C86">
      <w:numFmt w:val="decimal"/>
      <w:lvlText w:val=""/>
      <w:lvlJc w:val="left"/>
    </w:lvl>
    <w:lvl w:ilvl="4" w:tplc="8AF68376">
      <w:numFmt w:val="decimal"/>
      <w:lvlText w:val=""/>
      <w:lvlJc w:val="left"/>
    </w:lvl>
    <w:lvl w:ilvl="5" w:tplc="E3502136">
      <w:numFmt w:val="decimal"/>
      <w:lvlText w:val=""/>
      <w:lvlJc w:val="left"/>
    </w:lvl>
    <w:lvl w:ilvl="6" w:tplc="6EAE75F2">
      <w:numFmt w:val="decimal"/>
      <w:lvlText w:val=""/>
      <w:lvlJc w:val="left"/>
    </w:lvl>
    <w:lvl w:ilvl="7" w:tplc="64AED4F8">
      <w:numFmt w:val="decimal"/>
      <w:lvlText w:val=""/>
      <w:lvlJc w:val="left"/>
    </w:lvl>
    <w:lvl w:ilvl="8" w:tplc="EC4A8A4C">
      <w:numFmt w:val="decimal"/>
      <w:lvlText w:val=""/>
      <w:lvlJc w:val="left"/>
    </w:lvl>
  </w:abstractNum>
  <w:abstractNum w:abstractNumId="24" w15:restartNumberingAfterBreak="0">
    <w:nsid w:val="6695271D"/>
    <w:multiLevelType w:val="multilevel"/>
    <w:tmpl w:val="95FA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CB530E"/>
    <w:multiLevelType w:val="multilevel"/>
    <w:tmpl w:val="F2E037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6AE8118B"/>
    <w:multiLevelType w:val="multilevel"/>
    <w:tmpl w:val="8F36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D786A"/>
    <w:multiLevelType w:val="multilevel"/>
    <w:tmpl w:val="A7EE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350504"/>
    <w:multiLevelType w:val="hybridMultilevel"/>
    <w:tmpl w:val="FEC68D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F4B3809"/>
    <w:multiLevelType w:val="hybridMultilevel"/>
    <w:tmpl w:val="B55C3D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91281442">
    <w:abstractNumId w:val="4"/>
  </w:num>
  <w:num w:numId="2" w16cid:durableId="150099728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859998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217444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7255437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34094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320373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984803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4648827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12431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1564446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7203696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68135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32775962">
    <w:abstractNumId w:val="22"/>
  </w:num>
  <w:num w:numId="15" w16cid:durableId="906300518">
    <w:abstractNumId w:val="15"/>
  </w:num>
  <w:num w:numId="16" w16cid:durableId="2094887994">
    <w:abstractNumId w:val="17"/>
  </w:num>
  <w:num w:numId="17" w16cid:durableId="1317031203">
    <w:abstractNumId w:val="3"/>
  </w:num>
  <w:num w:numId="18" w16cid:durableId="817384963">
    <w:abstractNumId w:val="8"/>
  </w:num>
  <w:num w:numId="19" w16cid:durableId="1927179974">
    <w:abstractNumId w:val="24"/>
  </w:num>
  <w:num w:numId="20" w16cid:durableId="1531382825">
    <w:abstractNumId w:val="10"/>
  </w:num>
  <w:num w:numId="21" w16cid:durableId="1088582015">
    <w:abstractNumId w:val="11"/>
  </w:num>
  <w:num w:numId="22" w16cid:durableId="928926916">
    <w:abstractNumId w:val="27"/>
  </w:num>
  <w:num w:numId="23" w16cid:durableId="31879488">
    <w:abstractNumId w:val="18"/>
  </w:num>
  <w:num w:numId="24" w16cid:durableId="700010710">
    <w:abstractNumId w:val="26"/>
  </w:num>
  <w:num w:numId="25" w16cid:durableId="647786377">
    <w:abstractNumId w:val="19"/>
  </w:num>
  <w:num w:numId="26" w16cid:durableId="197206117">
    <w:abstractNumId w:val="20"/>
  </w:num>
  <w:num w:numId="27" w16cid:durableId="1831555454">
    <w:abstractNumId w:val="7"/>
  </w:num>
  <w:num w:numId="28" w16cid:durableId="897519949">
    <w:abstractNumId w:val="14"/>
  </w:num>
  <w:num w:numId="29" w16cid:durableId="650330544">
    <w:abstractNumId w:val="25"/>
  </w:num>
  <w:num w:numId="30" w16cid:durableId="384530197">
    <w:abstractNumId w:val="12"/>
  </w:num>
  <w:num w:numId="31" w16cid:durableId="410665259">
    <w:abstractNumId w:val="13"/>
  </w:num>
  <w:num w:numId="32" w16cid:durableId="25301533">
    <w:abstractNumId w:val="16"/>
  </w:num>
  <w:num w:numId="33" w16cid:durableId="1524977771">
    <w:abstractNumId w:val="6"/>
  </w:num>
  <w:num w:numId="34" w16cid:durableId="179469410">
    <w:abstractNumId w:val="5"/>
  </w:num>
  <w:num w:numId="35" w16cid:durableId="2063939088">
    <w:abstractNumId w:val="2"/>
    <w:lvlOverride w:ilvl="0">
      <w:startOverride w:val="1"/>
    </w:lvlOverride>
  </w:num>
  <w:num w:numId="36" w16cid:durableId="1666281829">
    <w:abstractNumId w:val="28"/>
  </w:num>
  <w:num w:numId="37" w16cid:durableId="334574915">
    <w:abstractNumId w:val="23"/>
    <w:lvlOverride w:ilvl="0">
      <w:startOverride w:val="1"/>
    </w:lvlOverride>
  </w:num>
  <w:num w:numId="38" w16cid:durableId="831720794">
    <w:abstractNumId w:val="9"/>
    <w:lvlOverride w:ilvl="0">
      <w:startOverride w:val="1"/>
    </w:lvlOverride>
  </w:num>
  <w:num w:numId="39" w16cid:durableId="27728443">
    <w:abstractNumId w:val="21"/>
    <w:lvlOverride w:ilvl="0">
      <w:startOverride w:val="1"/>
    </w:lvlOverride>
  </w:num>
  <w:num w:numId="40" w16cid:durableId="715354885">
    <w:abstractNumId w:val="29"/>
  </w:num>
  <w:num w:numId="41" w16cid:durableId="50348635">
    <w:abstractNumId w:val="1"/>
  </w:num>
  <w:num w:numId="42" w16cid:durableId="137843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345F"/>
    <w:rsid w:val="000F345F"/>
    <w:rsid w:val="001A0B31"/>
    <w:rsid w:val="0020168F"/>
    <w:rsid w:val="002C1DCB"/>
    <w:rsid w:val="00340D4F"/>
    <w:rsid w:val="0038615D"/>
    <w:rsid w:val="0046173D"/>
    <w:rsid w:val="005B2380"/>
    <w:rsid w:val="005B5D5F"/>
    <w:rsid w:val="0062408F"/>
    <w:rsid w:val="00632B23"/>
    <w:rsid w:val="00650EFD"/>
    <w:rsid w:val="006E48DD"/>
    <w:rsid w:val="007217BE"/>
    <w:rsid w:val="008C7D68"/>
    <w:rsid w:val="009809B8"/>
    <w:rsid w:val="009D6A12"/>
    <w:rsid w:val="00BB36B9"/>
    <w:rsid w:val="00C60299"/>
    <w:rsid w:val="00D0240B"/>
    <w:rsid w:val="00D2369B"/>
    <w:rsid w:val="00FC03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E2D6C"/>
  <w15:docId w15:val="{B87F830E-9DA7-AC43-9D08-09D3E1D6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GB" w:bidi="ar-SA"/>
      </w:rPr>
    </w:rPrDefault>
    <w:pPrDefault>
      <w:pPr>
        <w:spacing w:before="6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A7C"/>
    <w:rPr>
      <w:szCs w:val="24"/>
      <w:lang w:val="en-AU" w:eastAsia="en-US"/>
    </w:rPr>
  </w:style>
  <w:style w:type="paragraph" w:styleId="Heading1">
    <w:name w:val="heading 1"/>
    <w:basedOn w:val="Normal"/>
    <w:next w:val="Normal"/>
    <w:link w:val="Heading1Char"/>
    <w:uiPriority w:val="9"/>
    <w:qFormat/>
    <w:rsid w:val="00F102D7"/>
    <w:pPr>
      <w:spacing w:before="0" w:after="0"/>
      <w:outlineLvl w:val="0"/>
    </w:pPr>
    <w:rPr>
      <w:rFonts w:ascii="Arial" w:hAnsi="Arial" w:cs="Arial"/>
      <w:b/>
      <w:sz w:val="32"/>
      <w:szCs w:val="32"/>
    </w:rPr>
  </w:style>
  <w:style w:type="paragraph" w:styleId="Heading2">
    <w:name w:val="heading 2"/>
    <w:basedOn w:val="Normal"/>
    <w:next w:val="Normal"/>
    <w:link w:val="Heading2Char"/>
    <w:uiPriority w:val="9"/>
    <w:semiHidden/>
    <w:unhideWhenUsed/>
    <w:qFormat/>
    <w:rsid w:val="00F102D7"/>
    <w:pPr>
      <w:spacing w:before="0" w:after="0"/>
      <w:outlineLvl w:val="1"/>
    </w:pPr>
    <w:rPr>
      <w:rFonts w:ascii="Arial" w:hAnsi="Arial" w:cs="Arial"/>
      <w:b/>
      <w:sz w:val="28"/>
      <w:szCs w:val="28"/>
    </w:rPr>
  </w:style>
  <w:style w:type="paragraph" w:styleId="Heading3">
    <w:name w:val="heading 3"/>
    <w:basedOn w:val="Normal"/>
    <w:next w:val="Normal"/>
    <w:link w:val="Heading3Char"/>
    <w:uiPriority w:val="9"/>
    <w:semiHidden/>
    <w:unhideWhenUsed/>
    <w:qFormat/>
    <w:rsid w:val="00F102D7"/>
    <w:pPr>
      <w:spacing w:before="0" w:after="0"/>
      <w:outlineLvl w:val="2"/>
    </w:pPr>
    <w:rPr>
      <w:rFonts w:ascii="Arial" w:hAnsi="Arial" w:cs="Arial"/>
      <w:b/>
      <w:szCs w:val="22"/>
    </w:rPr>
  </w:style>
  <w:style w:type="paragraph" w:styleId="Heading4">
    <w:name w:val="heading 4"/>
    <w:basedOn w:val="Normal"/>
    <w:next w:val="Normal"/>
    <w:link w:val="Heading4Char"/>
    <w:uiPriority w:val="9"/>
    <w:semiHidden/>
    <w:unhideWhenUsed/>
    <w:qFormat/>
    <w:rsid w:val="009B2DFB"/>
    <w:pPr>
      <w:keepNext/>
      <w:keepLines/>
      <w:spacing w:before="120"/>
      <w:outlineLvl w:val="3"/>
    </w:pPr>
    <w:rPr>
      <w:rFonts w:eastAsia="MS Gothic"/>
      <w:b/>
      <w:bCs/>
      <w:i/>
      <w:iCs/>
      <w:sz w:val="26"/>
      <w:szCs w:val="26"/>
      <w:lang w:val="x-none" w:eastAsia="x-none"/>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customStyle="1" w:styleId="Heading4Char">
    <w:name w:val="Heading 4 Char"/>
    <w:link w:val="Heading4"/>
    <w:uiPriority w:val="9"/>
    <w:semiHidden/>
    <w:rsid w:val="009B2DFB"/>
    <w:rPr>
      <w:rFonts w:ascii="Calibri" w:eastAsia="MS Gothic" w:hAnsi="Calibri" w:cs="Times New Roman"/>
      <w:b/>
      <w:bCs/>
      <w:i/>
      <w:iCs/>
      <w:sz w:val="26"/>
      <w:szCs w:val="26"/>
    </w:rPr>
  </w:style>
  <w:style w:type="character" w:customStyle="1" w:styleId="Heading3Char">
    <w:name w:val="Heading 3 Char"/>
    <w:link w:val="Heading3"/>
    <w:uiPriority w:val="9"/>
    <w:rsid w:val="00F102D7"/>
    <w:rPr>
      <w:rFonts w:ascii="Arial" w:hAnsi="Arial" w:cs="Arial"/>
      <w:b/>
      <w:sz w:val="22"/>
      <w:szCs w:val="22"/>
      <w:lang w:val="en-AU" w:eastAsia="en-US"/>
    </w:rPr>
  </w:style>
  <w:style w:type="character" w:customStyle="1" w:styleId="Heading2Char">
    <w:name w:val="Heading 2 Char"/>
    <w:link w:val="Heading2"/>
    <w:uiPriority w:val="9"/>
    <w:rsid w:val="00F102D7"/>
    <w:rPr>
      <w:rFonts w:ascii="Arial" w:hAnsi="Arial" w:cs="Arial"/>
      <w:b/>
      <w:sz w:val="28"/>
      <w:szCs w:val="28"/>
      <w:lang w:val="en-AU" w:eastAsia="en-US"/>
    </w:rPr>
  </w:style>
  <w:style w:type="character" w:customStyle="1" w:styleId="Heading1Char">
    <w:name w:val="Heading 1 Char"/>
    <w:link w:val="Heading1"/>
    <w:uiPriority w:val="9"/>
    <w:rsid w:val="00F102D7"/>
    <w:rPr>
      <w:rFonts w:ascii="Arial" w:hAnsi="Arial" w:cs="Arial"/>
      <w:b/>
      <w:sz w:val="32"/>
      <w:szCs w:val="32"/>
      <w:lang w:val="en-AU" w:eastAsia="en-US"/>
    </w:rPr>
  </w:style>
  <w:style w:type="paragraph" w:styleId="FootnoteText">
    <w:name w:val="footnote text"/>
    <w:basedOn w:val="Normal"/>
    <w:link w:val="FootnoteTextChar"/>
    <w:uiPriority w:val="99"/>
    <w:semiHidden/>
    <w:unhideWhenUsed/>
    <w:rsid w:val="009B2DFB"/>
    <w:pPr>
      <w:spacing w:before="40" w:after="40"/>
    </w:pPr>
    <w:rPr>
      <w:sz w:val="20"/>
      <w:szCs w:val="20"/>
      <w:lang w:val="x-none" w:eastAsia="x-none"/>
    </w:rPr>
  </w:style>
  <w:style w:type="character" w:customStyle="1" w:styleId="FootnoteTextChar">
    <w:name w:val="Footnote Text Char"/>
    <w:link w:val="FootnoteText"/>
    <w:uiPriority w:val="99"/>
    <w:semiHidden/>
    <w:rsid w:val="009B2DFB"/>
    <w:rPr>
      <w:rFonts w:ascii="Calibri" w:hAnsi="Calibri"/>
      <w:sz w:val="20"/>
    </w:rPr>
  </w:style>
  <w:style w:type="paragraph" w:styleId="Header">
    <w:name w:val="header"/>
    <w:basedOn w:val="Normal"/>
    <w:link w:val="HeaderChar"/>
    <w:uiPriority w:val="99"/>
    <w:unhideWhenUsed/>
    <w:rsid w:val="00BE6CC7"/>
    <w:pPr>
      <w:tabs>
        <w:tab w:val="center" w:pos="4320"/>
        <w:tab w:val="right" w:pos="8640"/>
      </w:tabs>
      <w:spacing w:before="0" w:after="0"/>
    </w:pPr>
  </w:style>
  <w:style w:type="character" w:customStyle="1" w:styleId="HeaderChar">
    <w:name w:val="Header Char"/>
    <w:basedOn w:val="DefaultParagraphFont"/>
    <w:link w:val="Header"/>
    <w:uiPriority w:val="99"/>
    <w:rsid w:val="00BE6CC7"/>
  </w:style>
  <w:style w:type="paragraph" w:styleId="Footer">
    <w:name w:val="footer"/>
    <w:basedOn w:val="Normal"/>
    <w:link w:val="FooterChar"/>
    <w:uiPriority w:val="99"/>
    <w:unhideWhenUsed/>
    <w:rsid w:val="00BE6CC7"/>
    <w:pPr>
      <w:tabs>
        <w:tab w:val="center" w:pos="4320"/>
        <w:tab w:val="right" w:pos="8640"/>
      </w:tabs>
      <w:spacing w:before="0" w:after="0"/>
    </w:pPr>
  </w:style>
  <w:style w:type="character" w:customStyle="1" w:styleId="FooterChar">
    <w:name w:val="Footer Char"/>
    <w:basedOn w:val="DefaultParagraphFont"/>
    <w:link w:val="Footer"/>
    <w:uiPriority w:val="99"/>
    <w:rsid w:val="00BE6CC7"/>
  </w:style>
  <w:style w:type="paragraph" w:styleId="BalloonText">
    <w:name w:val="Balloon Text"/>
    <w:basedOn w:val="Normal"/>
    <w:link w:val="BalloonTextChar"/>
    <w:uiPriority w:val="99"/>
    <w:semiHidden/>
    <w:unhideWhenUsed/>
    <w:rsid w:val="00BE6CC7"/>
    <w:pPr>
      <w:spacing w:before="0" w:after="0"/>
    </w:pPr>
    <w:rPr>
      <w:rFonts w:ascii="Lucida Grande" w:hAnsi="Lucida Grande"/>
      <w:sz w:val="18"/>
      <w:szCs w:val="18"/>
      <w:lang w:val="x-none" w:eastAsia="x-none"/>
    </w:rPr>
  </w:style>
  <w:style w:type="character" w:customStyle="1" w:styleId="BalloonTextChar">
    <w:name w:val="Balloon Text Char"/>
    <w:link w:val="BalloonText"/>
    <w:uiPriority w:val="99"/>
    <w:semiHidden/>
    <w:rsid w:val="00BE6CC7"/>
    <w:rPr>
      <w:rFonts w:ascii="Lucida Grande" w:hAnsi="Lucida Grande" w:cs="Lucida Grande"/>
      <w:sz w:val="18"/>
      <w:szCs w:val="18"/>
    </w:rPr>
  </w:style>
  <w:style w:type="table" w:styleId="TableGrid">
    <w:name w:val="Table Grid"/>
    <w:aliases w:val="ARA Table"/>
    <w:basedOn w:val="TableNormal"/>
    <w:uiPriority w:val="39"/>
    <w:rsid w:val="00E808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840DE1"/>
    <w:pPr>
      <w:ind w:left="720"/>
      <w:contextualSpacing/>
    </w:pPr>
  </w:style>
  <w:style w:type="character" w:styleId="Hyperlink">
    <w:name w:val="Hyperlink"/>
    <w:rsid w:val="00D55F0A"/>
    <w:rPr>
      <w:color w:val="0000FF"/>
      <w:u w:val="single"/>
    </w:rPr>
  </w:style>
  <w:style w:type="numbering" w:customStyle="1" w:styleId="StyleBulleted2">
    <w:name w:val="Style Bulleted2"/>
    <w:basedOn w:val="NoList"/>
    <w:rsid w:val="00F5171E"/>
  </w:style>
  <w:style w:type="paragraph" w:customStyle="1" w:styleId="RedNormal">
    <w:name w:val="Red Normal"/>
    <w:basedOn w:val="Normal"/>
    <w:autoRedefine/>
    <w:qFormat/>
    <w:rsid w:val="00C64E6B"/>
    <w:pPr>
      <w:spacing w:before="0" w:after="0" w:line="276" w:lineRule="auto"/>
    </w:pPr>
    <w:rPr>
      <w:rFonts w:ascii="Arial" w:eastAsia="Times New Roman" w:hAnsi="Arial" w:cs="Arial"/>
      <w:color w:val="FF0000"/>
      <w:szCs w:val="22"/>
      <w:lang w:eastAsia="en-AU"/>
    </w:rPr>
  </w:style>
  <w:style w:type="character" w:styleId="PageNumber">
    <w:name w:val="page number"/>
    <w:basedOn w:val="DefaultParagraphFont"/>
    <w:uiPriority w:val="99"/>
    <w:semiHidden/>
    <w:unhideWhenUsed/>
    <w:rsid w:val="00604D6E"/>
  </w:style>
  <w:style w:type="paragraph" w:customStyle="1" w:styleId="Tiny">
    <w:name w:val="Tiny"/>
    <w:basedOn w:val="Normal"/>
    <w:qFormat/>
    <w:rsid w:val="00F102D7"/>
    <w:pPr>
      <w:spacing w:before="0" w:after="0"/>
    </w:pPr>
    <w:rPr>
      <w:rFonts w:ascii="Arial" w:hAnsi="Arial" w:cs="Arial"/>
      <w:sz w:val="10"/>
      <w:szCs w:val="10"/>
    </w:rPr>
  </w:style>
  <w:style w:type="paragraph" w:customStyle="1" w:styleId="Responsebullets">
    <w:name w:val="Response bullets"/>
    <w:basedOn w:val="Normal"/>
    <w:autoRedefine/>
    <w:qFormat/>
    <w:rsid w:val="00F120E2"/>
    <w:pPr>
      <w:numPr>
        <w:numId w:val="13"/>
      </w:numPr>
      <w:spacing w:before="120" w:line="240" w:lineRule="exact"/>
      <w:ind w:right="-2"/>
      <w:outlineLvl w:val="6"/>
    </w:pPr>
    <w:rPr>
      <w:rFonts w:ascii="Arial" w:eastAsia="Times New Roman" w:hAnsi="Arial" w:cs="Kalinga"/>
      <w:color w:val="FF0000"/>
      <w:sz w:val="20"/>
      <w:szCs w:val="19"/>
      <w:lang w:eastAsia="en-AU"/>
    </w:rPr>
  </w:style>
  <w:style w:type="character" w:styleId="UnresolvedMention">
    <w:name w:val="Unresolved Mention"/>
    <w:basedOn w:val="DefaultParagraphFont"/>
    <w:uiPriority w:val="99"/>
    <w:semiHidden/>
    <w:unhideWhenUsed/>
    <w:rsid w:val="00F120E2"/>
    <w:rPr>
      <w:color w:val="605E5C"/>
      <w:shd w:val="clear" w:color="auto" w:fill="E1DFDD"/>
    </w:rPr>
  </w:style>
  <w:style w:type="paragraph" w:customStyle="1" w:styleId="RTOWorksHeading1">
    <w:name w:val="RTO Works Heading 1"/>
    <w:next w:val="RTOWorksBodyText"/>
    <w:qFormat/>
    <w:rsid w:val="00C35486"/>
    <w:pPr>
      <w:spacing w:before="360" w:line="276" w:lineRule="auto"/>
    </w:pPr>
    <w:rPr>
      <w:rFonts w:ascii="Arial" w:eastAsiaTheme="minorHAnsi" w:hAnsi="Arial" w:cs="Arial"/>
      <w:b/>
      <w:bCs/>
      <w:sz w:val="32"/>
      <w:szCs w:val="32"/>
      <w:lang w:val="en-AU" w:eastAsia="en-US"/>
    </w:rPr>
  </w:style>
  <w:style w:type="paragraph" w:customStyle="1" w:styleId="RTOWorksBodyText">
    <w:name w:val="RTO Works Body Text"/>
    <w:qFormat/>
    <w:rsid w:val="00C35486"/>
    <w:pPr>
      <w:spacing w:before="120" w:line="288" w:lineRule="auto"/>
    </w:pPr>
    <w:rPr>
      <w:rFonts w:ascii="Arial" w:eastAsiaTheme="minorHAnsi" w:hAnsi="Arial" w:cs="Arial"/>
      <w:lang w:val="en-AU" w:eastAsia="en-US"/>
    </w:rPr>
  </w:style>
  <w:style w:type="paragraph" w:customStyle="1" w:styleId="RTOWorksHeading2">
    <w:name w:val="RTO Works Heading 2"/>
    <w:next w:val="RTOWorksBodyText"/>
    <w:qFormat/>
    <w:rsid w:val="00C35486"/>
    <w:pPr>
      <w:spacing w:before="480" w:line="259" w:lineRule="auto"/>
    </w:pPr>
    <w:rPr>
      <w:rFonts w:ascii="Arial" w:eastAsiaTheme="minorHAnsi" w:hAnsi="Arial" w:cs="Arial"/>
      <w:b/>
      <w:bCs/>
      <w:sz w:val="28"/>
      <w:szCs w:val="28"/>
      <w:lang w:val="en-AU" w:eastAsia="en-US"/>
    </w:rPr>
  </w:style>
  <w:style w:type="paragraph" w:customStyle="1" w:styleId="RTOWorksHeading3">
    <w:name w:val="RTO Works Heading 3"/>
    <w:qFormat/>
    <w:rsid w:val="00C35486"/>
    <w:pPr>
      <w:spacing w:before="360" w:line="276" w:lineRule="auto"/>
    </w:pPr>
    <w:rPr>
      <w:rFonts w:ascii="Arial" w:eastAsiaTheme="minorHAnsi" w:hAnsi="Arial" w:cs="Arial"/>
      <w:b/>
      <w:bCs/>
      <w:sz w:val="24"/>
      <w:szCs w:val="24"/>
      <w:lang w:val="en-AU" w:eastAsia="en-US"/>
    </w:rPr>
  </w:style>
  <w:style w:type="paragraph" w:customStyle="1" w:styleId="RTOWorksNumbers">
    <w:name w:val="RTO Works Numbers"/>
    <w:qFormat/>
    <w:rsid w:val="00C35486"/>
    <w:pPr>
      <w:tabs>
        <w:tab w:val="num" w:pos="720"/>
      </w:tabs>
      <w:spacing w:before="120" w:line="276" w:lineRule="auto"/>
      <w:ind w:left="720" w:hanging="720"/>
    </w:pPr>
    <w:rPr>
      <w:rFonts w:ascii="Arial" w:eastAsiaTheme="minorHAnsi" w:hAnsi="Arial" w:cs="Arial"/>
      <w:lang w:val="en-AU" w:eastAsia="en-US"/>
    </w:rPr>
  </w:style>
  <w:style w:type="paragraph" w:customStyle="1" w:styleId="RTOWorksBullet1">
    <w:name w:val="RTO Works Bullet 1"/>
    <w:qFormat/>
    <w:rsid w:val="00C35486"/>
    <w:pPr>
      <w:tabs>
        <w:tab w:val="num" w:pos="720"/>
      </w:tabs>
      <w:spacing w:before="120" w:line="288" w:lineRule="auto"/>
      <w:ind w:left="720" w:hanging="720"/>
    </w:pPr>
    <w:rPr>
      <w:rFonts w:ascii="Arial" w:eastAsiaTheme="minorHAnsi" w:hAnsi="Arial" w:cs="Arial"/>
      <w:lang w:val="en-AU" w:eastAsia="en-US"/>
    </w:rPr>
  </w:style>
  <w:style w:type="paragraph" w:customStyle="1" w:styleId="RTOWorksAssessorGuidance">
    <w:name w:val="RTO Works Assessor Guidance"/>
    <w:qFormat/>
    <w:rsid w:val="00C35486"/>
    <w:pPr>
      <w:spacing w:before="120" w:line="288" w:lineRule="auto"/>
    </w:pPr>
    <w:rPr>
      <w:rFonts w:ascii="Arial" w:eastAsiaTheme="minorHAnsi" w:hAnsi="Arial" w:cs="Arial"/>
      <w:color w:val="FF0000"/>
      <w:lang w:val="en-AU" w:eastAsia="en-US"/>
    </w:rPr>
  </w:style>
  <w:style w:type="paragraph" w:customStyle="1" w:styleId="RTOWorksAssessorGuidanceIndented">
    <w:name w:val="RTO Works Assessor Guidance Indented"/>
    <w:qFormat/>
    <w:rsid w:val="00C35486"/>
    <w:pPr>
      <w:spacing w:before="120" w:line="288" w:lineRule="auto"/>
      <w:ind w:left="425"/>
    </w:pPr>
    <w:rPr>
      <w:rFonts w:ascii="Arial" w:eastAsiaTheme="minorHAnsi" w:hAnsi="Arial" w:cs="Arial"/>
      <w:color w:val="FF0000"/>
      <w:lang w:val="en-AU" w:eastAsia="en-US"/>
    </w:rPr>
  </w:style>
  <w:style w:type="paragraph" w:customStyle="1" w:styleId="RTOWorksBullet2">
    <w:name w:val="RTO Works Bullet 2"/>
    <w:qFormat/>
    <w:rsid w:val="00C35486"/>
    <w:pPr>
      <w:tabs>
        <w:tab w:val="num" w:pos="720"/>
      </w:tabs>
      <w:spacing w:before="120" w:line="288" w:lineRule="auto"/>
      <w:ind w:left="850" w:hanging="425"/>
    </w:pPr>
    <w:rPr>
      <w:rFonts w:ascii="Arial" w:eastAsiaTheme="minorHAnsi" w:hAnsi="Arial" w:cs="Arial"/>
      <w:lang w:val="en-AU" w:eastAsia="en-US"/>
    </w:rPr>
  </w:style>
  <w:style w:type="paragraph" w:customStyle="1" w:styleId="RTOWorksBullet3">
    <w:name w:val="RTO Works Bullet 3"/>
    <w:basedOn w:val="Normal"/>
    <w:qFormat/>
    <w:rsid w:val="00C35486"/>
    <w:pPr>
      <w:tabs>
        <w:tab w:val="num" w:pos="720"/>
      </w:tabs>
      <w:spacing w:before="120" w:line="288" w:lineRule="auto"/>
      <w:ind w:left="1276" w:hanging="425"/>
    </w:pPr>
    <w:rPr>
      <w:rFonts w:ascii="Arial" w:eastAsiaTheme="minorHAnsi" w:hAnsi="Arial" w:cs="Arial"/>
      <w:sz w:val="20"/>
      <w:szCs w:val="20"/>
    </w:rPr>
  </w:style>
  <w:style w:type="paragraph" w:customStyle="1" w:styleId="RTOWorksAssessorGuidanceBullet1">
    <w:name w:val="RTO Works Assessor Guidance Bullet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2">
    <w:name w:val="RTO Works Assessor Guidance Bullet 2"/>
    <w:qFormat/>
    <w:rsid w:val="00C35486"/>
    <w:pPr>
      <w:tabs>
        <w:tab w:val="num" w:pos="720"/>
      </w:tabs>
      <w:spacing w:before="120" w:line="288" w:lineRule="auto"/>
      <w:ind w:left="850" w:hanging="425"/>
    </w:pPr>
    <w:rPr>
      <w:rFonts w:ascii="Arial" w:eastAsiaTheme="minorHAnsi" w:hAnsi="Arial" w:cs="Arial"/>
      <w:color w:val="FF0000"/>
      <w:lang w:val="en-AU" w:eastAsia="en-US"/>
    </w:rPr>
  </w:style>
  <w:style w:type="paragraph" w:customStyle="1" w:styleId="RTOWorksAssessorGuidanceBulletInd1">
    <w:name w:val="RTO Works Assessor Guidance Bullet Ind 1"/>
    <w:qFormat/>
    <w:rsid w:val="00C35486"/>
    <w:pPr>
      <w:tabs>
        <w:tab w:val="num" w:pos="720"/>
      </w:tabs>
      <w:spacing w:before="120" w:line="288" w:lineRule="auto"/>
      <w:ind w:left="720" w:hanging="720"/>
    </w:pPr>
    <w:rPr>
      <w:rFonts w:ascii="Arial" w:eastAsiaTheme="minorHAnsi" w:hAnsi="Arial" w:cs="Arial"/>
      <w:color w:val="FF0000"/>
      <w:lang w:val="en-AU" w:eastAsia="en-US"/>
    </w:rPr>
  </w:style>
  <w:style w:type="paragraph" w:customStyle="1" w:styleId="RTOWorksAssessorGuidanceBulletInd2">
    <w:name w:val="RTO Works Assessor Guidance Bullet Ind 2"/>
    <w:qFormat/>
    <w:rsid w:val="00C35486"/>
    <w:pPr>
      <w:tabs>
        <w:tab w:val="num" w:pos="720"/>
      </w:tabs>
      <w:spacing w:before="120" w:line="288" w:lineRule="auto"/>
      <w:ind w:left="1276" w:hanging="425"/>
    </w:pPr>
    <w:rPr>
      <w:rFonts w:ascii="Arial" w:eastAsiaTheme="minorHAnsi" w:hAnsi="Arial" w:cs="Arial"/>
      <w:color w:val="FF0000"/>
      <w:lang w:val="en-AU" w:eastAsia="en-US"/>
    </w:rPr>
  </w:style>
  <w:style w:type="paragraph" w:customStyle="1" w:styleId="RTOWorksBodyTextIndent">
    <w:name w:val="RTO Works Body Text Indent"/>
    <w:qFormat/>
    <w:rsid w:val="00C35486"/>
    <w:pPr>
      <w:spacing w:before="120" w:line="288" w:lineRule="auto"/>
      <w:ind w:left="425"/>
    </w:pPr>
    <w:rPr>
      <w:rFonts w:ascii="Arial" w:eastAsiaTheme="minorHAnsi" w:hAnsi="Arial" w:cs="Arial"/>
      <w:lang w:val="en-AU" w:eastAsia="en-US"/>
    </w:rPr>
  </w:style>
  <w:style w:type="paragraph" w:customStyle="1" w:styleId="RTOWorksBulletInd1">
    <w:name w:val="RTO Works Bullet Ind 1"/>
    <w:qFormat/>
    <w:rsid w:val="00C35486"/>
    <w:pPr>
      <w:tabs>
        <w:tab w:val="num" w:pos="720"/>
      </w:tabs>
      <w:spacing w:before="120" w:line="288" w:lineRule="auto"/>
      <w:ind w:left="850" w:hanging="425"/>
    </w:pPr>
    <w:rPr>
      <w:rFonts w:ascii="Arial" w:eastAsiaTheme="minorHAnsi" w:hAnsi="Arial" w:cstheme="minorBidi"/>
      <w:lang w:val="en-AU" w:eastAsia="en-US"/>
    </w:rPr>
  </w:style>
  <w:style w:type="paragraph" w:customStyle="1" w:styleId="RTOWorksBulletInd2">
    <w:name w:val="RTO Works Bullet Ind 2"/>
    <w:qFormat/>
    <w:rsid w:val="00C35486"/>
    <w:pPr>
      <w:tabs>
        <w:tab w:val="num" w:pos="720"/>
      </w:tabs>
      <w:spacing w:before="120" w:line="288" w:lineRule="auto"/>
      <w:ind w:left="1276" w:hanging="425"/>
    </w:pPr>
    <w:rPr>
      <w:rFonts w:ascii="Arial" w:eastAsiaTheme="minorHAnsi" w:hAnsi="Arial" w:cs="Arial"/>
      <w:lang w:val="en-AU" w:eastAsia="en-US"/>
    </w:rPr>
  </w:style>
  <w:style w:type="paragraph" w:customStyle="1" w:styleId="RTOWorksBulletInd3">
    <w:name w:val="RTO Works Bullet Ind 3"/>
    <w:qFormat/>
    <w:rsid w:val="00C35486"/>
    <w:pPr>
      <w:tabs>
        <w:tab w:val="num" w:pos="720"/>
      </w:tabs>
      <w:spacing w:before="120" w:line="288" w:lineRule="auto"/>
      <w:ind w:left="1701" w:hanging="425"/>
    </w:pPr>
    <w:rPr>
      <w:rFonts w:ascii="Arial" w:eastAsiaTheme="minorHAnsi" w:hAnsi="Arial" w:cs="Arial"/>
      <w:lang w:val="en-AU" w:eastAsia="en-US"/>
    </w:rPr>
  </w:style>
  <w:style w:type="numbering" w:customStyle="1" w:styleId="AssessorGuidanceBulletIndent">
    <w:name w:val="Assessor Guidance Bullet Indent"/>
    <w:uiPriority w:val="99"/>
    <w:rsid w:val="00C3548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right w:w="0" w:type="dxa"/>
      </w:tblCellMar>
    </w:tblPr>
  </w:style>
  <w:style w:type="paragraph" w:styleId="ListParagraph">
    <w:name w:val="List Paragraph"/>
    <w:basedOn w:val="Normal"/>
    <w:uiPriority w:val="34"/>
    <w:qFormat/>
    <w:rsid w:val="0046173D"/>
    <w:pPr>
      <w:ind w:left="720"/>
      <w:contextualSpacing/>
    </w:pPr>
  </w:style>
  <w:style w:type="paragraph" w:styleId="NormalWeb">
    <w:name w:val="Normal (Web)"/>
    <w:basedOn w:val="Normal"/>
    <w:uiPriority w:val="99"/>
    <w:semiHidden/>
    <w:unhideWhenUsed/>
    <w:rsid w:val="00650EFD"/>
    <w:pPr>
      <w:spacing w:before="100" w:beforeAutospacing="1" w:after="100" w:afterAutospacing="1"/>
    </w:pPr>
    <w:rPr>
      <w:rFonts w:ascii="Times New Roman" w:eastAsia="Times New Roman" w:hAnsi="Times New Roman" w:cs="Times New Roman"/>
      <w:sz w:val="24"/>
      <w:lang w:eastAsia="en-GB"/>
    </w:rPr>
  </w:style>
  <w:style w:type="table" w:styleId="PlainTable1">
    <w:name w:val="Plain Table 1"/>
    <w:basedOn w:val="TableNormal"/>
    <w:uiPriority w:val="41"/>
    <w:rsid w:val="00FC03F4"/>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FC03F4"/>
    <w:pPr>
      <w:spacing w:after="0"/>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ListBullet">
    <w:name w:val="List Bullet"/>
    <w:basedOn w:val="Normal"/>
    <w:uiPriority w:val="99"/>
    <w:unhideWhenUsed/>
    <w:rsid w:val="008C7D68"/>
    <w:pPr>
      <w:numPr>
        <w:numId w:val="41"/>
      </w:numPr>
      <w:tabs>
        <w:tab w:val="clear" w:pos="360"/>
      </w:tabs>
      <w:spacing w:before="0" w:after="200" w:line="276" w:lineRule="auto"/>
      <w:contextualSpacing/>
    </w:pPr>
    <w:rPr>
      <w:rFonts w:eastAsiaTheme="minorEastAsia" w:cstheme="minorBidi"/>
      <w:szCs w:val="22"/>
      <w:lang w:val="en-US"/>
    </w:rPr>
  </w:style>
  <w:style w:type="paragraph" w:styleId="ListNumber">
    <w:name w:val="List Number"/>
    <w:basedOn w:val="Normal"/>
    <w:uiPriority w:val="99"/>
    <w:unhideWhenUsed/>
    <w:rsid w:val="008C7D68"/>
    <w:pPr>
      <w:numPr>
        <w:numId w:val="42"/>
      </w:numPr>
      <w:tabs>
        <w:tab w:val="clear" w:pos="360"/>
      </w:tabs>
      <w:spacing w:before="0" w:after="200" w:line="276" w:lineRule="auto"/>
      <w:ind w:left="0" w:firstLine="0"/>
      <w:contextualSpacing/>
    </w:pPr>
    <w:rPr>
      <w:rFonts w:eastAsiaTheme="minorEastAsia" w:cstheme="minorBidi"/>
      <w:szCs w:val="22"/>
      <w:lang w:val="en-US"/>
    </w:rPr>
  </w:style>
  <w:style w:type="character" w:styleId="Strong">
    <w:name w:val="Strong"/>
    <w:basedOn w:val="DefaultParagraphFont"/>
    <w:uiPriority w:val="22"/>
    <w:qFormat/>
    <w:rsid w:val="006E48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mailto:info@milestonesenglish.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qriS0LtqZT5/oiXUBkt06ehIsg==">CgMxLjA4AHIhMTdxR0k2MWpRVU5SVjljdnhiaUxSOW9zN3JNWTVpamND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6</Pages>
  <Words>2657</Words>
  <Characters>14881</Characters>
  <Application>Microsoft Office Word</Application>
  <DocSecurity>0</DocSecurity>
  <Lines>372</Lines>
  <Paragraphs>197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mpz</dc:creator>
  <cp:keywords/>
  <dc:description/>
  <cp:lastModifiedBy>Manuel Perez</cp:lastModifiedBy>
  <cp:revision>10</cp:revision>
  <dcterms:created xsi:type="dcterms:W3CDTF">2018-06-13T00:26:00Z</dcterms:created>
  <dcterms:modified xsi:type="dcterms:W3CDTF">2026-06-07T12:56:00Z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0x01010055C80B126816A9409F2C6B4A1A06B318</vt:lpwstr>
  </property>
  <property fmtid="{D5CDD505-2E9C-101B-9397-08002B2CF9AE}" pid="3" name="Order">
    <vt:i4>30747900</vt:i4>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