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02E62" w14:textId="6388FB1A" w:rsidR="000F345F" w:rsidRPr="00FC03F4" w:rsidRDefault="0046173D" w:rsidP="00FC03F4">
      <w:pPr>
        <w:widowControl w:val="0"/>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hAnsiTheme="minorHAnsi" w:cstheme="minorHAnsi"/>
          <w:noProof/>
          <w:color w:val="000000" w:themeColor="text1"/>
          <w:szCs w:val="22"/>
        </w:rPr>
        <w:drawing>
          <wp:anchor distT="0" distB="0" distL="0" distR="0" simplePos="0" relativeHeight="251658240" behindDoc="1" locked="0" layoutInCell="1" hidden="0" allowOverlap="1" wp14:anchorId="19C79E82" wp14:editId="373FA6C7">
            <wp:simplePos x="0" y="0"/>
            <wp:positionH relativeFrom="column">
              <wp:posOffset>10160</wp:posOffset>
            </wp:positionH>
            <wp:positionV relativeFrom="paragraph">
              <wp:posOffset>108585</wp:posOffset>
            </wp:positionV>
            <wp:extent cx="532179" cy="500248"/>
            <wp:effectExtent l="0" t="0" r="0" b="0"/>
            <wp:wrapNone/>
            <wp:docPr id="3"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8"/>
                    <a:srcRect r="71562" b="-10375"/>
                    <a:stretch>
                      <a:fillRect/>
                    </a:stretch>
                  </pic:blipFill>
                  <pic:spPr>
                    <a:xfrm>
                      <a:off x="0" y="0"/>
                      <a:ext cx="532179" cy="500248"/>
                    </a:xfrm>
                    <a:prstGeom prst="rect">
                      <a:avLst/>
                    </a:prstGeom>
                    <a:ln/>
                  </pic:spPr>
                </pic:pic>
              </a:graphicData>
            </a:graphic>
          </wp:anchor>
        </w:drawing>
      </w:r>
    </w:p>
    <w:tbl>
      <w:tblPr>
        <w:tblStyle w:val="a"/>
        <w:tblW w:w="930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022"/>
        <w:gridCol w:w="8286"/>
      </w:tblGrid>
      <w:tr w:rsidR="00FC03F4" w:rsidRPr="00FC03F4" w14:paraId="024F92F9" w14:textId="77777777" w:rsidTr="00046659">
        <w:trPr>
          <w:trHeight w:val="474"/>
        </w:trPr>
        <w:tc>
          <w:tcPr>
            <w:tcW w:w="1022" w:type="dxa"/>
          </w:tcPr>
          <w:p w14:paraId="6AD042A9" w14:textId="16CA220D" w:rsidR="00FC03F4" w:rsidRPr="00FC03F4" w:rsidRDefault="00FC03F4" w:rsidP="00FC03F4">
            <w:pPr>
              <w:pBdr>
                <w:top w:val="nil"/>
                <w:left w:val="nil"/>
                <w:bottom w:val="nil"/>
                <w:right w:val="nil"/>
                <w:between w:val="nil"/>
              </w:pBdr>
              <w:spacing w:before="120"/>
              <w:ind w:left="-112"/>
              <w:rPr>
                <w:rFonts w:asciiTheme="minorHAnsi" w:eastAsia="Arial" w:hAnsiTheme="minorHAnsi" w:cstheme="minorHAnsi"/>
                <w:color w:val="000000" w:themeColor="text1"/>
                <w:szCs w:val="22"/>
              </w:rPr>
            </w:pPr>
          </w:p>
        </w:tc>
        <w:tc>
          <w:tcPr>
            <w:tcW w:w="8286" w:type="dxa"/>
          </w:tcPr>
          <w:p w14:paraId="529A3E29" w14:textId="47B23820"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
                <w:bCs/>
                <w:color w:val="000000" w:themeColor="text1"/>
                <w:sz w:val="28"/>
                <w:szCs w:val="28"/>
              </w:rPr>
            </w:pPr>
            <w:r w:rsidRPr="00FC03F4">
              <w:rPr>
                <w:rFonts w:asciiTheme="minorHAnsi" w:eastAsia="Arial" w:hAnsiTheme="minorHAnsi" w:cstheme="minorHAnsi"/>
                <w:b/>
                <w:bCs/>
                <w:color w:val="000000" w:themeColor="text1"/>
                <w:sz w:val="28"/>
                <w:szCs w:val="28"/>
              </w:rPr>
              <w:t>Bring Your Own Device (BYOD) Cybersecurity Policy 1.</w:t>
            </w:r>
            <w:r w:rsidR="009D6A12">
              <w:rPr>
                <w:rFonts w:asciiTheme="minorHAnsi" w:eastAsia="Arial" w:hAnsiTheme="minorHAnsi" w:cstheme="minorHAnsi"/>
                <w:b/>
                <w:bCs/>
                <w:color w:val="000000" w:themeColor="text1"/>
                <w:sz w:val="28"/>
                <w:szCs w:val="28"/>
              </w:rPr>
              <w:t>2</w:t>
            </w:r>
          </w:p>
        </w:tc>
      </w:tr>
    </w:tbl>
    <w:p w14:paraId="41C61966" w14:textId="2A8F855C" w:rsidR="000F345F" w:rsidRPr="0020168F" w:rsidRDefault="00000000" w:rsidP="00FC03F4">
      <w:pPr>
        <w:pBdr>
          <w:top w:val="nil"/>
          <w:left w:val="nil"/>
          <w:bottom w:val="nil"/>
          <w:right w:val="nil"/>
          <w:between w:val="nil"/>
        </w:pBdr>
        <w:spacing w:before="36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Purpose</w:t>
      </w:r>
    </w:p>
    <w:p w14:paraId="4A10A3E9"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This policy establishes the rules and requirements for the use of personal devices, including smartphones, tablets, and laptops, to access the organisation's systems, data, and applications. A personal device, for the purposes of this policy, is any device that is not owned or fully managed by the organisation.</w:t>
      </w:r>
    </w:p>
    <w:p w14:paraId="7B6CECB8" w14:textId="318E351D"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br/>
        <w:t>The purpose of this policy is to:</w:t>
      </w:r>
    </w:p>
    <w:p w14:paraId="1CC24F33"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Protect the organisation's data and customer information when it is accessed through personal devices.</w:t>
      </w:r>
    </w:p>
    <w:p w14:paraId="656510D8"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Clearly define what staff are and are not permitted to do with their personal devices in a work context.</w:t>
      </w:r>
    </w:p>
    <w:p w14:paraId="71442CF2"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Address the cybersecurity risks identified through the organisation's awareness survey, in particular the use of unmanaged personal devices to access corporate systems and the management of work credentials on personal platforms.</w:t>
      </w:r>
    </w:p>
    <w:p w14:paraId="5F7D3121" w14:textId="77777777" w:rsid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Ensure compliance with applicable Australian and international legislative requirements.</w:t>
      </w:r>
    </w:p>
    <w:p w14:paraId="0575A221" w14:textId="0A74A414" w:rsidR="008C7D68" w:rsidRDefault="008C7D68" w:rsidP="008C7D68">
      <w:pPr>
        <w:pStyle w:val="ListBullet"/>
        <w:numPr>
          <w:ilvl w:val="0"/>
          <w:numId w:val="35"/>
        </w:numPr>
      </w:pPr>
      <w:r>
        <w:rPr>
          <w:highlight w:val="yellow"/>
        </w:rPr>
        <w:t xml:space="preserve">Govern the use of artificial intelligence (AI) tools on personal devices to prevent </w:t>
      </w:r>
      <w:proofErr w:type="spellStart"/>
      <w:r>
        <w:rPr>
          <w:highlight w:val="yellow"/>
        </w:rPr>
        <w:t>unauthorised</w:t>
      </w:r>
      <w:proofErr w:type="spellEnd"/>
      <w:r>
        <w:rPr>
          <w:highlight w:val="yellow"/>
        </w:rPr>
        <w:t xml:space="preserve"> data exposure through Shadow AI.</w:t>
      </w:r>
    </w:p>
    <w:p w14:paraId="0FB4EF0E" w14:textId="77777777" w:rsidR="00EA1494" w:rsidRDefault="00EA1494" w:rsidP="00EA1494">
      <w:pPr>
        <w:pStyle w:val="ListBullet"/>
        <w:numPr>
          <w:ilvl w:val="0"/>
          <w:numId w:val="35"/>
        </w:numPr>
      </w:pPr>
      <w:r>
        <w:rPr>
          <w:highlight w:val="green"/>
        </w:rPr>
        <w:t xml:space="preserve">Acknowledge that human factors such as cognitive overload and password fatigue are </w:t>
      </w:r>
      <w:proofErr w:type="spellStart"/>
      <w:r>
        <w:rPr>
          <w:highlight w:val="green"/>
        </w:rPr>
        <w:t>recognised</w:t>
      </w:r>
      <w:proofErr w:type="spellEnd"/>
      <w:r>
        <w:rPr>
          <w:highlight w:val="green"/>
        </w:rPr>
        <w:t xml:space="preserve"> security risk drivers that this policy actively seeks to mitigate through technical and procedural design.</w:t>
      </w:r>
    </w:p>
    <w:p w14:paraId="030270FB" w14:textId="77777777" w:rsidR="00EA1494" w:rsidRPr="008C7D68" w:rsidRDefault="00EA1494" w:rsidP="00EA1494">
      <w:pPr>
        <w:pStyle w:val="ListBullet"/>
        <w:numPr>
          <w:ilvl w:val="0"/>
          <w:numId w:val="0"/>
        </w:numPr>
      </w:pPr>
    </w:p>
    <w:p w14:paraId="60D2AA82"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Cs/>
          <w:color w:val="000000" w:themeColor="text1"/>
          <w:szCs w:val="22"/>
        </w:rPr>
      </w:pPr>
    </w:p>
    <w:p w14:paraId="0CE4302C"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This policy has been developed in alignment with the following legislation:</w:t>
      </w:r>
    </w:p>
    <w:p w14:paraId="2918AD86"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Privacy Act 1988 (</w:t>
      </w:r>
      <w:proofErr w:type="spellStart"/>
      <w:r w:rsidRPr="00FC03F4">
        <w:rPr>
          <w:rFonts w:asciiTheme="minorHAnsi" w:eastAsia="Arial" w:hAnsiTheme="minorHAnsi" w:cstheme="minorHAnsi"/>
          <w:bCs/>
          <w:color w:val="000000" w:themeColor="text1"/>
          <w:szCs w:val="22"/>
        </w:rPr>
        <w:t>Cth</w:t>
      </w:r>
      <w:proofErr w:type="spellEnd"/>
      <w:r w:rsidRPr="00FC03F4">
        <w:rPr>
          <w:rFonts w:asciiTheme="minorHAnsi" w:eastAsia="Arial" w:hAnsiTheme="minorHAnsi" w:cstheme="minorHAnsi"/>
          <w:bCs/>
          <w:color w:val="000000" w:themeColor="text1"/>
          <w:szCs w:val="22"/>
        </w:rPr>
        <w:t>) - governs the collection, use, storage, and disclosure of personal information, including customer data that may be accessible via a personal device connected to organisational systems.</w:t>
      </w:r>
    </w:p>
    <w:p w14:paraId="32C5C798"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Privacy Amendment (Notifiable Data Breaches) Act 2017 (</w:t>
      </w:r>
      <w:proofErr w:type="spellStart"/>
      <w:r w:rsidRPr="00FC03F4">
        <w:rPr>
          <w:rFonts w:asciiTheme="minorHAnsi" w:eastAsia="Arial" w:hAnsiTheme="minorHAnsi" w:cstheme="minorHAnsi"/>
          <w:bCs/>
          <w:color w:val="000000" w:themeColor="text1"/>
          <w:szCs w:val="22"/>
        </w:rPr>
        <w:t>Cth</w:t>
      </w:r>
      <w:proofErr w:type="spellEnd"/>
      <w:r w:rsidRPr="00FC03F4">
        <w:rPr>
          <w:rFonts w:asciiTheme="minorHAnsi" w:eastAsia="Arial" w:hAnsiTheme="minorHAnsi" w:cstheme="minorHAnsi"/>
          <w:bCs/>
          <w:color w:val="000000" w:themeColor="text1"/>
          <w:szCs w:val="22"/>
        </w:rPr>
        <w:t>) - requires the organisation to notify the Office of the Australian Information Commissioner (OAIC) and affected individuals when a data breach involving personal information is likely to cause serious harm. This includes incidents originating from or involving a personal device.</w:t>
      </w:r>
    </w:p>
    <w:p w14:paraId="72905F8D" w14:textId="654A1634"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National Cybersecurity Protection Act 2024 (USA) - applies to operations and data involving United States-based customers or systems, establishing baseline security requirements for connected devices and the protection of data accessed or stored on those devices.</w:t>
      </w:r>
    </w:p>
    <w:p w14:paraId="2B0550CD" w14:textId="77777777" w:rsidR="000F345F" w:rsidRPr="0020168F" w:rsidRDefault="00000000" w:rsidP="00FC03F4">
      <w:pPr>
        <w:pBdr>
          <w:top w:val="nil"/>
          <w:left w:val="nil"/>
          <w:bottom w:val="nil"/>
          <w:right w:val="nil"/>
          <w:between w:val="nil"/>
        </w:pBdr>
        <w:spacing w:before="36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Scope</w:t>
      </w:r>
    </w:p>
    <w:p w14:paraId="424897BB"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This policy applies to:</w:t>
      </w:r>
    </w:p>
    <w:p w14:paraId="75F1C88E"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All permanent and casual employees who use a personal device to access any organisational system, application, email account, or data.</w:t>
      </w:r>
    </w:p>
    <w:p w14:paraId="57A7F7CE"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Contractors and third-party personnel who have been granted access to organisational resources via a personal device.</w:t>
      </w:r>
    </w:p>
    <w:p w14:paraId="61DA7C37" w14:textId="77777777" w:rsid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All organisational platforms and data accessible via a personal device, including corporate email, cloud storage, financial and banking systems, and remote desktop environments.</w:t>
      </w:r>
    </w:p>
    <w:p w14:paraId="3447373B" w14:textId="6920D2CF" w:rsidR="008C7D68" w:rsidRPr="008C7D68" w:rsidRDefault="008C7D68" w:rsidP="008C7D68">
      <w:pPr>
        <w:pStyle w:val="ListBullet"/>
        <w:numPr>
          <w:ilvl w:val="0"/>
          <w:numId w:val="35"/>
        </w:numPr>
      </w:pPr>
      <w:r>
        <w:rPr>
          <w:highlight w:val="yellow"/>
        </w:rPr>
        <w:t xml:space="preserve">Any use of AI-powered tools or platforms on a personal device </w:t>
      </w:r>
      <w:proofErr w:type="gramStart"/>
      <w:r>
        <w:rPr>
          <w:highlight w:val="yellow"/>
        </w:rPr>
        <w:t>where</w:t>
      </w:r>
      <w:proofErr w:type="gramEnd"/>
      <w:r>
        <w:rPr>
          <w:highlight w:val="yellow"/>
        </w:rPr>
        <w:t xml:space="preserve"> </w:t>
      </w:r>
      <w:proofErr w:type="spellStart"/>
      <w:r>
        <w:rPr>
          <w:highlight w:val="yellow"/>
        </w:rPr>
        <w:t>organisational</w:t>
      </w:r>
      <w:proofErr w:type="spellEnd"/>
      <w:r>
        <w:rPr>
          <w:highlight w:val="yellow"/>
        </w:rPr>
        <w:t>, client, or internal data may be processed or transmitted.</w:t>
      </w:r>
    </w:p>
    <w:p w14:paraId="15DC36C7"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color w:val="000000" w:themeColor="text1"/>
          <w:szCs w:val="22"/>
        </w:rPr>
      </w:pPr>
    </w:p>
    <w:p w14:paraId="3C2E403E"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This policy does not apply to fully company-managed devices issued by the organisation's IT team. Those devices are governed by the Device and Endpoint Security Policy.</w:t>
      </w:r>
    </w:p>
    <w:p w14:paraId="4FE6D381" w14:textId="77777777" w:rsidR="0062408F" w:rsidRPr="00FC03F4" w:rsidRDefault="0062408F" w:rsidP="00FC03F4">
      <w:pPr>
        <w:pBdr>
          <w:top w:val="nil"/>
          <w:left w:val="nil"/>
          <w:bottom w:val="nil"/>
          <w:right w:val="nil"/>
          <w:between w:val="nil"/>
        </w:pBdr>
        <w:spacing w:before="120"/>
        <w:rPr>
          <w:rFonts w:asciiTheme="minorHAnsi" w:eastAsia="Arial" w:hAnsiTheme="minorHAnsi" w:cstheme="minorHAnsi"/>
          <w:b/>
          <w:color w:val="000000" w:themeColor="text1"/>
          <w:szCs w:val="22"/>
        </w:rPr>
      </w:pPr>
    </w:p>
    <w:p w14:paraId="768FF51F" w14:textId="77777777" w:rsidR="008C7D68" w:rsidRDefault="008C7D68">
      <w:pPr>
        <w:rPr>
          <w:rFonts w:asciiTheme="minorHAnsi" w:eastAsia="Arial" w:hAnsiTheme="minorHAnsi" w:cstheme="minorHAnsi"/>
          <w:b/>
          <w:color w:val="000000" w:themeColor="text1"/>
          <w:sz w:val="24"/>
        </w:rPr>
      </w:pPr>
      <w:r>
        <w:rPr>
          <w:rFonts w:asciiTheme="minorHAnsi" w:eastAsia="Arial" w:hAnsiTheme="minorHAnsi" w:cstheme="minorHAnsi"/>
          <w:b/>
          <w:color w:val="000000" w:themeColor="text1"/>
          <w:sz w:val="24"/>
        </w:rPr>
        <w:br w:type="page"/>
      </w:r>
    </w:p>
    <w:p w14:paraId="00B36818" w14:textId="2B444ECE" w:rsidR="00FC03F4" w:rsidRPr="0020168F" w:rsidRDefault="00000000" w:rsidP="00FC03F4">
      <w:pPr>
        <w:pBdr>
          <w:top w:val="nil"/>
          <w:left w:val="nil"/>
          <w:bottom w:val="nil"/>
          <w:right w:val="nil"/>
          <w:between w:val="nil"/>
        </w:pBdr>
        <w:spacing w:before="12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lastRenderedPageBreak/>
        <w:t>Polic</w:t>
      </w:r>
      <w:r w:rsidR="0046173D" w:rsidRPr="0020168F">
        <w:rPr>
          <w:rFonts w:asciiTheme="minorHAnsi" w:eastAsia="Arial" w:hAnsiTheme="minorHAnsi" w:cstheme="minorHAnsi"/>
          <w:b/>
          <w:color w:val="000000" w:themeColor="text1"/>
          <w:sz w:val="24"/>
        </w:rPr>
        <w:t>y</w:t>
      </w:r>
      <w:r w:rsidR="00FC03F4" w:rsidRPr="0020168F">
        <w:rPr>
          <w:rFonts w:asciiTheme="minorHAnsi" w:eastAsia="Arial" w:hAnsiTheme="minorHAnsi" w:cstheme="minorHAnsi"/>
          <w:b/>
          <w:color w:val="000000" w:themeColor="text1"/>
          <w:sz w:val="24"/>
        </w:rPr>
        <w:t xml:space="preserve"> principles</w:t>
      </w:r>
    </w:p>
    <w:p w14:paraId="0DB9AB76" w14:textId="7E11A7ED" w:rsidR="00FC03F4" w:rsidRPr="00FC03F4" w:rsidRDefault="00FC03F4" w:rsidP="00FC03F4">
      <w:pPr>
        <w:pStyle w:val="ListParagraph"/>
        <w:numPr>
          <w:ilvl w:val="0"/>
          <w:numId w:val="36"/>
        </w:num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What You Are Allowed and Not Allowed to Do </w:t>
      </w:r>
      <w:proofErr w:type="gramStart"/>
      <w:r w:rsidRPr="00FC03F4">
        <w:rPr>
          <w:rFonts w:asciiTheme="minorHAnsi" w:eastAsia="Arial" w:hAnsiTheme="minorHAnsi" w:cstheme="minorHAnsi"/>
          <w:b/>
          <w:bCs/>
          <w:color w:val="000000" w:themeColor="text1"/>
          <w:szCs w:val="22"/>
        </w:rPr>
        <w:t>With</w:t>
      </w:r>
      <w:proofErr w:type="gramEnd"/>
      <w:r w:rsidRPr="00FC03F4">
        <w:rPr>
          <w:rFonts w:asciiTheme="minorHAnsi" w:eastAsia="Arial" w:hAnsiTheme="minorHAnsi" w:cstheme="minorHAnsi"/>
          <w:b/>
          <w:bCs/>
          <w:color w:val="000000" w:themeColor="text1"/>
          <w:szCs w:val="22"/>
        </w:rPr>
        <w:t xml:space="preserve"> Your Device</w:t>
      </w:r>
    </w:p>
    <w:p w14:paraId="26F38850"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The table below outlines what is and is not permitted when using a personal device for work purposes. These rules exist to protect both the organisation's data and your personal information. If you are unsure whether a specific activity is permitted, contact the IT Security team before proceeding.</w:t>
      </w:r>
    </w:p>
    <w:p w14:paraId="67C1329C"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color w:val="000000" w:themeColor="text1"/>
          <w:szCs w:val="22"/>
        </w:rPr>
      </w:pPr>
    </w:p>
    <w:tbl>
      <w:tblPr>
        <w:tblStyle w:val="GridTable4-Accent3"/>
        <w:tblW w:w="10435" w:type="dxa"/>
        <w:tblLook w:val="04A0" w:firstRow="1" w:lastRow="0" w:firstColumn="1" w:lastColumn="0" w:noHBand="0" w:noVBand="1"/>
      </w:tblPr>
      <w:tblGrid>
        <w:gridCol w:w="4957"/>
        <w:gridCol w:w="5478"/>
      </w:tblGrid>
      <w:tr w:rsidR="00FC03F4" w:rsidRPr="00FC03F4" w14:paraId="65998CEE" w14:textId="77777777" w:rsidTr="00201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9BF8ACC"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Permitted Use</w:t>
            </w:r>
          </w:p>
        </w:tc>
        <w:tc>
          <w:tcPr>
            <w:tcW w:w="5478" w:type="dxa"/>
          </w:tcPr>
          <w:p w14:paraId="443CA52D" w14:textId="77777777" w:rsidR="00FC03F4" w:rsidRPr="00FC03F4" w:rsidRDefault="00FC03F4" w:rsidP="00FC03F4">
            <w:pPr>
              <w:pBdr>
                <w:top w:val="nil"/>
                <w:left w:val="nil"/>
                <w:bottom w:val="nil"/>
                <w:right w:val="nil"/>
                <w:between w:val="nil"/>
              </w:pBdr>
              <w:spacing w:before="120" w:after="12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Prohibited Use</w:t>
            </w:r>
          </w:p>
        </w:tc>
      </w:tr>
      <w:tr w:rsidR="00FC03F4" w:rsidRPr="00FC03F4" w14:paraId="3CD213AD" w14:textId="77777777" w:rsidTr="0020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EC081A4"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Accessing work email and calendar via the approved mobile application.</w:t>
            </w:r>
          </w:p>
        </w:tc>
        <w:tc>
          <w:tcPr>
            <w:tcW w:w="5478" w:type="dxa"/>
          </w:tcPr>
          <w:p w14:paraId="4A3A6218" w14:textId="77777777" w:rsidR="00FC03F4" w:rsidRPr="00FC03F4" w:rsidRDefault="00FC03F4" w:rsidP="00FC03F4">
            <w:pPr>
              <w:pBdr>
                <w:top w:val="nil"/>
                <w:left w:val="nil"/>
                <w:bottom w:val="nil"/>
                <w:right w:val="nil"/>
                <w:between w:val="nil"/>
              </w:pBdr>
              <w:spacing w:before="120" w:after="12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Storing customer financial data or personal information locally on your device.</w:t>
            </w:r>
          </w:p>
        </w:tc>
      </w:tr>
      <w:tr w:rsidR="00FC03F4" w:rsidRPr="00FC03F4" w14:paraId="6745F5A7" w14:textId="77777777" w:rsidTr="0020168F">
        <w:tc>
          <w:tcPr>
            <w:cnfStyle w:val="001000000000" w:firstRow="0" w:lastRow="0" w:firstColumn="1" w:lastColumn="0" w:oddVBand="0" w:evenVBand="0" w:oddHBand="0" w:evenHBand="0" w:firstRowFirstColumn="0" w:firstRowLastColumn="0" w:lastRowFirstColumn="0" w:lastRowLastColumn="0"/>
            <w:tcW w:w="4957" w:type="dxa"/>
          </w:tcPr>
          <w:p w14:paraId="6249AF55"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Connecting to organisational systems through the approved VPN only.</w:t>
            </w:r>
          </w:p>
        </w:tc>
        <w:tc>
          <w:tcPr>
            <w:tcW w:w="5478" w:type="dxa"/>
          </w:tcPr>
          <w:p w14:paraId="3FD847C4" w14:textId="77777777" w:rsidR="00FC03F4" w:rsidRPr="00FC03F4" w:rsidRDefault="00FC03F4" w:rsidP="00FC03F4">
            <w:pPr>
              <w:pBdr>
                <w:top w:val="nil"/>
                <w:left w:val="nil"/>
                <w:bottom w:val="nil"/>
                <w:right w:val="nil"/>
                <w:between w:val="nil"/>
              </w:pBd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Connecting to organisational systems via public or unsecured Wi-Fi without VPN.</w:t>
            </w:r>
          </w:p>
        </w:tc>
      </w:tr>
      <w:tr w:rsidR="00FC03F4" w:rsidRPr="00FC03F4" w14:paraId="6D88C0E2" w14:textId="77777777" w:rsidTr="0020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1EE0481"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Using MFA authenticator applications installed on your device.</w:t>
            </w:r>
          </w:p>
        </w:tc>
        <w:tc>
          <w:tcPr>
            <w:tcW w:w="5478" w:type="dxa"/>
          </w:tcPr>
          <w:p w14:paraId="232F6D81" w14:textId="77777777" w:rsidR="00FC03F4" w:rsidRPr="00FC03F4" w:rsidRDefault="00FC03F4" w:rsidP="00FC03F4">
            <w:pPr>
              <w:pBdr>
                <w:top w:val="nil"/>
                <w:left w:val="nil"/>
                <w:bottom w:val="nil"/>
                <w:right w:val="nil"/>
                <w:between w:val="nil"/>
              </w:pBdr>
              <w:spacing w:before="120" w:after="12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Installing unapproved applications that request access to work data or accounts.</w:t>
            </w:r>
          </w:p>
        </w:tc>
      </w:tr>
      <w:tr w:rsidR="00FC03F4" w:rsidRPr="00FC03F4" w14:paraId="718A3C18" w14:textId="77777777" w:rsidTr="0020168F">
        <w:tc>
          <w:tcPr>
            <w:cnfStyle w:val="001000000000" w:firstRow="0" w:lastRow="0" w:firstColumn="1" w:lastColumn="0" w:oddVBand="0" w:evenVBand="0" w:oddHBand="0" w:evenHBand="0" w:firstRowFirstColumn="0" w:firstRowLastColumn="0" w:lastRowFirstColumn="0" w:lastRowLastColumn="0"/>
            <w:tcW w:w="4957" w:type="dxa"/>
          </w:tcPr>
          <w:p w14:paraId="325C98D6"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Attending video conferences using approved platforms.</w:t>
            </w:r>
          </w:p>
        </w:tc>
        <w:tc>
          <w:tcPr>
            <w:tcW w:w="5478" w:type="dxa"/>
          </w:tcPr>
          <w:p w14:paraId="25601173" w14:textId="77777777" w:rsidR="00FC03F4" w:rsidRPr="00FC03F4" w:rsidRDefault="00FC03F4" w:rsidP="00FC03F4">
            <w:pPr>
              <w:pBdr>
                <w:top w:val="nil"/>
                <w:left w:val="nil"/>
                <w:bottom w:val="nil"/>
                <w:right w:val="nil"/>
                <w:between w:val="nil"/>
              </w:pBd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Sharing your device with others while work data or applications are accessible.</w:t>
            </w:r>
          </w:p>
        </w:tc>
      </w:tr>
      <w:tr w:rsidR="00FC03F4" w:rsidRPr="00FC03F4" w14:paraId="433996EB" w14:textId="77777777" w:rsidTr="0020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F306452"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Accessing organisational cloud storage through approved applications only.</w:t>
            </w:r>
          </w:p>
        </w:tc>
        <w:tc>
          <w:tcPr>
            <w:tcW w:w="5478" w:type="dxa"/>
          </w:tcPr>
          <w:p w14:paraId="5E858484" w14:textId="77777777" w:rsidR="00FC03F4" w:rsidRPr="00FC03F4" w:rsidRDefault="00FC03F4" w:rsidP="00FC03F4">
            <w:pPr>
              <w:pBdr>
                <w:top w:val="nil"/>
                <w:left w:val="nil"/>
                <w:bottom w:val="nil"/>
                <w:right w:val="nil"/>
                <w:between w:val="nil"/>
              </w:pBdr>
              <w:spacing w:before="120" w:after="12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Sending work-related sensitive information via personal messaging applications.</w:t>
            </w:r>
          </w:p>
        </w:tc>
      </w:tr>
      <w:tr w:rsidR="008C7D68" w:rsidRPr="00FC03F4" w14:paraId="081F702D" w14:textId="77777777" w:rsidTr="0020168F">
        <w:tc>
          <w:tcPr>
            <w:cnfStyle w:val="001000000000" w:firstRow="0" w:lastRow="0" w:firstColumn="1" w:lastColumn="0" w:oddVBand="0" w:evenVBand="0" w:oddHBand="0" w:evenHBand="0" w:firstRowFirstColumn="0" w:firstRowLastColumn="0" w:lastRowFirstColumn="0" w:lastRowLastColumn="0"/>
            <w:tcW w:w="4957" w:type="dxa"/>
          </w:tcPr>
          <w:p w14:paraId="11E011E2" w14:textId="44D58C8D" w:rsidR="008C7D68" w:rsidRPr="008C7D68" w:rsidRDefault="008C7D68" w:rsidP="00FC03F4">
            <w:pPr>
              <w:pBdr>
                <w:top w:val="nil"/>
                <w:left w:val="nil"/>
                <w:bottom w:val="nil"/>
                <w:right w:val="nil"/>
                <w:between w:val="nil"/>
              </w:pBdr>
              <w:spacing w:before="120"/>
              <w:rPr>
                <w:rFonts w:asciiTheme="minorHAnsi" w:eastAsia="Arial" w:hAnsiTheme="minorHAnsi" w:cstheme="minorHAnsi"/>
                <w:b w:val="0"/>
                <w:bCs w:val="0"/>
                <w:color w:val="000000" w:themeColor="text1"/>
                <w:szCs w:val="22"/>
              </w:rPr>
            </w:pPr>
            <w:r w:rsidRPr="008C7D68">
              <w:rPr>
                <w:rFonts w:asciiTheme="minorHAnsi" w:hAnsiTheme="minorHAnsi" w:cstheme="minorHAnsi"/>
                <w:b w:val="0"/>
                <w:bCs w:val="0"/>
                <w:highlight w:val="yellow"/>
              </w:rPr>
              <w:t>Using only AI tools listed in the organisation's approved software inventory for work-related tasks.</w:t>
            </w:r>
          </w:p>
        </w:tc>
        <w:tc>
          <w:tcPr>
            <w:tcW w:w="5478" w:type="dxa"/>
          </w:tcPr>
          <w:p w14:paraId="5C1AB85B" w14:textId="199BA8BF" w:rsidR="008C7D68" w:rsidRPr="008C7D68" w:rsidRDefault="008C7D68" w:rsidP="00FC03F4">
            <w:pPr>
              <w:pBdr>
                <w:top w:val="nil"/>
                <w:left w:val="nil"/>
                <w:bottom w:val="nil"/>
                <w:right w:val="nil"/>
                <w:between w:val="nil"/>
              </w:pBdr>
              <w:spacing w:before="12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000000" w:themeColor="text1"/>
                <w:szCs w:val="22"/>
              </w:rPr>
            </w:pPr>
            <w:r w:rsidRPr="008C7D68">
              <w:rPr>
                <w:rFonts w:asciiTheme="minorHAnsi" w:hAnsiTheme="minorHAnsi" w:cstheme="minorHAnsi"/>
                <w:highlight w:val="yellow"/>
              </w:rPr>
              <w:t>Uploading organisational documents, client data, internal communications, or configuration files to external AI platforms or AI-powered tools not listed in the organisation's approved software inventory.</w:t>
            </w:r>
          </w:p>
        </w:tc>
      </w:tr>
    </w:tbl>
    <w:p w14:paraId="135F7C7B"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color w:val="000000" w:themeColor="text1"/>
          <w:szCs w:val="22"/>
        </w:rPr>
      </w:pPr>
    </w:p>
    <w:p w14:paraId="51373C9F" w14:textId="40C11530" w:rsidR="00FC03F4" w:rsidRPr="00FC03F4" w:rsidRDefault="00FC03F4" w:rsidP="00FC03F4">
      <w:pPr>
        <w:pStyle w:val="ListParagraph"/>
        <w:numPr>
          <w:ilvl w:val="0"/>
          <w:numId w:val="36"/>
        </w:num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 Access to Organisational Data and Applications</w:t>
      </w:r>
    </w:p>
    <w:p w14:paraId="4F1D739B"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Access to organisational data and applications via a personal device is a privilege and is subject to the following conditions:</w:t>
      </w:r>
    </w:p>
    <w:p w14:paraId="37E8E4F7" w14:textId="77777777" w:rsidR="00FC03F4" w:rsidRPr="00FC03F4"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Only applications approved by the IT Security team may be used to access organisational data. The IT Security team maintains and updates a current list of approved applications.</w:t>
      </w:r>
    </w:p>
    <w:p w14:paraId="7CA4A188" w14:textId="77777777" w:rsidR="00FC03F4" w:rsidRPr="00FC03F4"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The organisation may deploy a Mobile Device Management (MDM) solution on enrolled personal devices. Think of MDM as a secure, separate work folder installed on your phone or tablet. It manages only the organisational data stored within that folder and does not access your personal photos, messages, contacts, or other personal content.</w:t>
      </w:r>
    </w:p>
    <w:p w14:paraId="52D5DB63" w14:textId="77777777" w:rsidR="00FC03F4" w:rsidRPr="00FC03F4"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All work-related data stored or cached on a personal device is the property of the organisation and may be remotely removed by the IT Security team if the device is lost, if the staff member leaves the organisation, or if a security incident is detected.</w:t>
      </w:r>
    </w:p>
    <w:p w14:paraId="714E3DE7" w14:textId="77777777" w:rsidR="00FC03F4" w:rsidRPr="00FC03F4"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Multi-factor authentication (MFA) must be enabled for all organisational accounts accessed via a personal device. For staff who find software-based MFA tools cumbersome when managing multiple systems, the organisation will evaluate the provision of hardware security keys, as requested in the cybersecurity awareness survey.</w:t>
      </w:r>
    </w:p>
    <w:p w14:paraId="16F5AD85" w14:textId="1341BE50" w:rsidR="00FC03F4" w:rsidRPr="008C7D68"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 xml:space="preserve">All work-related credentials on a personal device must be managed through the organisation's approved </w:t>
      </w:r>
      <w:r w:rsidRPr="008C7D68">
        <w:rPr>
          <w:rFonts w:asciiTheme="minorHAnsi" w:eastAsia="Arial" w:hAnsiTheme="minorHAnsi" w:cstheme="minorHAnsi"/>
          <w:bCs/>
          <w:color w:val="000000" w:themeColor="text1"/>
          <w:szCs w:val="22"/>
        </w:rPr>
        <w:t>password manager. Personal and work credentials must not be stored in the same application or browser.</w:t>
      </w:r>
    </w:p>
    <w:p w14:paraId="564A68A3" w14:textId="402664DD" w:rsidR="008C7D68" w:rsidRDefault="008C7D68" w:rsidP="008C7D68">
      <w:pPr>
        <w:pStyle w:val="ListBullet"/>
        <w:numPr>
          <w:ilvl w:val="0"/>
          <w:numId w:val="35"/>
        </w:numPr>
        <w:rPr>
          <w:rFonts w:asciiTheme="minorHAnsi" w:hAnsiTheme="minorHAnsi" w:cstheme="minorHAnsi"/>
        </w:rPr>
      </w:pPr>
      <w:r w:rsidRPr="008C7D68">
        <w:rPr>
          <w:rFonts w:asciiTheme="minorHAnsi" w:hAnsiTheme="minorHAnsi" w:cstheme="minorHAnsi"/>
          <w:highlight w:val="yellow"/>
        </w:rPr>
        <w:lastRenderedPageBreak/>
        <w:t xml:space="preserve">AI-powered tools used on a personal device for any work-related purpose must appear on the IT Security team's approved software inventory. The use of external AI platforms to process, </w:t>
      </w:r>
      <w:proofErr w:type="spellStart"/>
      <w:r w:rsidRPr="008C7D68">
        <w:rPr>
          <w:rFonts w:asciiTheme="minorHAnsi" w:hAnsiTheme="minorHAnsi" w:cstheme="minorHAnsi"/>
          <w:highlight w:val="yellow"/>
        </w:rPr>
        <w:t>summarise</w:t>
      </w:r>
      <w:proofErr w:type="spellEnd"/>
      <w:r w:rsidRPr="008C7D68">
        <w:rPr>
          <w:rFonts w:asciiTheme="minorHAnsi" w:hAnsiTheme="minorHAnsi" w:cstheme="minorHAnsi"/>
          <w:highlight w:val="yellow"/>
        </w:rPr>
        <w:t xml:space="preserve">, translate, or </w:t>
      </w:r>
      <w:proofErr w:type="spellStart"/>
      <w:r w:rsidRPr="008C7D68">
        <w:rPr>
          <w:rFonts w:asciiTheme="minorHAnsi" w:hAnsiTheme="minorHAnsi" w:cstheme="minorHAnsi"/>
          <w:highlight w:val="yellow"/>
        </w:rPr>
        <w:t>analyse</w:t>
      </w:r>
      <w:proofErr w:type="spellEnd"/>
      <w:r w:rsidRPr="008C7D68">
        <w:rPr>
          <w:rFonts w:asciiTheme="minorHAnsi" w:hAnsiTheme="minorHAnsi" w:cstheme="minorHAnsi"/>
          <w:highlight w:val="yellow"/>
        </w:rPr>
        <w:t xml:space="preserve"> </w:t>
      </w:r>
      <w:proofErr w:type="spellStart"/>
      <w:r w:rsidRPr="008C7D68">
        <w:rPr>
          <w:rFonts w:asciiTheme="minorHAnsi" w:hAnsiTheme="minorHAnsi" w:cstheme="minorHAnsi"/>
          <w:highlight w:val="yellow"/>
        </w:rPr>
        <w:t>organisational</w:t>
      </w:r>
      <w:proofErr w:type="spellEnd"/>
      <w:r w:rsidRPr="008C7D68">
        <w:rPr>
          <w:rFonts w:asciiTheme="minorHAnsi" w:hAnsiTheme="minorHAnsi" w:cstheme="minorHAnsi"/>
          <w:highlight w:val="yellow"/>
        </w:rPr>
        <w:t xml:space="preserve"> or client data constitutes a Shadow AI risk and is strictly prohibited.</w:t>
      </w:r>
    </w:p>
    <w:p w14:paraId="25A798C2" w14:textId="77777777" w:rsidR="00EA1494" w:rsidRDefault="00EA1494" w:rsidP="00EA1494">
      <w:pPr>
        <w:pStyle w:val="ListBullet"/>
        <w:numPr>
          <w:ilvl w:val="0"/>
          <w:numId w:val="35"/>
        </w:numPr>
      </w:pPr>
      <w:r>
        <w:rPr>
          <w:highlight w:val="green"/>
        </w:rPr>
        <w:t xml:space="preserve">The </w:t>
      </w:r>
      <w:proofErr w:type="spellStart"/>
      <w:r>
        <w:rPr>
          <w:highlight w:val="green"/>
        </w:rPr>
        <w:t>organisation</w:t>
      </w:r>
      <w:proofErr w:type="spellEnd"/>
      <w:r>
        <w:rPr>
          <w:highlight w:val="green"/>
        </w:rPr>
        <w:t xml:space="preserve"> </w:t>
      </w:r>
      <w:proofErr w:type="spellStart"/>
      <w:r>
        <w:rPr>
          <w:highlight w:val="green"/>
        </w:rPr>
        <w:t>recognises</w:t>
      </w:r>
      <w:proofErr w:type="spellEnd"/>
      <w:r>
        <w:rPr>
          <w:highlight w:val="green"/>
        </w:rPr>
        <w:t xml:space="preserve"> that excessive authentication complexity and the management of multiple credentials across systems can cause cognitive overload, leading staff to adopt informal workarounds that increase security risk. Staff who experience significant difficulty managing their approved credentials or MFA tools are encouraged to contact the IT Security team to explore approved alternatives before adopting any informal solution.</w:t>
      </w:r>
    </w:p>
    <w:p w14:paraId="3A7495E7" w14:textId="77777777" w:rsidR="00EA1494" w:rsidRPr="008C7D68" w:rsidRDefault="00EA1494" w:rsidP="00EA1494">
      <w:pPr>
        <w:pStyle w:val="ListBullet"/>
        <w:numPr>
          <w:ilvl w:val="0"/>
          <w:numId w:val="0"/>
        </w:numPr>
        <w:ind w:left="360" w:hanging="360"/>
        <w:rPr>
          <w:rFonts w:asciiTheme="minorHAnsi" w:hAnsiTheme="minorHAnsi" w:cstheme="minorHAnsi"/>
        </w:rPr>
      </w:pPr>
    </w:p>
    <w:p w14:paraId="36F0B280" w14:textId="77777777" w:rsidR="000F345F" w:rsidRPr="0020168F" w:rsidRDefault="00000000" w:rsidP="00FC03F4">
      <w:pPr>
        <w:pBdr>
          <w:top w:val="nil"/>
          <w:left w:val="nil"/>
          <w:bottom w:val="nil"/>
          <w:right w:val="nil"/>
          <w:between w:val="nil"/>
        </w:pBdr>
        <w:spacing w:before="36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Responsibilities</w:t>
      </w:r>
    </w:p>
    <w:p w14:paraId="53F47C83"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All Staff</w:t>
      </w:r>
    </w:p>
    <w:p w14:paraId="655999DC"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Read, understand, and comply with this policy before using a personal device for work purposes.</w:t>
      </w:r>
    </w:p>
    <w:p w14:paraId="397078D2"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Complete the device enrolment process as outlined in Procedure 1 before accessing any organisational system on a personal device.</w:t>
      </w:r>
    </w:p>
    <w:p w14:paraId="2AD7D959"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Keep the device's operating system and applications updated at all times to ensure security patches are applied.</w:t>
      </w:r>
    </w:p>
    <w:p w14:paraId="35B9E2A1"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Report a lost, stolen, or suspected compromised device to the IT Security team immediately, regardless of the time of day.</w:t>
      </w:r>
    </w:p>
    <w:p w14:paraId="37381647" w14:textId="77777777" w:rsidR="00FC03F4" w:rsidRDefault="00FC03F4" w:rsidP="0020168F">
      <w:pPr>
        <w:numPr>
          <w:ilvl w:val="0"/>
          <w:numId w:val="35"/>
        </w:numPr>
        <w:pBdr>
          <w:top w:val="nil"/>
          <w:left w:val="nil"/>
          <w:bottom w:val="nil"/>
          <w:right w:val="nil"/>
          <w:between w:val="nil"/>
        </w:pBdr>
        <w:spacing w:before="12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Sign and return the BYOD Acknowledgement Form during enrolment, confirming understanding of this policy.</w:t>
      </w:r>
    </w:p>
    <w:p w14:paraId="7B13E8FA" w14:textId="77777777" w:rsidR="008C7D68" w:rsidRPr="008C7D68" w:rsidRDefault="008C7D68" w:rsidP="008C7D68">
      <w:pPr>
        <w:pStyle w:val="ListBullet"/>
        <w:numPr>
          <w:ilvl w:val="0"/>
          <w:numId w:val="35"/>
        </w:numPr>
        <w:rPr>
          <w:rFonts w:asciiTheme="minorHAnsi" w:hAnsiTheme="minorHAnsi" w:cstheme="minorHAnsi"/>
        </w:rPr>
      </w:pPr>
      <w:r w:rsidRPr="008C7D68">
        <w:rPr>
          <w:rFonts w:asciiTheme="minorHAnsi" w:hAnsiTheme="minorHAnsi" w:cstheme="minorHAnsi"/>
          <w:highlight w:val="yellow"/>
        </w:rPr>
        <w:t xml:space="preserve">Refrain from using any AI tool not listed in the </w:t>
      </w:r>
      <w:proofErr w:type="spellStart"/>
      <w:r w:rsidRPr="008C7D68">
        <w:rPr>
          <w:rFonts w:asciiTheme="minorHAnsi" w:hAnsiTheme="minorHAnsi" w:cstheme="minorHAnsi"/>
          <w:highlight w:val="yellow"/>
        </w:rPr>
        <w:t>organisation's</w:t>
      </w:r>
      <w:proofErr w:type="spellEnd"/>
      <w:r w:rsidRPr="008C7D68">
        <w:rPr>
          <w:rFonts w:asciiTheme="minorHAnsi" w:hAnsiTheme="minorHAnsi" w:cstheme="minorHAnsi"/>
          <w:highlight w:val="yellow"/>
        </w:rPr>
        <w:t xml:space="preserve"> approved software inventory, and immediately notify the IT Security team upon discovering </w:t>
      </w:r>
      <w:proofErr w:type="spellStart"/>
      <w:r w:rsidRPr="008C7D68">
        <w:rPr>
          <w:rFonts w:asciiTheme="minorHAnsi" w:hAnsiTheme="minorHAnsi" w:cstheme="minorHAnsi"/>
          <w:highlight w:val="yellow"/>
        </w:rPr>
        <w:t>unauthorised</w:t>
      </w:r>
      <w:proofErr w:type="spellEnd"/>
      <w:r w:rsidRPr="008C7D68">
        <w:rPr>
          <w:rFonts w:asciiTheme="minorHAnsi" w:hAnsiTheme="minorHAnsi" w:cstheme="minorHAnsi"/>
          <w:highlight w:val="yellow"/>
        </w:rPr>
        <w:t xml:space="preserve"> AI usage within their team or department.</w:t>
      </w:r>
    </w:p>
    <w:p w14:paraId="2D5A44F3" w14:textId="58A680B0" w:rsidR="008C7D68" w:rsidRDefault="008C7D68" w:rsidP="008C7D68">
      <w:pPr>
        <w:pStyle w:val="ListBullet"/>
        <w:numPr>
          <w:ilvl w:val="0"/>
          <w:numId w:val="35"/>
        </w:numPr>
        <w:rPr>
          <w:rFonts w:asciiTheme="minorHAnsi" w:hAnsiTheme="minorHAnsi" w:cstheme="minorHAnsi"/>
        </w:rPr>
      </w:pPr>
      <w:r w:rsidRPr="008C7D68">
        <w:rPr>
          <w:rFonts w:asciiTheme="minorHAnsi" w:hAnsiTheme="minorHAnsi" w:cstheme="minorHAnsi"/>
          <w:highlight w:val="yellow"/>
        </w:rPr>
        <w:t xml:space="preserve">Never approve access changes, credential resets, or financial </w:t>
      </w:r>
      <w:proofErr w:type="spellStart"/>
      <w:r w:rsidRPr="008C7D68">
        <w:rPr>
          <w:rFonts w:asciiTheme="minorHAnsi" w:hAnsiTheme="minorHAnsi" w:cstheme="minorHAnsi"/>
          <w:highlight w:val="yellow"/>
        </w:rPr>
        <w:t>authorisations</w:t>
      </w:r>
      <w:proofErr w:type="spellEnd"/>
      <w:r w:rsidRPr="008C7D68">
        <w:rPr>
          <w:rFonts w:asciiTheme="minorHAnsi" w:hAnsiTheme="minorHAnsi" w:cstheme="minorHAnsi"/>
          <w:highlight w:val="yellow"/>
        </w:rPr>
        <w:t xml:space="preserve"> based solely on a voice call or video meeting received on a personal device, regardless of the apparent identity of the requester.</w:t>
      </w:r>
    </w:p>
    <w:p w14:paraId="1ACC4CA3" w14:textId="77777777" w:rsidR="00EA1494" w:rsidRDefault="00EA1494" w:rsidP="00EA1494">
      <w:pPr>
        <w:pStyle w:val="ListBullet"/>
        <w:numPr>
          <w:ilvl w:val="0"/>
          <w:numId w:val="35"/>
        </w:numPr>
      </w:pPr>
      <w:r>
        <w:rPr>
          <w:highlight w:val="green"/>
        </w:rPr>
        <w:t xml:space="preserve">If you find that security tools or authentication requirements are creating excessive difficulty in completing your work, contact the IT Security team before adopting any workaround. Workarounds that bypass security controls represent a significant </w:t>
      </w:r>
      <w:proofErr w:type="spellStart"/>
      <w:r>
        <w:rPr>
          <w:highlight w:val="green"/>
        </w:rPr>
        <w:t>organisational</w:t>
      </w:r>
      <w:proofErr w:type="spellEnd"/>
      <w:r>
        <w:rPr>
          <w:highlight w:val="green"/>
        </w:rPr>
        <w:t xml:space="preserve"> risk even when unintentional.</w:t>
      </w:r>
    </w:p>
    <w:p w14:paraId="7CBDDCCB" w14:textId="77777777" w:rsidR="00EA1494" w:rsidRPr="008C7D68" w:rsidRDefault="00EA1494" w:rsidP="00EA1494">
      <w:pPr>
        <w:pStyle w:val="ListBullet"/>
        <w:numPr>
          <w:ilvl w:val="0"/>
          <w:numId w:val="0"/>
        </w:numPr>
        <w:ind w:left="360" w:hanging="360"/>
        <w:rPr>
          <w:rFonts w:asciiTheme="minorHAnsi" w:hAnsiTheme="minorHAnsi" w:cstheme="minorHAnsi"/>
        </w:rPr>
      </w:pPr>
    </w:p>
    <w:p w14:paraId="7DBB68D2"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IT Security Team</w:t>
      </w:r>
    </w:p>
    <w:p w14:paraId="19B147FD"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Maintain and publish the approved list of applications for personal device access.</w:t>
      </w:r>
    </w:p>
    <w:p w14:paraId="41236696"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Administer the MDM solution and manage device enrolment, compliance monitoring, and remote wipe procedures.</w:t>
      </w:r>
    </w:p>
    <w:p w14:paraId="062372BF"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Review and update this policy at least annually or following a relevant security incident or legislative change.</w:t>
      </w:r>
    </w:p>
    <w:p w14:paraId="18F5AC3B" w14:textId="77777777" w:rsidR="00FC03F4"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Provide guidance to staff on compliance with this policy and assess device eligibility during enrolment.</w:t>
      </w:r>
    </w:p>
    <w:p w14:paraId="16302EB4" w14:textId="43F64F1A" w:rsidR="008C7D68" w:rsidRDefault="008C7D68" w:rsidP="008C7D68">
      <w:pPr>
        <w:pStyle w:val="ListBullet"/>
        <w:numPr>
          <w:ilvl w:val="0"/>
          <w:numId w:val="35"/>
        </w:numPr>
        <w:rPr>
          <w:rFonts w:asciiTheme="minorHAnsi" w:hAnsiTheme="minorHAnsi" w:cstheme="minorHAnsi"/>
        </w:rPr>
      </w:pPr>
      <w:r w:rsidRPr="008C7D68">
        <w:rPr>
          <w:rFonts w:asciiTheme="minorHAnsi" w:hAnsiTheme="minorHAnsi" w:cstheme="minorHAnsi"/>
          <w:highlight w:val="yellow"/>
        </w:rPr>
        <w:t xml:space="preserve">Maintain and publish the approved AI tools inventory and deploy Data Loss Prevention (DLP) rules to detect and block uploads of sensitive file types to </w:t>
      </w:r>
      <w:proofErr w:type="spellStart"/>
      <w:r w:rsidRPr="008C7D68">
        <w:rPr>
          <w:rFonts w:asciiTheme="minorHAnsi" w:hAnsiTheme="minorHAnsi" w:cstheme="minorHAnsi"/>
          <w:highlight w:val="yellow"/>
        </w:rPr>
        <w:t>unauthorised</w:t>
      </w:r>
      <w:proofErr w:type="spellEnd"/>
      <w:r w:rsidRPr="008C7D68">
        <w:rPr>
          <w:rFonts w:asciiTheme="minorHAnsi" w:hAnsiTheme="minorHAnsi" w:cstheme="minorHAnsi"/>
          <w:highlight w:val="yellow"/>
        </w:rPr>
        <w:t xml:space="preserve"> cloud or AI services.</w:t>
      </w:r>
    </w:p>
    <w:p w14:paraId="61B40C78" w14:textId="77777777" w:rsidR="00EA1494" w:rsidRDefault="00EA1494" w:rsidP="00EA1494">
      <w:pPr>
        <w:pStyle w:val="ListBullet"/>
        <w:numPr>
          <w:ilvl w:val="0"/>
          <w:numId w:val="35"/>
        </w:numPr>
      </w:pPr>
      <w:r>
        <w:rPr>
          <w:highlight w:val="green"/>
        </w:rPr>
        <w:t xml:space="preserve">Actively design and configure authentication systems - including the approved password manager and MFA authenticator - to </w:t>
      </w:r>
      <w:proofErr w:type="spellStart"/>
      <w:r>
        <w:rPr>
          <w:highlight w:val="green"/>
        </w:rPr>
        <w:t>minimise</w:t>
      </w:r>
      <w:proofErr w:type="spellEnd"/>
      <w:r>
        <w:rPr>
          <w:highlight w:val="green"/>
        </w:rPr>
        <w:t xml:space="preserve"> end-user friction. This includes evaluating Single Sign-On (SSO) where technically feasible, pre-configuring approved applications within the MDM work container, and assessing hardware security keys as an alternative to software-based MFA for staff managing high volumes of system access. Reducing cognitive load is a security control, not a convenience measure.</w:t>
      </w:r>
    </w:p>
    <w:p w14:paraId="534F44C3" w14:textId="77777777" w:rsidR="00EA1494" w:rsidRDefault="00EA1494" w:rsidP="00EA1494">
      <w:pPr>
        <w:pStyle w:val="ListBullet"/>
        <w:numPr>
          <w:ilvl w:val="0"/>
          <w:numId w:val="35"/>
        </w:numPr>
      </w:pPr>
      <w:r>
        <w:rPr>
          <w:highlight w:val="green"/>
        </w:rPr>
        <w:t xml:space="preserve">Maintain a register of staff who have raised concerns about authentication complexity, and use this data to inform ongoing improvements to the </w:t>
      </w:r>
      <w:proofErr w:type="spellStart"/>
      <w:r>
        <w:rPr>
          <w:highlight w:val="green"/>
        </w:rPr>
        <w:t>organisation's</w:t>
      </w:r>
      <w:proofErr w:type="spellEnd"/>
      <w:r>
        <w:rPr>
          <w:highlight w:val="green"/>
        </w:rPr>
        <w:t xml:space="preserve"> security tool configuration.</w:t>
      </w:r>
    </w:p>
    <w:p w14:paraId="6D2FE6BF" w14:textId="77777777" w:rsidR="00EA1494" w:rsidRPr="008C7D68" w:rsidRDefault="00EA1494" w:rsidP="00EA1494">
      <w:pPr>
        <w:pStyle w:val="ListBullet"/>
        <w:numPr>
          <w:ilvl w:val="0"/>
          <w:numId w:val="0"/>
        </w:numPr>
        <w:rPr>
          <w:rFonts w:asciiTheme="minorHAnsi" w:hAnsiTheme="minorHAnsi" w:cstheme="minorHAnsi"/>
        </w:rPr>
      </w:pPr>
    </w:p>
    <w:p w14:paraId="23DD18AB"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lastRenderedPageBreak/>
        <w:t>Managers and Supervisors</w:t>
      </w:r>
    </w:p>
    <w:p w14:paraId="74082BAA" w14:textId="77777777" w:rsidR="00FC03F4" w:rsidRPr="0020168F" w:rsidRDefault="00FC03F4" w:rsidP="0020168F">
      <w:pPr>
        <w:numPr>
          <w:ilvl w:val="0"/>
          <w:numId w:val="35"/>
        </w:numPr>
        <w:pBdr>
          <w:top w:val="nil"/>
          <w:left w:val="nil"/>
          <w:bottom w:val="nil"/>
          <w:right w:val="nil"/>
          <w:between w:val="nil"/>
        </w:pBdr>
        <w:tabs>
          <w:tab w:val="left" w:pos="1560"/>
        </w:tabs>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Ensure all direct reports who use personal devices for work have completed enrolment and formally acknowledged this policy.</w:t>
      </w:r>
    </w:p>
    <w:p w14:paraId="788006E6" w14:textId="77777777" w:rsidR="00FC03F4" w:rsidRPr="0020168F" w:rsidRDefault="00FC03F4" w:rsidP="0020168F">
      <w:pPr>
        <w:numPr>
          <w:ilvl w:val="0"/>
          <w:numId w:val="35"/>
        </w:numPr>
        <w:pBdr>
          <w:top w:val="nil"/>
          <w:left w:val="nil"/>
          <w:bottom w:val="nil"/>
          <w:right w:val="nil"/>
          <w:between w:val="nil"/>
        </w:pBdr>
        <w:tabs>
          <w:tab w:val="left" w:pos="1560"/>
        </w:tabs>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Report any suspected non-compliance with this policy to the IT Security team promptly.</w:t>
      </w:r>
    </w:p>
    <w:p w14:paraId="6295A634" w14:textId="77777777" w:rsidR="00FC03F4" w:rsidRDefault="00FC03F4" w:rsidP="0020168F">
      <w:pPr>
        <w:numPr>
          <w:ilvl w:val="0"/>
          <w:numId w:val="35"/>
        </w:numPr>
        <w:pBdr>
          <w:top w:val="nil"/>
          <w:left w:val="nil"/>
          <w:bottom w:val="nil"/>
          <w:right w:val="nil"/>
          <w:between w:val="nil"/>
        </w:pBdr>
        <w:tabs>
          <w:tab w:val="left" w:pos="1560"/>
        </w:tabs>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Support staff in completing required cybersecurity training related to personal device use.</w:t>
      </w:r>
    </w:p>
    <w:p w14:paraId="7DAEA056" w14:textId="11EE2168" w:rsidR="008C7D68" w:rsidRDefault="008C7D68" w:rsidP="008C7D68">
      <w:pPr>
        <w:pStyle w:val="ListBullet"/>
        <w:numPr>
          <w:ilvl w:val="0"/>
          <w:numId w:val="35"/>
        </w:numPr>
        <w:rPr>
          <w:rFonts w:asciiTheme="minorHAnsi" w:hAnsiTheme="minorHAnsi" w:cstheme="minorHAnsi"/>
        </w:rPr>
      </w:pPr>
      <w:r w:rsidRPr="008C7D68">
        <w:rPr>
          <w:rFonts w:asciiTheme="minorHAnsi" w:hAnsiTheme="minorHAnsi" w:cstheme="minorHAnsi"/>
          <w:highlight w:val="yellow"/>
        </w:rPr>
        <w:t>Remind direct reports to apply out-of-band verification for any sensitive request received via voice or video on a personal device, and reinforce the reporting culture for suspected deepfake-based social engineering attempts.</w:t>
      </w:r>
    </w:p>
    <w:p w14:paraId="23DFFDF9" w14:textId="77777777" w:rsidR="00EA1494" w:rsidRDefault="00EA1494" w:rsidP="00EA1494">
      <w:pPr>
        <w:pStyle w:val="ListBullet"/>
        <w:numPr>
          <w:ilvl w:val="0"/>
          <w:numId w:val="35"/>
        </w:numPr>
      </w:pPr>
      <w:r>
        <w:rPr>
          <w:highlight w:val="green"/>
        </w:rPr>
        <w:t>Monitor team members for signs of security fatigue or frustration with authentication tools, and actively encourage staff to escalate friction points to the IT Security team rather than seeking informal workarounds.</w:t>
      </w:r>
    </w:p>
    <w:p w14:paraId="4C1384F1" w14:textId="77777777" w:rsidR="00EA1494" w:rsidRPr="008C7D68" w:rsidRDefault="00EA1494" w:rsidP="00EA1494">
      <w:pPr>
        <w:pStyle w:val="ListBullet"/>
        <w:numPr>
          <w:ilvl w:val="0"/>
          <w:numId w:val="0"/>
        </w:numPr>
        <w:ind w:left="360" w:hanging="360"/>
        <w:rPr>
          <w:rFonts w:asciiTheme="minorHAnsi" w:hAnsiTheme="minorHAnsi" w:cstheme="minorHAnsi"/>
        </w:rPr>
      </w:pPr>
    </w:p>
    <w:p w14:paraId="4AFCA886" w14:textId="77777777" w:rsidR="000F345F" w:rsidRPr="00FC03F4" w:rsidRDefault="000F345F" w:rsidP="00FC03F4">
      <w:pPr>
        <w:pBdr>
          <w:top w:val="nil"/>
          <w:left w:val="nil"/>
          <w:bottom w:val="nil"/>
          <w:right w:val="nil"/>
          <w:between w:val="nil"/>
        </w:pBdr>
        <w:spacing w:before="120"/>
        <w:rPr>
          <w:rFonts w:asciiTheme="minorHAnsi" w:eastAsia="Arial" w:hAnsiTheme="minorHAnsi" w:cstheme="minorHAnsi"/>
          <w:color w:val="000000" w:themeColor="text1"/>
          <w:szCs w:val="22"/>
        </w:rPr>
      </w:pPr>
    </w:p>
    <w:p w14:paraId="553D030C" w14:textId="06C4445D" w:rsidR="00650EFD" w:rsidRPr="0020168F" w:rsidRDefault="00000000" w:rsidP="00FC03F4">
      <w:pPr>
        <w:pBdr>
          <w:top w:val="nil"/>
          <w:left w:val="nil"/>
          <w:bottom w:val="nil"/>
          <w:right w:val="nil"/>
          <w:between w:val="nil"/>
        </w:pBdr>
        <w:spacing w:before="36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Procedures</w:t>
      </w:r>
    </w:p>
    <w:p w14:paraId="43F6CA9A" w14:textId="62634929" w:rsidR="00FC03F4" w:rsidRPr="00FC03F4" w:rsidRDefault="00FC03F4" w:rsidP="00FC03F4">
      <w:pPr>
        <w:pStyle w:val="ListParagraph"/>
        <w:numPr>
          <w:ilvl w:val="0"/>
          <w:numId w:val="40"/>
        </w:numPr>
        <w:pBdr>
          <w:top w:val="nil"/>
          <w:left w:val="nil"/>
          <w:bottom w:val="nil"/>
          <w:right w:val="nil"/>
          <w:between w:val="nil"/>
        </w:pBdr>
        <w:spacing w:before="36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 Device Enrolment and Registration</w:t>
      </w:r>
    </w:p>
    <w:p w14:paraId="6DC75FF7" w14:textId="77777777" w:rsidR="00FC03F4" w:rsidRPr="0020168F" w:rsidRDefault="00FC03F4" w:rsidP="0020168F">
      <w:p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Before a personal device may be used to access any organisational system, it must be enrolled and approved by the IT Security team. This process ensures your device meets minimum security requirements and allows the organisation to protect its data if the device is ever lost or compromised.</w:t>
      </w:r>
    </w:p>
    <w:p w14:paraId="14B987C3"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Submit a BYOD Enrolment Request to the IT Security team via the internal IT service portal. Include the device type, operating system version, and the organisational systems or applications you require access to.</w:t>
      </w:r>
    </w:p>
    <w:p w14:paraId="2C99EF13"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The IT Security team will assess whether your device meets the minimum requirements: a currently supported operating system, full-device encryption enabled, an active screen lock using a PIN, password, or biometric authentication, and no evidence of unauthorised modifications such as jailbreaking or rooting.</w:t>
      </w:r>
    </w:p>
    <w:p w14:paraId="28757E53"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If the device meets requirements, the IT Security team will install the approved MDM agent. This creates a secure, separate work container on your device for all organisational data and applications. Your personal content is not affected.</w:t>
      </w:r>
    </w:p>
    <w:p w14:paraId="221BD6AF" w14:textId="77777777" w:rsidR="0084643A" w:rsidRPr="0084643A" w:rsidRDefault="0084643A"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Pr>
          <w:highlight w:val="green"/>
        </w:rPr>
        <w:t>Install the organisation's approved password manager and MFA authenticator application as directed by the IT Security team during the enrolment session. The IT Security team will configure these tools to minimise friction, including pre-loading approved work applications within the MDM container and, where applicable, enabling SSO or providing a hardware security key as an alternative to software-based MFA.</w:t>
      </w:r>
    </w:p>
    <w:p w14:paraId="375EE1E1" w14:textId="710684A6"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Read and sign the BYOD Acknowledgement Form, confirming you have read this policy and accept your responsibilities. This form is kept on file by HR as part of your employment record.</w:t>
      </w:r>
    </w:p>
    <w:p w14:paraId="47A2A749" w14:textId="2D0D9EA4"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Once the IT Security team confirms your enrolment is complete, you may begin accessing approved organisational systems on your personal device.</w:t>
      </w:r>
    </w:p>
    <w:p w14:paraId="45F86E2A" w14:textId="057B729D" w:rsidR="00FC03F4" w:rsidRPr="00FC03F4" w:rsidRDefault="00FC03F4" w:rsidP="00FC03F4">
      <w:pPr>
        <w:pStyle w:val="ListParagraph"/>
        <w:numPr>
          <w:ilvl w:val="0"/>
          <w:numId w:val="40"/>
        </w:numPr>
        <w:pBdr>
          <w:top w:val="nil"/>
          <w:left w:val="nil"/>
          <w:bottom w:val="nil"/>
          <w:right w:val="nil"/>
          <w:between w:val="nil"/>
        </w:pBdr>
        <w:spacing w:before="36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 Handling Organisational Data and Applications on a Personal Device</w:t>
      </w:r>
    </w:p>
    <w:p w14:paraId="66A72882" w14:textId="77777777" w:rsidR="00FC03F4" w:rsidRPr="0020168F" w:rsidRDefault="00FC03F4" w:rsidP="0020168F">
      <w:p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This procedure covers how to handle work-related data and applications during your day-to-day use of a personal device, in order to minimise the risk of data exposure or unauthorised access.</w:t>
      </w:r>
    </w:p>
    <w:p w14:paraId="35C9E89B" w14:textId="77777777" w:rsidR="00FC03F4" w:rsidRPr="0020168F"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Only access organisational data through the applications installed within the MDM-managed work container on your device. Do not copy, forward, or save organisational data outside of this container into personal applications, personal email, or personal cloud storage.</w:t>
      </w:r>
    </w:p>
    <w:p w14:paraId="1DED52EF" w14:textId="77777777" w:rsidR="00FC03F4" w:rsidRPr="0020168F"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Before accessing any work system on your personal device, check that you are on a trusted network. If you are on public Wi-Fi or an unfamiliar network, activate the organisation's approved VPN before opening any work application.</w:t>
      </w:r>
    </w:p>
    <w:p w14:paraId="34935F62" w14:textId="3052F2A7" w:rsidR="00FC03F4" w:rsidRPr="008C7D68" w:rsidRDefault="0084643A"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Pr>
          <w:highlight w:val="green"/>
        </w:rPr>
        <w:lastRenderedPageBreak/>
        <w:t>Use the organisation's approved password manager for all work-related credentials stored on your device. Do not save work passwords in your device's built-in browser or in any personal password application. If managing your credentials feels overly complex or time-consuming, contact the IT Security team to review your configuration before using any alternative method</w:t>
      </w:r>
      <w:r w:rsidR="00FC03F4" w:rsidRPr="008C7D68">
        <w:rPr>
          <w:rFonts w:asciiTheme="minorHAnsi" w:eastAsia="Arial" w:hAnsiTheme="minorHAnsi" w:cstheme="minorHAnsi"/>
          <w:bCs/>
          <w:color w:val="000000" w:themeColor="text1"/>
          <w:szCs w:val="22"/>
        </w:rPr>
        <w:t>.</w:t>
      </w:r>
    </w:p>
    <w:p w14:paraId="3F963715" w14:textId="01A99810" w:rsidR="008C7D68" w:rsidRPr="008C7D68" w:rsidRDefault="008C7D68" w:rsidP="008C7D68">
      <w:pPr>
        <w:pStyle w:val="ListNumber"/>
        <w:numPr>
          <w:ilvl w:val="0"/>
          <w:numId w:val="38"/>
        </w:numPr>
        <w:spacing w:after="0"/>
        <w:rPr>
          <w:rFonts w:asciiTheme="minorHAnsi" w:hAnsiTheme="minorHAnsi" w:cstheme="minorHAnsi"/>
        </w:rPr>
      </w:pPr>
      <w:r w:rsidRPr="008C7D68">
        <w:rPr>
          <w:rFonts w:asciiTheme="minorHAnsi" w:hAnsiTheme="minorHAnsi" w:cstheme="minorHAnsi"/>
          <w:highlight w:val="yellow"/>
        </w:rPr>
        <w:t xml:space="preserve">If you receive a suspicious communication on your personal device that appears to target your work credentials or requests urgent action, do not click on any links. Apply the PACT framework: Pause before acting, Activate MFA on your accounts, Call the sender directly via a known trusted channel to verify, and </w:t>
      </w:r>
      <w:proofErr w:type="gramStart"/>
      <w:r w:rsidRPr="008C7D68">
        <w:rPr>
          <w:rFonts w:asciiTheme="minorHAnsi" w:hAnsiTheme="minorHAnsi" w:cstheme="minorHAnsi"/>
          <w:highlight w:val="yellow"/>
        </w:rPr>
        <w:t>Turn</w:t>
      </w:r>
      <w:proofErr w:type="gramEnd"/>
      <w:r w:rsidRPr="008C7D68">
        <w:rPr>
          <w:rFonts w:asciiTheme="minorHAnsi" w:hAnsiTheme="minorHAnsi" w:cstheme="minorHAnsi"/>
          <w:highlight w:val="yellow"/>
        </w:rPr>
        <w:t xml:space="preserve"> on automatic updates on your device. Report the communication to the IT Security team. Additionally, never approve access changes, credential resets, or financial </w:t>
      </w:r>
      <w:proofErr w:type="spellStart"/>
      <w:r w:rsidRPr="008C7D68">
        <w:rPr>
          <w:rFonts w:asciiTheme="minorHAnsi" w:hAnsiTheme="minorHAnsi" w:cstheme="minorHAnsi"/>
          <w:highlight w:val="yellow"/>
        </w:rPr>
        <w:t>authorisations</w:t>
      </w:r>
      <w:proofErr w:type="spellEnd"/>
      <w:r w:rsidRPr="008C7D68">
        <w:rPr>
          <w:rFonts w:asciiTheme="minorHAnsi" w:hAnsiTheme="minorHAnsi" w:cstheme="minorHAnsi"/>
          <w:highlight w:val="yellow"/>
        </w:rPr>
        <w:t xml:space="preserve"> based solely on a voice call or video meeting received on your personal device, regardless of the apparent identity of the requester. Always verify through a secondary, trusted out-of-band channel (for example, calling back on a known number or sending a message through a separate internal platform) before taking any action.</w:t>
      </w:r>
    </w:p>
    <w:p w14:paraId="14BF1429" w14:textId="77777777" w:rsidR="00FC03F4" w:rsidRPr="008C7D68"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8C7D68">
        <w:rPr>
          <w:rFonts w:asciiTheme="minorHAnsi" w:eastAsia="Arial" w:hAnsiTheme="minorHAnsi" w:cstheme="minorHAnsi"/>
          <w:bCs/>
          <w:color w:val="000000" w:themeColor="text1"/>
          <w:szCs w:val="22"/>
        </w:rPr>
        <w:t xml:space="preserve">If you receive a suspicious communication on your personal device that appears to target your work credentials or requests urgent action, do not click on any links. Apply the PACT framework: Pause before acting, Activate MFA on your accounts, Call the sender directly via a known trusted channel to verify, and </w:t>
      </w:r>
      <w:proofErr w:type="gramStart"/>
      <w:r w:rsidRPr="008C7D68">
        <w:rPr>
          <w:rFonts w:asciiTheme="minorHAnsi" w:eastAsia="Arial" w:hAnsiTheme="minorHAnsi" w:cstheme="minorHAnsi"/>
          <w:bCs/>
          <w:color w:val="000000" w:themeColor="text1"/>
          <w:szCs w:val="22"/>
        </w:rPr>
        <w:t>Turn</w:t>
      </w:r>
      <w:proofErr w:type="gramEnd"/>
      <w:r w:rsidRPr="008C7D68">
        <w:rPr>
          <w:rFonts w:asciiTheme="minorHAnsi" w:eastAsia="Arial" w:hAnsiTheme="minorHAnsi" w:cstheme="minorHAnsi"/>
          <w:bCs/>
          <w:color w:val="000000" w:themeColor="text1"/>
          <w:szCs w:val="22"/>
        </w:rPr>
        <w:t xml:space="preserve"> on automatic updates on your device. Report the communication to the IT Security team.</w:t>
      </w:r>
    </w:p>
    <w:p w14:paraId="01752F68" w14:textId="77777777" w:rsidR="00FC03F4" w:rsidRPr="008C7D68"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8C7D68">
        <w:rPr>
          <w:rFonts w:asciiTheme="minorHAnsi" w:eastAsia="Arial" w:hAnsiTheme="minorHAnsi" w:cstheme="minorHAnsi"/>
          <w:bCs/>
          <w:color w:val="000000" w:themeColor="text1"/>
          <w:szCs w:val="22"/>
        </w:rPr>
        <w:t>Keep your device's operating system and all applications, including those within the work container, up to date. Enable automatic updates where possible so that security patches are applied without delay.</w:t>
      </w:r>
    </w:p>
    <w:p w14:paraId="607806B1" w14:textId="61D70BBB" w:rsidR="00FC03F4" w:rsidRPr="008C7D68"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8C7D68">
        <w:rPr>
          <w:rFonts w:asciiTheme="minorHAnsi" w:eastAsia="Arial" w:hAnsiTheme="minorHAnsi" w:cstheme="minorHAnsi"/>
          <w:bCs/>
          <w:color w:val="000000" w:themeColor="text1"/>
          <w:szCs w:val="22"/>
        </w:rPr>
        <w:t>At the end of each work session, close all organisational applications and lock your device screen. Do not leave work applications open and visible when your device is unattended.</w:t>
      </w:r>
    </w:p>
    <w:p w14:paraId="64ED3EAD" w14:textId="7237A52E" w:rsidR="008C7D68" w:rsidRPr="008C7D68" w:rsidRDefault="008C7D68" w:rsidP="008C7D68">
      <w:pPr>
        <w:pStyle w:val="ListNumber"/>
        <w:numPr>
          <w:ilvl w:val="0"/>
          <w:numId w:val="38"/>
        </w:numPr>
        <w:rPr>
          <w:rFonts w:asciiTheme="minorHAnsi" w:hAnsiTheme="minorHAnsi" w:cstheme="minorHAnsi"/>
        </w:rPr>
      </w:pPr>
      <w:r w:rsidRPr="008C7D68">
        <w:rPr>
          <w:rFonts w:asciiTheme="minorHAnsi" w:hAnsiTheme="minorHAnsi" w:cstheme="minorHAnsi"/>
          <w:highlight w:val="yellow"/>
        </w:rPr>
        <w:t xml:space="preserve">Do not use AI-powered tools or platforms on your personal device to process, </w:t>
      </w:r>
      <w:proofErr w:type="spellStart"/>
      <w:r w:rsidRPr="008C7D68">
        <w:rPr>
          <w:rFonts w:asciiTheme="minorHAnsi" w:hAnsiTheme="minorHAnsi" w:cstheme="minorHAnsi"/>
          <w:highlight w:val="yellow"/>
        </w:rPr>
        <w:t>summarise</w:t>
      </w:r>
      <w:proofErr w:type="spellEnd"/>
      <w:r w:rsidRPr="008C7D68">
        <w:rPr>
          <w:rFonts w:asciiTheme="minorHAnsi" w:hAnsiTheme="minorHAnsi" w:cstheme="minorHAnsi"/>
          <w:highlight w:val="yellow"/>
        </w:rPr>
        <w:t xml:space="preserve">, translate, or </w:t>
      </w:r>
      <w:proofErr w:type="spellStart"/>
      <w:r w:rsidRPr="008C7D68">
        <w:rPr>
          <w:rFonts w:asciiTheme="minorHAnsi" w:hAnsiTheme="minorHAnsi" w:cstheme="minorHAnsi"/>
          <w:highlight w:val="yellow"/>
        </w:rPr>
        <w:t>analyse</w:t>
      </w:r>
      <w:proofErr w:type="spellEnd"/>
      <w:r w:rsidRPr="008C7D68">
        <w:rPr>
          <w:rFonts w:asciiTheme="minorHAnsi" w:hAnsiTheme="minorHAnsi" w:cstheme="minorHAnsi"/>
          <w:highlight w:val="yellow"/>
        </w:rPr>
        <w:t xml:space="preserve"> work-related documents, client data, or internal communications unless the tool has been explicitly approved by the IT Security team and appears on the </w:t>
      </w:r>
      <w:proofErr w:type="spellStart"/>
      <w:r w:rsidRPr="008C7D68">
        <w:rPr>
          <w:rFonts w:asciiTheme="minorHAnsi" w:hAnsiTheme="minorHAnsi" w:cstheme="minorHAnsi"/>
          <w:highlight w:val="yellow"/>
        </w:rPr>
        <w:t>organisation's</w:t>
      </w:r>
      <w:proofErr w:type="spellEnd"/>
      <w:r w:rsidRPr="008C7D68">
        <w:rPr>
          <w:rFonts w:asciiTheme="minorHAnsi" w:hAnsiTheme="minorHAnsi" w:cstheme="minorHAnsi"/>
          <w:highlight w:val="yellow"/>
        </w:rPr>
        <w:t xml:space="preserve"> approved software inventory. If you are unsure whether an AI tool is approved, contact the IT Security team before use.</w:t>
      </w:r>
    </w:p>
    <w:p w14:paraId="77A5A075" w14:textId="04AB4C5C" w:rsidR="00FC03F4" w:rsidRPr="00FC03F4" w:rsidRDefault="00FC03F4" w:rsidP="00FC03F4">
      <w:pPr>
        <w:pStyle w:val="ListParagraph"/>
        <w:numPr>
          <w:ilvl w:val="0"/>
          <w:numId w:val="40"/>
        </w:numPr>
        <w:pBdr>
          <w:top w:val="nil"/>
          <w:left w:val="nil"/>
          <w:bottom w:val="nil"/>
          <w:right w:val="nil"/>
          <w:between w:val="nil"/>
        </w:pBdr>
        <w:spacing w:before="36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 Reporting a Security Incident Involving a Personal Device</w:t>
      </w:r>
    </w:p>
    <w:p w14:paraId="28099D2B" w14:textId="77777777" w:rsidR="00FC03F4" w:rsidRPr="0020168F" w:rsidRDefault="00FC03F4" w:rsidP="0020168F">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If your personal device is lost, stolen, or you suspect it has been accessed without your authorisation, you must act immediately. Delays in reporting can result in unauthorised access to organisational systems and customer data, which may trigger the organisation's legal notification obligations under the Privacy Amendment (Notifiable Data Breaches) Act 2017.</w:t>
      </w:r>
    </w:p>
    <w:p w14:paraId="13DF4D6B"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Contact the IT Security team immediately upon discovering the loss, theft, or suspected compromise. Do not wait until the next business day. Contact details for the IT Security team are available on the internal intranet and in the employee handbook.</w:t>
      </w:r>
    </w:p>
    <w:p w14:paraId="78A9D0B1"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When reporting, provide the following information: your name and role, the device type and operating system, the organisational systems and applications the device had access to, when you last had the device in your possession, and any actions you have already taken.</w:t>
      </w:r>
    </w:p>
    <w:p w14:paraId="25B819CD"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Do not attempt to recover the device or investigate the incident independently. Taking uncoordinated action may interfere with the IT Security team's ability to contain the breach and preserve evidence needed for investigation.</w:t>
      </w:r>
    </w:p>
    <w:p w14:paraId="22C29EEC"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The IT Security team will initiate a remote wipe of the organisational work container on your device via the MDM solution. This removes all organisational data and applications without affecting your personal content such as photos or personal messages.</w:t>
      </w:r>
    </w:p>
    <w:p w14:paraId="1F578839"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If the incident involves the potential exposure of customer personal information, the IT Security team will assess whether the breach meets the threshold for mandatory notification under the Privacy Amendment (Notifiable Data Breaches) Act 2017 and will manage the reporting process to the OAIC if required.</w:t>
      </w:r>
    </w:p>
    <w:p w14:paraId="7C11A6EE" w14:textId="77777777" w:rsidR="00FC03F4"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Complete the Incident Report Form provided by the IT Security team within 24 hours of your initial report, providing a full account of the circumstances. This record is maintained as part of the organisation's incident log in accordance with data protection requirements.</w:t>
      </w:r>
    </w:p>
    <w:p w14:paraId="6E913265" w14:textId="6723887C" w:rsidR="006E48DD" w:rsidRDefault="006E48DD" w:rsidP="006E48DD">
      <w:pPr>
        <w:pStyle w:val="ListNumber"/>
        <w:numPr>
          <w:ilvl w:val="0"/>
          <w:numId w:val="39"/>
        </w:numPr>
        <w:rPr>
          <w:rFonts w:asciiTheme="minorHAnsi" w:hAnsiTheme="minorHAnsi" w:cstheme="minorHAnsi"/>
        </w:rPr>
      </w:pPr>
      <w:r w:rsidRPr="006E48DD">
        <w:rPr>
          <w:rFonts w:asciiTheme="minorHAnsi" w:hAnsiTheme="minorHAnsi" w:cstheme="minorHAnsi"/>
          <w:highlight w:val="yellow"/>
        </w:rPr>
        <w:lastRenderedPageBreak/>
        <w:t xml:space="preserve">If the incident involves suspected Shadow AI usage (for example, </w:t>
      </w:r>
      <w:proofErr w:type="spellStart"/>
      <w:r w:rsidRPr="006E48DD">
        <w:rPr>
          <w:rFonts w:asciiTheme="minorHAnsi" w:hAnsiTheme="minorHAnsi" w:cstheme="minorHAnsi"/>
          <w:highlight w:val="yellow"/>
        </w:rPr>
        <w:t>organisational</w:t>
      </w:r>
      <w:proofErr w:type="spellEnd"/>
      <w:r w:rsidRPr="006E48DD">
        <w:rPr>
          <w:rFonts w:asciiTheme="minorHAnsi" w:hAnsiTheme="minorHAnsi" w:cstheme="minorHAnsi"/>
          <w:highlight w:val="yellow"/>
        </w:rPr>
        <w:t xml:space="preserve"> data uploaded to an external AI platform without </w:t>
      </w:r>
      <w:proofErr w:type="spellStart"/>
      <w:r w:rsidRPr="006E48DD">
        <w:rPr>
          <w:rFonts w:asciiTheme="minorHAnsi" w:hAnsiTheme="minorHAnsi" w:cstheme="minorHAnsi"/>
          <w:highlight w:val="yellow"/>
        </w:rPr>
        <w:t>authorisation</w:t>
      </w:r>
      <w:proofErr w:type="spellEnd"/>
      <w:r w:rsidRPr="006E48DD">
        <w:rPr>
          <w:rFonts w:asciiTheme="minorHAnsi" w:hAnsiTheme="minorHAnsi" w:cstheme="minorHAnsi"/>
          <w:highlight w:val="yellow"/>
        </w:rPr>
        <w:t>), report this separately as a data exposure event. The IT Security team will assess the scope of data involved and determine whether mandatory breach notification obligations are triggered.</w:t>
      </w:r>
    </w:p>
    <w:p w14:paraId="1F3E6E2B" w14:textId="34E26D31" w:rsidR="0084643A" w:rsidRPr="0084643A" w:rsidRDefault="0084643A" w:rsidP="0084643A">
      <w:pPr>
        <w:pStyle w:val="ListParagraph"/>
        <w:numPr>
          <w:ilvl w:val="0"/>
          <w:numId w:val="39"/>
        </w:numPr>
      </w:pPr>
      <w:r w:rsidRPr="0084643A">
        <w:rPr>
          <w:highlight w:val="green"/>
        </w:rPr>
        <w:t>If the incident originated from or was enabled by authentication fatigue - for example, a staff member used an unapproved tool because the approved tool was too complex - the IT Security team will document this as a usability-driven security failure and use it to inform improvements to the organisation's authentication configuration.</w:t>
      </w:r>
    </w:p>
    <w:p w14:paraId="04ED51BC" w14:textId="77777777" w:rsidR="00FC03F4" w:rsidRPr="00FC03F4" w:rsidRDefault="00FC03F4" w:rsidP="00FC03F4">
      <w:pPr>
        <w:pBdr>
          <w:top w:val="nil"/>
          <w:left w:val="nil"/>
          <w:bottom w:val="nil"/>
          <w:right w:val="nil"/>
          <w:between w:val="nil"/>
        </w:pBdr>
        <w:spacing w:before="36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6. Compliance and Enforcement</w:t>
      </w:r>
    </w:p>
    <w:p w14:paraId="1F654A4D" w14:textId="77777777" w:rsidR="00FC03F4" w:rsidRPr="0020168F" w:rsidRDefault="00FC03F4" w:rsidP="0020168F">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All staff who use a personal device for work purposes must comply with this policy. Non-compliance may result in:</w:t>
      </w:r>
    </w:p>
    <w:p w14:paraId="0BE03DDF"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Immediate revocation of access to all organisational systems from the personal device.</w:t>
      </w:r>
    </w:p>
    <w:p w14:paraId="34B25BF2"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Formal disciplinary action, up to and including termination of employment or contract.</w:t>
      </w:r>
    </w:p>
    <w:p w14:paraId="397E14C7" w14:textId="77777777" w:rsidR="00FC03F4"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Legal liability where non-compliance results in a breach of the Privacy Act 1988 or other applicable legislation.</w:t>
      </w:r>
    </w:p>
    <w:p w14:paraId="5516C6C4" w14:textId="4A8E7567" w:rsidR="006E48DD" w:rsidRDefault="006E48DD" w:rsidP="006E48DD">
      <w:pPr>
        <w:pStyle w:val="ListBullet"/>
        <w:numPr>
          <w:ilvl w:val="0"/>
          <w:numId w:val="35"/>
        </w:numPr>
        <w:rPr>
          <w:rFonts w:asciiTheme="minorHAnsi" w:hAnsiTheme="minorHAnsi" w:cstheme="minorHAnsi"/>
        </w:rPr>
      </w:pPr>
      <w:r w:rsidRPr="006E48DD">
        <w:rPr>
          <w:rFonts w:asciiTheme="minorHAnsi" w:hAnsiTheme="minorHAnsi" w:cstheme="minorHAnsi"/>
          <w:highlight w:val="yellow"/>
        </w:rPr>
        <w:t xml:space="preserve">In cases involving Shadow AI, disciplinary action may include mandatory retraining, formal written warning, or escalation to the </w:t>
      </w:r>
      <w:proofErr w:type="spellStart"/>
      <w:r w:rsidRPr="006E48DD">
        <w:rPr>
          <w:rFonts w:asciiTheme="minorHAnsi" w:hAnsiTheme="minorHAnsi" w:cstheme="minorHAnsi"/>
          <w:highlight w:val="yellow"/>
        </w:rPr>
        <w:t>organisation's</w:t>
      </w:r>
      <w:proofErr w:type="spellEnd"/>
      <w:r w:rsidRPr="006E48DD">
        <w:rPr>
          <w:rFonts w:asciiTheme="minorHAnsi" w:hAnsiTheme="minorHAnsi" w:cstheme="minorHAnsi"/>
          <w:highlight w:val="yellow"/>
        </w:rPr>
        <w:t xml:space="preserve"> Legal and Compliance team if client data exposure is confirmed.</w:t>
      </w:r>
    </w:p>
    <w:p w14:paraId="7B2DB6F4" w14:textId="398C363C" w:rsidR="0084643A" w:rsidRPr="0084643A" w:rsidRDefault="0084643A" w:rsidP="0084643A">
      <w:pPr>
        <w:pStyle w:val="ListBullet"/>
        <w:numPr>
          <w:ilvl w:val="0"/>
          <w:numId w:val="35"/>
        </w:numPr>
      </w:pPr>
      <w:r>
        <w:rPr>
          <w:highlight w:val="green"/>
        </w:rPr>
        <w:t xml:space="preserve">Where non-compliance is found to have been caused or contributed to by inadequate tool usability or configuration, the IT Security team will review the authentication environment and remediate friction points as part of the </w:t>
      </w:r>
      <w:proofErr w:type="spellStart"/>
      <w:r>
        <w:rPr>
          <w:highlight w:val="green"/>
        </w:rPr>
        <w:t>organisation's</w:t>
      </w:r>
      <w:proofErr w:type="spellEnd"/>
      <w:r>
        <w:rPr>
          <w:highlight w:val="green"/>
        </w:rPr>
        <w:t xml:space="preserve"> corrective action process.</w:t>
      </w:r>
    </w:p>
    <w:p w14:paraId="34EFE32C" w14:textId="77777777" w:rsidR="00FC03F4" w:rsidRPr="00FC03F4" w:rsidRDefault="00FC03F4" w:rsidP="00FC03F4">
      <w:pPr>
        <w:pBdr>
          <w:top w:val="nil"/>
          <w:left w:val="nil"/>
          <w:bottom w:val="nil"/>
          <w:right w:val="nil"/>
          <w:between w:val="nil"/>
        </w:pBdr>
        <w:spacing w:before="360"/>
        <w:rPr>
          <w:rFonts w:asciiTheme="minorHAnsi" w:eastAsia="Arial" w:hAnsiTheme="minorHAnsi" w:cstheme="minorHAnsi"/>
          <w:b/>
          <w:color w:val="000000" w:themeColor="text1"/>
          <w:szCs w:val="22"/>
        </w:rPr>
      </w:pPr>
    </w:p>
    <w:p w14:paraId="6A540BA8" w14:textId="0AC27B13" w:rsidR="006E48DD" w:rsidRDefault="00FC03F4" w:rsidP="0020168F">
      <w:pPr>
        <w:pBdr>
          <w:top w:val="nil"/>
          <w:left w:val="nil"/>
          <w:bottom w:val="nil"/>
          <w:right w:val="nil"/>
          <w:between w:val="nil"/>
        </w:pBdr>
        <w:spacing w:before="360"/>
        <w:jc w:val="both"/>
        <w:rPr>
          <w:rFonts w:asciiTheme="minorHAnsi" w:eastAsia="Arial" w:hAnsiTheme="minorHAnsi" w:cstheme="minorHAnsi"/>
          <w:b/>
          <w:color w:val="000000" w:themeColor="text1"/>
          <w:szCs w:val="22"/>
        </w:rPr>
      </w:pPr>
      <w:r w:rsidRPr="00FC03F4">
        <w:rPr>
          <w:rFonts w:asciiTheme="minorHAnsi" w:eastAsia="Arial" w:hAnsiTheme="minorHAnsi" w:cstheme="minorHAnsi"/>
          <w:b/>
          <w:color w:val="000000" w:themeColor="text1"/>
          <w:szCs w:val="22"/>
        </w:rPr>
        <w:t>The organisation monitors compliance with this policy through regular MDM compliance reports and annual cybersecurity audits. Staff are encouraged to direct any questions or concerns about this policy to the IT Security team or their manager at any time.</w:t>
      </w:r>
    </w:p>
    <w:p w14:paraId="61F850BB" w14:textId="77777777" w:rsidR="006E48DD" w:rsidRDefault="006E48DD">
      <w:pPr>
        <w:rPr>
          <w:rFonts w:asciiTheme="minorHAnsi" w:eastAsia="Arial" w:hAnsiTheme="minorHAnsi" w:cstheme="minorHAnsi"/>
          <w:b/>
          <w:color w:val="000000" w:themeColor="text1"/>
          <w:szCs w:val="22"/>
        </w:rPr>
      </w:pPr>
      <w:r>
        <w:rPr>
          <w:rFonts w:asciiTheme="minorHAnsi" w:eastAsia="Arial" w:hAnsiTheme="minorHAnsi" w:cstheme="minorHAnsi"/>
          <w:b/>
          <w:color w:val="000000" w:themeColor="text1"/>
          <w:szCs w:val="22"/>
        </w:rPr>
        <w:br w:type="page"/>
      </w:r>
    </w:p>
    <w:p w14:paraId="296B0C45" w14:textId="6B1F57B5" w:rsidR="00650EFD" w:rsidRPr="006E48DD" w:rsidRDefault="0084643A" w:rsidP="0020168F">
      <w:pPr>
        <w:pBdr>
          <w:top w:val="nil"/>
          <w:left w:val="nil"/>
          <w:bottom w:val="nil"/>
          <w:right w:val="nil"/>
          <w:between w:val="nil"/>
        </w:pBdr>
        <w:spacing w:before="360"/>
        <w:jc w:val="both"/>
        <w:rPr>
          <w:rFonts w:asciiTheme="minorHAnsi" w:eastAsia="Arial" w:hAnsiTheme="minorHAnsi" w:cstheme="minorHAnsi"/>
          <w:bCs/>
          <w:color w:val="000000" w:themeColor="text1"/>
          <w:szCs w:val="22"/>
          <w:highlight w:val="yellow"/>
        </w:rPr>
      </w:pPr>
      <w:r>
        <w:rPr>
          <w:rFonts w:asciiTheme="minorHAnsi" w:eastAsia="Arial" w:hAnsiTheme="minorHAnsi" w:cstheme="minorHAnsi"/>
          <w:bCs/>
          <w:color w:val="000000" w:themeColor="text1"/>
          <w:szCs w:val="22"/>
          <w:highlight w:val="yellow"/>
        </w:rPr>
        <w:lastRenderedPageBreak/>
        <w:t xml:space="preserve">1.2 </w:t>
      </w:r>
      <w:r w:rsidR="006E48DD" w:rsidRPr="006E48DD">
        <w:rPr>
          <w:rFonts w:asciiTheme="minorHAnsi" w:eastAsia="Arial" w:hAnsiTheme="minorHAnsi" w:cstheme="minorHAnsi"/>
          <w:bCs/>
          <w:color w:val="000000" w:themeColor="text1"/>
          <w:szCs w:val="22"/>
          <w:highlight w:val="yellow"/>
        </w:rPr>
        <w:t>Hi teacher,</w:t>
      </w:r>
    </w:p>
    <w:p w14:paraId="0A43A6F6" w14:textId="77777777" w:rsidR="006E48DD" w:rsidRPr="006E48DD" w:rsidRDefault="006E48DD" w:rsidP="0020168F">
      <w:pPr>
        <w:pBdr>
          <w:top w:val="nil"/>
          <w:left w:val="nil"/>
          <w:bottom w:val="nil"/>
          <w:right w:val="nil"/>
          <w:between w:val="nil"/>
        </w:pBdr>
        <w:spacing w:before="360"/>
        <w:jc w:val="both"/>
        <w:rPr>
          <w:rFonts w:asciiTheme="minorHAnsi" w:eastAsia="Arial" w:hAnsiTheme="minorHAnsi" w:cstheme="minorHAnsi"/>
          <w:bCs/>
          <w:color w:val="000000" w:themeColor="text1"/>
          <w:szCs w:val="22"/>
          <w:highlight w:val="yellow"/>
        </w:rPr>
      </w:pPr>
    </w:p>
    <w:p w14:paraId="3433BF61" w14:textId="7207BADF" w:rsidR="006E48DD" w:rsidRDefault="006E48DD" w:rsidP="0020168F">
      <w:pPr>
        <w:pBdr>
          <w:top w:val="nil"/>
          <w:left w:val="nil"/>
          <w:bottom w:val="nil"/>
          <w:right w:val="nil"/>
          <w:between w:val="nil"/>
        </w:pBdr>
        <w:spacing w:before="360"/>
        <w:jc w:val="both"/>
        <w:rPr>
          <w:bCs/>
        </w:rPr>
      </w:pPr>
      <w:r w:rsidRPr="006E48DD">
        <w:rPr>
          <w:bCs/>
          <w:highlight w:val="yellow"/>
        </w:rPr>
        <w:t xml:space="preserve">As an additional aspect identified for further awareness within the organisation, I incorporated </w:t>
      </w:r>
      <w:r w:rsidRPr="006E48DD">
        <w:rPr>
          <w:rStyle w:val="Strong"/>
          <w:b w:val="0"/>
          <w:i/>
          <w:iCs/>
          <w:highlight w:val="yellow"/>
        </w:rPr>
        <w:t xml:space="preserve">Shadow AI </w:t>
      </w:r>
      <w:r w:rsidRPr="006E48DD">
        <w:rPr>
          <w:rStyle w:val="Strong"/>
          <w:b w:val="0"/>
          <w:highlight w:val="yellow"/>
        </w:rPr>
        <w:t>and</w:t>
      </w:r>
      <w:r w:rsidRPr="006E48DD">
        <w:rPr>
          <w:rStyle w:val="Strong"/>
          <w:b w:val="0"/>
          <w:i/>
          <w:iCs/>
          <w:highlight w:val="yellow"/>
        </w:rPr>
        <w:t xml:space="preserve"> deepfake-based social engineering</w:t>
      </w:r>
      <w:r w:rsidRPr="006E48DD">
        <w:rPr>
          <w:b/>
          <w:i/>
          <w:iCs/>
          <w:highlight w:val="yellow"/>
        </w:rPr>
        <w:t xml:space="preserve"> </w:t>
      </w:r>
      <w:r w:rsidRPr="006E48DD">
        <w:rPr>
          <w:bCs/>
          <w:highlight w:val="yellow"/>
        </w:rPr>
        <w:t>into the updated BYOD Policy and Procedures (Version</w:t>
      </w:r>
      <w:r>
        <w:rPr>
          <w:bCs/>
          <w:highlight w:val="yellow"/>
        </w:rPr>
        <w:t xml:space="preserve"> 1.2</w:t>
      </w:r>
      <w:r w:rsidRPr="006E48DD">
        <w:rPr>
          <w:bCs/>
          <w:highlight w:val="yellow"/>
        </w:rPr>
        <w:t>). These threats were not part of the original program but emerged as critical gaps following the survey results and my own research, given that employees reported using personal devices and personal applications to manage work access (Q5, Q12), which creates a direct exposure pathway for Shadow AI - where staff may unknowingly upload internal documents or client data to external AI platforms such as ChatGPT or Gemini without IT oversight or governance controls. Alongside this, the growing use of AI-generated voice and video deepfakes means that a phone call or video meeting received on a personal device can no longer be trusted as sufficient basis for approving sensitive actions such as credential resets or access changes, a risk that is particularly relevant in the financial sector context of this organisation. To address both threats, I updated the policy to include a prohibited use clause banning uploads of organisational data to unapproved AI platforms, a new procedural step requiring employees to verify AI tool approval before use, an out-of-band verification requirement embedded within the existing PACT framework, DLP control responsibilities assigned to the IT Security team, and a dedicated incident reporting step for Shadow AI exposure events - ensuring that the program now reflects the latest cybersecurity threats currently impacting Australian organisations.</w:t>
      </w:r>
    </w:p>
    <w:p w14:paraId="11EDC084" w14:textId="77777777" w:rsidR="0084643A" w:rsidRDefault="0084643A" w:rsidP="0020168F">
      <w:pPr>
        <w:pBdr>
          <w:top w:val="nil"/>
          <w:left w:val="nil"/>
          <w:bottom w:val="nil"/>
          <w:right w:val="nil"/>
          <w:between w:val="nil"/>
        </w:pBdr>
        <w:spacing w:before="360"/>
        <w:jc w:val="both"/>
        <w:rPr>
          <w:bCs/>
        </w:rPr>
      </w:pPr>
    </w:p>
    <w:p w14:paraId="25AE3912" w14:textId="77777777" w:rsidR="0084643A" w:rsidRDefault="0084643A" w:rsidP="0020168F">
      <w:pPr>
        <w:pBdr>
          <w:top w:val="nil"/>
          <w:left w:val="nil"/>
          <w:bottom w:val="nil"/>
          <w:right w:val="nil"/>
          <w:between w:val="nil"/>
        </w:pBdr>
        <w:spacing w:before="360"/>
        <w:jc w:val="both"/>
        <w:rPr>
          <w:bCs/>
        </w:rPr>
      </w:pPr>
    </w:p>
    <w:p w14:paraId="14EB708C" w14:textId="77777777" w:rsidR="0084643A" w:rsidRPr="0084643A" w:rsidRDefault="0084643A" w:rsidP="0084643A">
      <w:pPr>
        <w:pBdr>
          <w:top w:val="nil"/>
          <w:left w:val="nil"/>
          <w:bottom w:val="nil"/>
          <w:right w:val="nil"/>
          <w:between w:val="nil"/>
        </w:pBdr>
        <w:spacing w:before="360"/>
        <w:jc w:val="both"/>
        <w:rPr>
          <w:bCs/>
          <w:highlight w:val="green"/>
        </w:rPr>
      </w:pPr>
      <w:r w:rsidRPr="0084643A">
        <w:rPr>
          <w:bCs/>
          <w:highlight w:val="green"/>
        </w:rPr>
        <w:t>1.4 Hi teacher</w:t>
      </w:r>
    </w:p>
    <w:p w14:paraId="0741DB41" w14:textId="44F717A5" w:rsidR="0084643A" w:rsidRPr="0084643A" w:rsidRDefault="0084643A" w:rsidP="0084643A">
      <w:pPr>
        <w:pBdr>
          <w:top w:val="nil"/>
          <w:left w:val="nil"/>
          <w:bottom w:val="nil"/>
          <w:right w:val="nil"/>
          <w:between w:val="nil"/>
        </w:pBdr>
        <w:spacing w:before="360"/>
        <w:jc w:val="both"/>
        <w:rPr>
          <w:bCs/>
        </w:rPr>
      </w:pPr>
      <w:r w:rsidRPr="0084643A">
        <w:rPr>
          <w:rFonts w:asciiTheme="minorHAnsi" w:eastAsia="Arial" w:hAnsiTheme="minorHAnsi" w:cstheme="minorHAnsi"/>
          <w:bCs/>
          <w:color w:val="000000" w:themeColor="text1"/>
          <w:szCs w:val="22"/>
          <w:highlight w:val="green"/>
          <w:lang w:val="en-US"/>
        </w:rPr>
        <w:t xml:space="preserve">As an additional aspect identified for further awareness within the </w:t>
      </w:r>
      <w:proofErr w:type="spellStart"/>
      <w:r w:rsidRPr="0084643A">
        <w:rPr>
          <w:rFonts w:asciiTheme="minorHAnsi" w:eastAsia="Arial" w:hAnsiTheme="minorHAnsi" w:cstheme="minorHAnsi"/>
          <w:bCs/>
          <w:color w:val="000000" w:themeColor="text1"/>
          <w:szCs w:val="22"/>
          <w:highlight w:val="green"/>
          <w:lang w:val="en-US"/>
        </w:rPr>
        <w:t>organisation</w:t>
      </w:r>
      <w:proofErr w:type="spellEnd"/>
      <w:r w:rsidRPr="0084643A">
        <w:rPr>
          <w:rFonts w:asciiTheme="minorHAnsi" w:eastAsia="Arial" w:hAnsiTheme="minorHAnsi" w:cstheme="minorHAnsi"/>
          <w:bCs/>
          <w:color w:val="000000" w:themeColor="text1"/>
          <w:szCs w:val="22"/>
          <w:highlight w:val="green"/>
          <w:lang w:val="en-US"/>
        </w:rPr>
        <w:t xml:space="preserve">, I incorporated Password Fatigue and Cognitive Overload into the updated BYOD Policy and Procedures (Version 1.4), following feedback received from the IT Manager during the formal review session documented in Section 3. The survey findings (Q1, Q2, Q5, Q12) provided clear evidence that staff were already experiencing authentication fatigue, with one participant explicitly attributing password reuse to the complexity of managing multiple system accesses. The IT Manager identified this as a critical unaddressed risk driver - one that also underpins Shadow AI adoption, as staff seek faster, easier alternatives when approved tools feel too cumbersome. To address this, Version 1.4 incorporates an explicit acknowledgement of cognitive overload as a security risk driver in the policy purpose, a new staff entitlement in Section 3.2 to escalate friction points before adopting workarounds, an updated Procedure 1 Step 4 requiring the IT Security team to actively </w:t>
      </w:r>
      <w:proofErr w:type="spellStart"/>
      <w:r w:rsidRPr="0084643A">
        <w:rPr>
          <w:rFonts w:asciiTheme="minorHAnsi" w:eastAsia="Arial" w:hAnsiTheme="minorHAnsi" w:cstheme="minorHAnsi"/>
          <w:bCs/>
          <w:color w:val="000000" w:themeColor="text1"/>
          <w:szCs w:val="22"/>
          <w:highlight w:val="green"/>
          <w:lang w:val="en-US"/>
        </w:rPr>
        <w:t>minimise</w:t>
      </w:r>
      <w:proofErr w:type="spellEnd"/>
      <w:r w:rsidRPr="0084643A">
        <w:rPr>
          <w:rFonts w:asciiTheme="minorHAnsi" w:eastAsia="Arial" w:hAnsiTheme="minorHAnsi" w:cstheme="minorHAnsi"/>
          <w:bCs/>
          <w:color w:val="000000" w:themeColor="text1"/>
          <w:szCs w:val="22"/>
          <w:highlight w:val="green"/>
          <w:lang w:val="en-US"/>
        </w:rPr>
        <w:t xml:space="preserve"> authentication friction through SSO and hardware security keys, updated IT Security team responsibilities to treat usability as a security control, a new manager responsibility to monitor for security fatigue in their teams, and a new incident classification for usability-driven security failures in Procedure 3. All new additions are highlighted in green throughout the document.</w:t>
      </w:r>
    </w:p>
    <w:p w14:paraId="4908A803" w14:textId="77777777" w:rsidR="0084643A" w:rsidRPr="006E48DD" w:rsidRDefault="0084643A" w:rsidP="0020168F">
      <w:pPr>
        <w:pBdr>
          <w:top w:val="nil"/>
          <w:left w:val="nil"/>
          <w:bottom w:val="nil"/>
          <w:right w:val="nil"/>
          <w:between w:val="nil"/>
        </w:pBdr>
        <w:spacing w:before="360"/>
        <w:jc w:val="both"/>
        <w:rPr>
          <w:rFonts w:asciiTheme="minorHAnsi" w:eastAsia="Arial" w:hAnsiTheme="minorHAnsi" w:cstheme="minorHAnsi"/>
          <w:bCs/>
          <w:color w:val="000000" w:themeColor="text1"/>
          <w:szCs w:val="22"/>
        </w:rPr>
      </w:pPr>
    </w:p>
    <w:sectPr w:rsidR="0084643A" w:rsidRPr="006E48DD" w:rsidSect="0062408F">
      <w:headerReference w:type="default" r:id="rId9"/>
      <w:footerReference w:type="even" r:id="rId10"/>
      <w:footerReference w:type="default" r:id="rId11"/>
      <w:headerReference w:type="first" r:id="rId12"/>
      <w:footerReference w:type="first" r:id="rId13"/>
      <w:pgSz w:w="11900" w:h="16840"/>
      <w:pgMar w:top="720" w:right="720" w:bottom="720" w:left="72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1C143" w14:textId="77777777" w:rsidR="009D2E4B" w:rsidRDefault="009D2E4B">
      <w:pPr>
        <w:spacing w:before="0" w:after="0"/>
      </w:pPr>
      <w:r>
        <w:separator/>
      </w:r>
    </w:p>
  </w:endnote>
  <w:endnote w:type="continuationSeparator" w:id="0">
    <w:p w14:paraId="4E0C471D" w14:textId="77777777" w:rsidR="009D2E4B" w:rsidRDefault="009D2E4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Kalinga">
    <w:panose1 w:val="020B0502040204020203"/>
    <w:charset w:val="00"/>
    <w:family w:val="swiss"/>
    <w:pitch w:val="variable"/>
    <w:sig w:usb0="0008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625D" w14:textId="77777777" w:rsidR="000F345F" w:rsidRDefault="00000000">
    <w:pPr>
      <w:pBdr>
        <w:top w:val="nil"/>
        <w:left w:val="nil"/>
        <w:bottom w:val="nil"/>
        <w:right w:val="nil"/>
        <w:between w:val="nil"/>
      </w:pBdr>
      <w:tabs>
        <w:tab w:val="center" w:pos="4320"/>
        <w:tab w:val="right" w:pos="8640"/>
      </w:tabs>
      <w:spacing w:before="0" w:after="0"/>
      <w:jc w:val="right"/>
      <w:rPr>
        <w:color w:val="000000"/>
        <w:szCs w:val="22"/>
      </w:rPr>
    </w:pPr>
    <w:r>
      <w:rPr>
        <w:color w:val="000000"/>
        <w:szCs w:val="22"/>
      </w:rPr>
      <w:fldChar w:fldCharType="begin"/>
    </w:r>
    <w:r>
      <w:rPr>
        <w:color w:val="000000"/>
        <w:szCs w:val="22"/>
      </w:rPr>
      <w:instrText>PAGE</w:instrText>
    </w:r>
    <w:r>
      <w:rPr>
        <w:color w:val="000000"/>
        <w:szCs w:val="22"/>
      </w:rPr>
      <w:fldChar w:fldCharType="separate"/>
    </w:r>
    <w:r>
      <w:rPr>
        <w:color w:val="000000"/>
        <w:szCs w:val="22"/>
      </w:rPr>
      <w:fldChar w:fldCharType="end"/>
    </w:r>
  </w:p>
  <w:p w14:paraId="29BE523E" w14:textId="77777777" w:rsidR="000F345F" w:rsidRDefault="000F345F">
    <w:pPr>
      <w:pBdr>
        <w:top w:val="nil"/>
        <w:left w:val="nil"/>
        <w:bottom w:val="nil"/>
        <w:right w:val="nil"/>
        <w:between w:val="nil"/>
      </w:pBdr>
      <w:tabs>
        <w:tab w:val="center" w:pos="4320"/>
        <w:tab w:val="right" w:pos="8640"/>
      </w:tabs>
      <w:spacing w:before="0" w:after="0"/>
      <w:ind w:right="360"/>
      <w:rPr>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DEEDE" w14:textId="77777777" w:rsidR="000F345F" w:rsidRDefault="000F345F">
    <w:pPr>
      <w:pBdr>
        <w:bottom w:val="single" w:sz="12" w:space="4" w:color="000000"/>
      </w:pBdr>
      <w:tabs>
        <w:tab w:val="right" w:pos="8565"/>
      </w:tabs>
      <w:spacing w:before="0" w:after="0"/>
      <w:rPr>
        <w:sz w:val="16"/>
        <w:szCs w:val="16"/>
      </w:rPr>
    </w:pPr>
  </w:p>
  <w:p w14:paraId="1115D6B8" w14:textId="00E0EE39" w:rsidR="000F345F" w:rsidRDefault="00000000">
    <w:pPr>
      <w:tabs>
        <w:tab w:val="right" w:pos="8565"/>
      </w:tabs>
      <w:spacing w:before="0"/>
      <w:ind w:right="-2"/>
      <w:rPr>
        <w:sz w:val="16"/>
        <w:szCs w:val="16"/>
      </w:rPr>
    </w:pPr>
    <w:r>
      <w:rPr>
        <w:sz w:val="16"/>
        <w:szCs w:val="16"/>
      </w:rPr>
      <w:t xml:space="preserve">Trident Education Pty Ltd trading as Milestones International College | TOID 45323|CRICOS 03877M| </w:t>
    </w:r>
    <w:hyperlink r:id="rId1">
      <w:r w:rsidR="000F345F">
        <w:rPr>
          <w:color w:val="0563C1"/>
          <w:sz w:val="16"/>
          <w:szCs w:val="16"/>
          <w:u w:val="single"/>
        </w:rPr>
        <w:t>info@milestones.vic.edu.au</w:t>
      </w:r>
    </w:hyperlink>
    <w:r>
      <w:rPr>
        <w:color w:val="0563C1"/>
        <w:sz w:val="16"/>
        <w:szCs w:val="16"/>
        <w:u w:val="single"/>
      </w:rPr>
      <w:t xml:space="preserve"> </w:t>
    </w:r>
    <w:r>
      <w:rPr>
        <w:sz w:val="16"/>
        <w:szCs w:val="16"/>
      </w:rPr>
      <w:t>|</w:t>
    </w:r>
  </w:p>
  <w:p w14:paraId="0DDB0DD7" w14:textId="77777777" w:rsidR="000F345F" w:rsidRDefault="00000000">
    <w:pPr>
      <w:tabs>
        <w:tab w:val="center" w:pos="4513"/>
        <w:tab w:val="right" w:pos="9026"/>
        <w:tab w:val="right" w:pos="9356"/>
      </w:tabs>
      <w:spacing w:before="0" w:after="0"/>
      <w:jc w:val="right"/>
      <w:rPr>
        <w:rFonts w:ascii="Arial" w:eastAsia="Arial" w:hAnsi="Arial" w:cs="Arial"/>
        <w:sz w:val="16"/>
        <w:szCs w:val="16"/>
      </w:rPr>
    </w:pPr>
    <w:r>
      <w:rPr>
        <w:rFonts w:ascii="Arial" w:eastAsia="Arial" w:hAnsi="Arial" w:cs="Arial"/>
        <w:b/>
        <w:sz w:val="16"/>
        <w:szCs w:val="16"/>
      </w:rPr>
      <w:t>|</w:t>
    </w:r>
    <w:r>
      <w:rPr>
        <w:rFonts w:ascii="Arial" w:eastAsia="Arial" w:hAnsi="Arial" w:cs="Arial"/>
        <w:sz w:val="16"/>
        <w:szCs w:val="16"/>
      </w:rPr>
      <w:t xml:space="preserve"> Page: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46173D">
      <w:rPr>
        <w:rFonts w:ascii="Arial" w:eastAsia="Arial" w:hAnsi="Arial" w:cs="Arial"/>
        <w:noProof/>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DE9" w14:textId="77777777" w:rsidR="000F345F" w:rsidRDefault="00000000">
    <w:pPr>
      <w:pBdr>
        <w:top w:val="nil"/>
        <w:left w:val="nil"/>
        <w:bottom w:val="nil"/>
        <w:right w:val="nil"/>
        <w:between w:val="nil"/>
      </w:pBdr>
      <w:tabs>
        <w:tab w:val="center" w:pos="4320"/>
        <w:tab w:val="right" w:pos="8640"/>
      </w:tabs>
      <w:spacing w:before="0" w:after="0"/>
      <w:rPr>
        <w:rFonts w:ascii="Arial" w:eastAsia="Arial" w:hAnsi="Arial" w:cs="Arial"/>
        <w:color w:val="000000"/>
        <w:sz w:val="16"/>
        <w:szCs w:val="16"/>
      </w:rPr>
    </w:pPr>
    <w:r>
      <w:rPr>
        <w:rFonts w:ascii="Arial" w:eastAsia="Arial" w:hAnsi="Arial" w:cs="Arial"/>
        <w:color w:val="000000"/>
        <w:sz w:val="16"/>
        <w:szCs w:val="16"/>
      </w:rPr>
      <w:t xml:space="preserve">J+S </w:t>
    </w:r>
    <w:proofErr w:type="spellStart"/>
    <w:r>
      <w:rPr>
        <w:rFonts w:ascii="Arial" w:eastAsia="Arial" w:hAnsi="Arial" w:cs="Arial"/>
        <w:color w:val="000000"/>
        <w:sz w:val="16"/>
        <w:szCs w:val="16"/>
      </w:rPr>
      <w:t>Learningwork</w:t>
    </w:r>
    <w:proofErr w:type="spellEnd"/>
    <w:r>
      <w:rPr>
        <w:rFonts w:ascii="Arial" w:eastAsia="Arial" w:hAnsi="Arial" w:cs="Arial"/>
        <w:color w:val="000000"/>
        <w:sz w:val="16"/>
        <w:szCs w:val="16"/>
      </w:rPr>
      <w:t xml:space="preserve">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598F8" w14:textId="77777777" w:rsidR="009D2E4B" w:rsidRDefault="009D2E4B">
      <w:pPr>
        <w:spacing w:before="0" w:after="0"/>
      </w:pPr>
      <w:r>
        <w:separator/>
      </w:r>
    </w:p>
  </w:footnote>
  <w:footnote w:type="continuationSeparator" w:id="0">
    <w:p w14:paraId="5EE0A4A2" w14:textId="77777777" w:rsidR="009D2E4B" w:rsidRDefault="009D2E4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B9785" w14:textId="77777777" w:rsidR="000F345F" w:rsidRDefault="00000000">
    <w:pPr>
      <w:pBdr>
        <w:top w:val="nil"/>
        <w:left w:val="nil"/>
        <w:bottom w:val="nil"/>
        <w:right w:val="nil"/>
        <w:between w:val="nil"/>
      </w:pBdr>
      <w:tabs>
        <w:tab w:val="center" w:pos="4320"/>
        <w:tab w:val="right" w:pos="8640"/>
      </w:tabs>
      <w:spacing w:before="0" w:after="0" w:line="276" w:lineRule="auto"/>
      <w:rPr>
        <w:color w:val="000000"/>
        <w:szCs w:val="22"/>
      </w:rPr>
    </w:pPr>
    <w:r>
      <w:rPr>
        <w:noProof/>
      </w:rPr>
      <w:drawing>
        <wp:anchor distT="0" distB="0" distL="0" distR="0" simplePos="0" relativeHeight="251658240" behindDoc="1" locked="0" layoutInCell="1" hidden="0" allowOverlap="1" wp14:anchorId="7BA683AF" wp14:editId="3E16D400">
          <wp:simplePos x="0" y="0"/>
          <wp:positionH relativeFrom="column">
            <wp:posOffset>4305300</wp:posOffset>
          </wp:positionH>
          <wp:positionV relativeFrom="paragraph">
            <wp:posOffset>-238124</wp:posOffset>
          </wp:positionV>
          <wp:extent cx="1866900" cy="459422"/>
          <wp:effectExtent l="0" t="0" r="0" b="0"/>
          <wp:wrapNone/>
          <wp:docPr id="2"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1"/>
                  <a:srcRect/>
                  <a:stretch>
                    <a:fillRect/>
                  </a:stretch>
                </pic:blipFill>
                <pic:spPr>
                  <a:xfrm>
                    <a:off x="0" y="0"/>
                    <a:ext cx="1866900" cy="459422"/>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035E" w14:textId="77777777" w:rsidR="000F345F" w:rsidRDefault="00000000">
    <w:pPr>
      <w:rPr>
        <w:rFonts w:ascii="Arial" w:eastAsia="Arial" w:hAnsi="Arial" w:cs="Arial"/>
        <w:b/>
        <w:color w:val="000000"/>
        <w:sz w:val="20"/>
        <w:szCs w:val="20"/>
      </w:rPr>
    </w:pPr>
    <w:r>
      <w:rPr>
        <w:rFonts w:ascii="Arial" w:eastAsia="Arial" w:hAnsi="Arial" w:cs="Arial"/>
        <w:b/>
        <w:color w:val="000000"/>
        <w:sz w:val="20"/>
        <w:szCs w:val="20"/>
      </w:rPr>
      <w:t xml:space="preserve">This document is Dispute Resolution Policy and Procedures. </w:t>
    </w:r>
  </w:p>
  <w:p w14:paraId="41462AF4" w14:textId="77777777" w:rsidR="000F345F" w:rsidRDefault="00000000">
    <w:pPr>
      <w:pBdr>
        <w:top w:val="nil"/>
        <w:left w:val="nil"/>
        <w:bottom w:val="nil"/>
        <w:right w:val="nil"/>
        <w:between w:val="nil"/>
      </w:pBdr>
      <w:tabs>
        <w:tab w:val="center" w:pos="4320"/>
        <w:tab w:val="right" w:pos="8640"/>
      </w:tabs>
      <w:spacing w:before="0" w:after="0"/>
      <w:rPr>
        <w:color w:val="000000"/>
        <w:szCs w:val="22"/>
      </w:rPr>
    </w:pPr>
    <w:r>
      <w:rPr>
        <w:rFonts w:ascii="Arial" w:eastAsia="Arial" w:hAnsi="Arial" w:cs="Arial"/>
        <w:b/>
        <w:color w:val="000000"/>
        <w:sz w:val="20"/>
        <w:szCs w:val="20"/>
      </w:rPr>
      <w:t>It is part of the supporting assessment resources for Assessment Task 2 of BSBWRK510.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7468DB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B52D8D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B57B9"/>
    <w:multiLevelType w:val="hybridMultilevel"/>
    <w:tmpl w:val="2418310E"/>
    <w:lvl w:ilvl="0" w:tplc="514407B8">
      <w:start w:val="1"/>
      <w:numFmt w:val="bullet"/>
      <w:lvlText w:val="•"/>
      <w:lvlJc w:val="left"/>
      <w:pPr>
        <w:ind w:left="720" w:hanging="360"/>
      </w:pPr>
    </w:lvl>
    <w:lvl w:ilvl="1" w:tplc="7CD2E6D6">
      <w:numFmt w:val="decimal"/>
      <w:lvlText w:val=""/>
      <w:lvlJc w:val="left"/>
    </w:lvl>
    <w:lvl w:ilvl="2" w:tplc="4580B21A">
      <w:numFmt w:val="decimal"/>
      <w:lvlText w:val=""/>
      <w:lvlJc w:val="left"/>
    </w:lvl>
    <w:lvl w:ilvl="3" w:tplc="2B5A88A4">
      <w:numFmt w:val="decimal"/>
      <w:lvlText w:val=""/>
      <w:lvlJc w:val="left"/>
    </w:lvl>
    <w:lvl w:ilvl="4" w:tplc="82EE4498">
      <w:numFmt w:val="decimal"/>
      <w:lvlText w:val=""/>
      <w:lvlJc w:val="left"/>
    </w:lvl>
    <w:lvl w:ilvl="5" w:tplc="0CB027F2">
      <w:numFmt w:val="decimal"/>
      <w:lvlText w:val=""/>
      <w:lvlJc w:val="left"/>
    </w:lvl>
    <w:lvl w:ilvl="6" w:tplc="CC22C000">
      <w:numFmt w:val="decimal"/>
      <w:lvlText w:val=""/>
      <w:lvlJc w:val="left"/>
    </w:lvl>
    <w:lvl w:ilvl="7" w:tplc="4330F68A">
      <w:numFmt w:val="decimal"/>
      <w:lvlText w:val=""/>
      <w:lvlJc w:val="left"/>
    </w:lvl>
    <w:lvl w:ilvl="8" w:tplc="95428C72">
      <w:numFmt w:val="decimal"/>
      <w:lvlText w:val=""/>
      <w:lvlJc w:val="left"/>
    </w:lvl>
  </w:abstractNum>
  <w:abstractNum w:abstractNumId="3" w15:restartNumberingAfterBreak="0">
    <w:nsid w:val="058A382D"/>
    <w:multiLevelType w:val="multilevel"/>
    <w:tmpl w:val="B336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86089"/>
    <w:multiLevelType w:val="multilevel"/>
    <w:tmpl w:val="3E34C2F8"/>
    <w:lvl w:ilvl="0">
      <w:start w:val="1"/>
      <w:numFmt w:val="decimal"/>
      <w:pStyle w:val="Response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0BE746B"/>
    <w:multiLevelType w:val="hybridMultilevel"/>
    <w:tmpl w:val="37EA95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5C23A1"/>
    <w:multiLevelType w:val="multilevel"/>
    <w:tmpl w:val="20084F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61C6592"/>
    <w:multiLevelType w:val="hybridMultilevel"/>
    <w:tmpl w:val="3CAC0E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960974"/>
    <w:multiLevelType w:val="multilevel"/>
    <w:tmpl w:val="A2F6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14AA5"/>
    <w:multiLevelType w:val="hybridMultilevel"/>
    <w:tmpl w:val="9D16CC02"/>
    <w:lvl w:ilvl="0" w:tplc="1BA02FF8">
      <w:start w:val="1"/>
      <w:numFmt w:val="decimal"/>
      <w:lvlText w:val="%1."/>
      <w:lvlJc w:val="left"/>
      <w:pPr>
        <w:ind w:left="720" w:hanging="360"/>
      </w:pPr>
    </w:lvl>
    <w:lvl w:ilvl="1" w:tplc="AA364A70">
      <w:numFmt w:val="decimal"/>
      <w:lvlText w:val=""/>
      <w:lvlJc w:val="left"/>
    </w:lvl>
    <w:lvl w:ilvl="2" w:tplc="20B046E2">
      <w:numFmt w:val="decimal"/>
      <w:lvlText w:val=""/>
      <w:lvlJc w:val="left"/>
    </w:lvl>
    <w:lvl w:ilvl="3" w:tplc="D42630D6">
      <w:numFmt w:val="decimal"/>
      <w:lvlText w:val=""/>
      <w:lvlJc w:val="left"/>
    </w:lvl>
    <w:lvl w:ilvl="4" w:tplc="E5AA40C8">
      <w:numFmt w:val="decimal"/>
      <w:lvlText w:val=""/>
      <w:lvlJc w:val="left"/>
    </w:lvl>
    <w:lvl w:ilvl="5" w:tplc="A7B69564">
      <w:numFmt w:val="decimal"/>
      <w:lvlText w:val=""/>
      <w:lvlJc w:val="left"/>
    </w:lvl>
    <w:lvl w:ilvl="6" w:tplc="83A606F2">
      <w:numFmt w:val="decimal"/>
      <w:lvlText w:val=""/>
      <w:lvlJc w:val="left"/>
    </w:lvl>
    <w:lvl w:ilvl="7" w:tplc="CECAC344">
      <w:numFmt w:val="decimal"/>
      <w:lvlText w:val=""/>
      <w:lvlJc w:val="left"/>
    </w:lvl>
    <w:lvl w:ilvl="8" w:tplc="AC28F292">
      <w:numFmt w:val="decimal"/>
      <w:lvlText w:val=""/>
      <w:lvlJc w:val="left"/>
    </w:lvl>
  </w:abstractNum>
  <w:abstractNum w:abstractNumId="10" w15:restartNumberingAfterBreak="0">
    <w:nsid w:val="22740764"/>
    <w:multiLevelType w:val="hybridMultilevel"/>
    <w:tmpl w:val="D0887CD0"/>
    <w:lvl w:ilvl="0" w:tplc="6660FE56">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D83B9B"/>
    <w:multiLevelType w:val="multilevel"/>
    <w:tmpl w:val="CCA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53407"/>
    <w:multiLevelType w:val="multilevel"/>
    <w:tmpl w:val="54C453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4281B2A"/>
    <w:multiLevelType w:val="multilevel"/>
    <w:tmpl w:val="AB3455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7DD6289"/>
    <w:multiLevelType w:val="multilevel"/>
    <w:tmpl w:val="D01AEA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C1543D7"/>
    <w:multiLevelType w:val="multilevel"/>
    <w:tmpl w:val="A5C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A5E81"/>
    <w:multiLevelType w:val="multilevel"/>
    <w:tmpl w:val="7960BA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C312C66"/>
    <w:multiLevelType w:val="hybridMultilevel"/>
    <w:tmpl w:val="EE88888C"/>
    <w:lvl w:ilvl="0" w:tplc="6158DB84">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324C70"/>
    <w:multiLevelType w:val="multilevel"/>
    <w:tmpl w:val="721A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B7AB1"/>
    <w:multiLevelType w:val="hybridMultilevel"/>
    <w:tmpl w:val="3A5A0E4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11C70C9"/>
    <w:multiLevelType w:val="multilevel"/>
    <w:tmpl w:val="59BC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63E33"/>
    <w:multiLevelType w:val="hybridMultilevel"/>
    <w:tmpl w:val="E2FA1EEE"/>
    <w:lvl w:ilvl="0" w:tplc="F42E1EAE">
      <w:start w:val="1"/>
      <w:numFmt w:val="decimal"/>
      <w:lvlText w:val="%1."/>
      <w:lvlJc w:val="left"/>
      <w:pPr>
        <w:ind w:left="720" w:hanging="360"/>
      </w:pPr>
    </w:lvl>
    <w:lvl w:ilvl="1" w:tplc="7206B05C">
      <w:numFmt w:val="decimal"/>
      <w:lvlText w:val=""/>
      <w:lvlJc w:val="left"/>
    </w:lvl>
    <w:lvl w:ilvl="2" w:tplc="6D826C50">
      <w:numFmt w:val="decimal"/>
      <w:lvlText w:val=""/>
      <w:lvlJc w:val="left"/>
    </w:lvl>
    <w:lvl w:ilvl="3" w:tplc="91841556">
      <w:numFmt w:val="decimal"/>
      <w:lvlText w:val=""/>
      <w:lvlJc w:val="left"/>
    </w:lvl>
    <w:lvl w:ilvl="4" w:tplc="F574F6AA">
      <w:numFmt w:val="decimal"/>
      <w:lvlText w:val=""/>
      <w:lvlJc w:val="left"/>
    </w:lvl>
    <w:lvl w:ilvl="5" w:tplc="6498B7B4">
      <w:numFmt w:val="decimal"/>
      <w:lvlText w:val=""/>
      <w:lvlJc w:val="left"/>
    </w:lvl>
    <w:lvl w:ilvl="6" w:tplc="222A01E2">
      <w:numFmt w:val="decimal"/>
      <w:lvlText w:val=""/>
      <w:lvlJc w:val="left"/>
    </w:lvl>
    <w:lvl w:ilvl="7" w:tplc="8A22A3C8">
      <w:numFmt w:val="decimal"/>
      <w:lvlText w:val=""/>
      <w:lvlJc w:val="left"/>
    </w:lvl>
    <w:lvl w:ilvl="8" w:tplc="AD4266EA">
      <w:numFmt w:val="decimal"/>
      <w:lvlText w:val=""/>
      <w:lvlJc w:val="left"/>
    </w:lvl>
  </w:abstractNum>
  <w:abstractNum w:abstractNumId="22" w15:restartNumberingAfterBreak="0">
    <w:nsid w:val="5AD67BD0"/>
    <w:multiLevelType w:val="multilevel"/>
    <w:tmpl w:val="416C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458BE"/>
    <w:multiLevelType w:val="hybridMultilevel"/>
    <w:tmpl w:val="6F94EE70"/>
    <w:lvl w:ilvl="0" w:tplc="04906E46">
      <w:start w:val="1"/>
      <w:numFmt w:val="decimal"/>
      <w:lvlText w:val="%1."/>
      <w:lvlJc w:val="left"/>
      <w:pPr>
        <w:ind w:left="720" w:hanging="360"/>
      </w:pPr>
    </w:lvl>
    <w:lvl w:ilvl="1" w:tplc="F00EF852">
      <w:numFmt w:val="decimal"/>
      <w:lvlText w:val=""/>
      <w:lvlJc w:val="left"/>
    </w:lvl>
    <w:lvl w:ilvl="2" w:tplc="E7E615C0">
      <w:numFmt w:val="decimal"/>
      <w:lvlText w:val=""/>
      <w:lvlJc w:val="left"/>
    </w:lvl>
    <w:lvl w:ilvl="3" w:tplc="BA142C86">
      <w:numFmt w:val="decimal"/>
      <w:lvlText w:val=""/>
      <w:lvlJc w:val="left"/>
    </w:lvl>
    <w:lvl w:ilvl="4" w:tplc="8AF68376">
      <w:numFmt w:val="decimal"/>
      <w:lvlText w:val=""/>
      <w:lvlJc w:val="left"/>
    </w:lvl>
    <w:lvl w:ilvl="5" w:tplc="E3502136">
      <w:numFmt w:val="decimal"/>
      <w:lvlText w:val=""/>
      <w:lvlJc w:val="left"/>
    </w:lvl>
    <w:lvl w:ilvl="6" w:tplc="6EAE75F2">
      <w:numFmt w:val="decimal"/>
      <w:lvlText w:val=""/>
      <w:lvlJc w:val="left"/>
    </w:lvl>
    <w:lvl w:ilvl="7" w:tplc="64AED4F8">
      <w:numFmt w:val="decimal"/>
      <w:lvlText w:val=""/>
      <w:lvlJc w:val="left"/>
    </w:lvl>
    <w:lvl w:ilvl="8" w:tplc="EC4A8A4C">
      <w:numFmt w:val="decimal"/>
      <w:lvlText w:val=""/>
      <w:lvlJc w:val="left"/>
    </w:lvl>
  </w:abstractNum>
  <w:abstractNum w:abstractNumId="24" w15:restartNumberingAfterBreak="0">
    <w:nsid w:val="6695271D"/>
    <w:multiLevelType w:val="multilevel"/>
    <w:tmpl w:val="95FA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CB530E"/>
    <w:multiLevelType w:val="multilevel"/>
    <w:tmpl w:val="F2E037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AE8118B"/>
    <w:multiLevelType w:val="multilevel"/>
    <w:tmpl w:val="8F36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ED786A"/>
    <w:multiLevelType w:val="multilevel"/>
    <w:tmpl w:val="A7E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350504"/>
    <w:multiLevelType w:val="hybridMultilevel"/>
    <w:tmpl w:val="FEC68D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F4B3809"/>
    <w:multiLevelType w:val="hybridMultilevel"/>
    <w:tmpl w:val="B55C3D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1281442">
    <w:abstractNumId w:val="4"/>
  </w:num>
  <w:num w:numId="2" w16cid:durableId="15009972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5999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217444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725543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934094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320373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984803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64882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12431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156444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720369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68135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32775962">
    <w:abstractNumId w:val="22"/>
  </w:num>
  <w:num w:numId="15" w16cid:durableId="906300518">
    <w:abstractNumId w:val="15"/>
  </w:num>
  <w:num w:numId="16" w16cid:durableId="2094887994">
    <w:abstractNumId w:val="17"/>
  </w:num>
  <w:num w:numId="17" w16cid:durableId="1317031203">
    <w:abstractNumId w:val="3"/>
  </w:num>
  <w:num w:numId="18" w16cid:durableId="817384963">
    <w:abstractNumId w:val="8"/>
  </w:num>
  <w:num w:numId="19" w16cid:durableId="1927179974">
    <w:abstractNumId w:val="24"/>
  </w:num>
  <w:num w:numId="20" w16cid:durableId="1531382825">
    <w:abstractNumId w:val="10"/>
  </w:num>
  <w:num w:numId="21" w16cid:durableId="1088582015">
    <w:abstractNumId w:val="11"/>
  </w:num>
  <w:num w:numId="22" w16cid:durableId="928926916">
    <w:abstractNumId w:val="27"/>
  </w:num>
  <w:num w:numId="23" w16cid:durableId="31879488">
    <w:abstractNumId w:val="18"/>
  </w:num>
  <w:num w:numId="24" w16cid:durableId="700010710">
    <w:abstractNumId w:val="26"/>
  </w:num>
  <w:num w:numId="25" w16cid:durableId="647786377">
    <w:abstractNumId w:val="19"/>
  </w:num>
  <w:num w:numId="26" w16cid:durableId="197206117">
    <w:abstractNumId w:val="20"/>
  </w:num>
  <w:num w:numId="27" w16cid:durableId="1831555454">
    <w:abstractNumId w:val="7"/>
  </w:num>
  <w:num w:numId="28" w16cid:durableId="897519949">
    <w:abstractNumId w:val="14"/>
  </w:num>
  <w:num w:numId="29" w16cid:durableId="650330544">
    <w:abstractNumId w:val="25"/>
  </w:num>
  <w:num w:numId="30" w16cid:durableId="384530197">
    <w:abstractNumId w:val="12"/>
  </w:num>
  <w:num w:numId="31" w16cid:durableId="410665259">
    <w:abstractNumId w:val="13"/>
  </w:num>
  <w:num w:numId="32" w16cid:durableId="25301533">
    <w:abstractNumId w:val="16"/>
  </w:num>
  <w:num w:numId="33" w16cid:durableId="1524977771">
    <w:abstractNumId w:val="6"/>
  </w:num>
  <w:num w:numId="34" w16cid:durableId="179469410">
    <w:abstractNumId w:val="5"/>
  </w:num>
  <w:num w:numId="35" w16cid:durableId="2063939088">
    <w:abstractNumId w:val="2"/>
    <w:lvlOverride w:ilvl="0">
      <w:startOverride w:val="1"/>
    </w:lvlOverride>
  </w:num>
  <w:num w:numId="36" w16cid:durableId="1666281829">
    <w:abstractNumId w:val="28"/>
  </w:num>
  <w:num w:numId="37" w16cid:durableId="334574915">
    <w:abstractNumId w:val="23"/>
    <w:lvlOverride w:ilvl="0">
      <w:startOverride w:val="1"/>
    </w:lvlOverride>
  </w:num>
  <w:num w:numId="38" w16cid:durableId="831720794">
    <w:abstractNumId w:val="9"/>
    <w:lvlOverride w:ilvl="0">
      <w:startOverride w:val="1"/>
    </w:lvlOverride>
  </w:num>
  <w:num w:numId="39" w16cid:durableId="27728443">
    <w:abstractNumId w:val="21"/>
    <w:lvlOverride w:ilvl="0">
      <w:startOverride w:val="1"/>
    </w:lvlOverride>
  </w:num>
  <w:num w:numId="40" w16cid:durableId="715354885">
    <w:abstractNumId w:val="29"/>
  </w:num>
  <w:num w:numId="41" w16cid:durableId="50348635">
    <w:abstractNumId w:val="1"/>
  </w:num>
  <w:num w:numId="42" w16cid:durableId="137843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45F"/>
    <w:rsid w:val="000F345F"/>
    <w:rsid w:val="001A0B31"/>
    <w:rsid w:val="0020168F"/>
    <w:rsid w:val="002C1DCB"/>
    <w:rsid w:val="00340D4F"/>
    <w:rsid w:val="0038615D"/>
    <w:rsid w:val="0046173D"/>
    <w:rsid w:val="005B2380"/>
    <w:rsid w:val="005B5D5F"/>
    <w:rsid w:val="0062408F"/>
    <w:rsid w:val="00632B23"/>
    <w:rsid w:val="00650EFD"/>
    <w:rsid w:val="006E48DD"/>
    <w:rsid w:val="007217BE"/>
    <w:rsid w:val="0084643A"/>
    <w:rsid w:val="008C7D68"/>
    <w:rsid w:val="009809B8"/>
    <w:rsid w:val="009D2E4B"/>
    <w:rsid w:val="009D6A12"/>
    <w:rsid w:val="00BB36B9"/>
    <w:rsid w:val="00C60299"/>
    <w:rsid w:val="00D0240B"/>
    <w:rsid w:val="00D2369B"/>
    <w:rsid w:val="00EA1494"/>
    <w:rsid w:val="00FC03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E2D6C"/>
  <w15:docId w15:val="{B87F830E-9DA7-AC43-9D08-09D3E1D64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before="6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A7C"/>
    <w:rPr>
      <w:szCs w:val="24"/>
      <w:lang w:val="en-AU" w:eastAsia="en-US"/>
    </w:rPr>
  </w:style>
  <w:style w:type="paragraph" w:styleId="Heading1">
    <w:name w:val="heading 1"/>
    <w:basedOn w:val="Normal"/>
    <w:next w:val="Normal"/>
    <w:link w:val="Heading1Char"/>
    <w:uiPriority w:val="9"/>
    <w:qFormat/>
    <w:rsid w:val="00F102D7"/>
    <w:pPr>
      <w:spacing w:before="0" w:after="0"/>
      <w:outlineLvl w:val="0"/>
    </w:pPr>
    <w:rPr>
      <w:rFonts w:ascii="Arial" w:hAnsi="Arial" w:cs="Arial"/>
      <w:b/>
      <w:sz w:val="32"/>
      <w:szCs w:val="32"/>
    </w:rPr>
  </w:style>
  <w:style w:type="paragraph" w:styleId="Heading2">
    <w:name w:val="heading 2"/>
    <w:basedOn w:val="Normal"/>
    <w:next w:val="Normal"/>
    <w:link w:val="Heading2Char"/>
    <w:uiPriority w:val="9"/>
    <w:semiHidden/>
    <w:unhideWhenUsed/>
    <w:qFormat/>
    <w:rsid w:val="00F102D7"/>
    <w:pPr>
      <w:spacing w:before="0" w:after="0"/>
      <w:outlineLvl w:val="1"/>
    </w:pPr>
    <w:rPr>
      <w:rFonts w:ascii="Arial" w:hAnsi="Arial" w:cs="Arial"/>
      <w:b/>
      <w:sz w:val="28"/>
      <w:szCs w:val="28"/>
    </w:rPr>
  </w:style>
  <w:style w:type="paragraph" w:styleId="Heading3">
    <w:name w:val="heading 3"/>
    <w:basedOn w:val="Normal"/>
    <w:next w:val="Normal"/>
    <w:link w:val="Heading3Char"/>
    <w:uiPriority w:val="9"/>
    <w:semiHidden/>
    <w:unhideWhenUsed/>
    <w:qFormat/>
    <w:rsid w:val="00F102D7"/>
    <w:pPr>
      <w:spacing w:before="0" w:after="0"/>
      <w:outlineLvl w:val="2"/>
    </w:pPr>
    <w:rPr>
      <w:rFonts w:ascii="Arial" w:hAnsi="Arial" w:cs="Arial"/>
      <w:b/>
      <w:szCs w:val="22"/>
    </w:rPr>
  </w:style>
  <w:style w:type="paragraph" w:styleId="Heading4">
    <w:name w:val="heading 4"/>
    <w:basedOn w:val="Normal"/>
    <w:next w:val="Normal"/>
    <w:link w:val="Heading4Char"/>
    <w:uiPriority w:val="9"/>
    <w:semiHidden/>
    <w:unhideWhenUsed/>
    <w:qFormat/>
    <w:rsid w:val="009B2DFB"/>
    <w:pPr>
      <w:keepNext/>
      <w:keepLines/>
      <w:spacing w:before="120"/>
      <w:outlineLvl w:val="3"/>
    </w:pPr>
    <w:rPr>
      <w:rFonts w:eastAsia="MS Gothic"/>
      <w:b/>
      <w:bCs/>
      <w:i/>
      <w:iCs/>
      <w:sz w:val="26"/>
      <w:szCs w:val="26"/>
      <w:lang w:val="x-none" w:eastAsia="x-none"/>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Heading4Char">
    <w:name w:val="Heading 4 Char"/>
    <w:link w:val="Heading4"/>
    <w:uiPriority w:val="9"/>
    <w:semiHidden/>
    <w:rsid w:val="009B2DFB"/>
    <w:rPr>
      <w:rFonts w:ascii="Calibri" w:eastAsia="MS Gothic" w:hAnsi="Calibri" w:cs="Times New Roman"/>
      <w:b/>
      <w:bCs/>
      <w:i/>
      <w:iCs/>
      <w:sz w:val="26"/>
      <w:szCs w:val="26"/>
    </w:rPr>
  </w:style>
  <w:style w:type="character" w:customStyle="1" w:styleId="Heading3Char">
    <w:name w:val="Heading 3 Char"/>
    <w:link w:val="Heading3"/>
    <w:uiPriority w:val="9"/>
    <w:rsid w:val="00F102D7"/>
    <w:rPr>
      <w:rFonts w:ascii="Arial" w:hAnsi="Arial" w:cs="Arial"/>
      <w:b/>
      <w:sz w:val="22"/>
      <w:szCs w:val="22"/>
      <w:lang w:val="en-AU" w:eastAsia="en-US"/>
    </w:rPr>
  </w:style>
  <w:style w:type="character" w:customStyle="1" w:styleId="Heading2Char">
    <w:name w:val="Heading 2 Char"/>
    <w:link w:val="Heading2"/>
    <w:uiPriority w:val="9"/>
    <w:rsid w:val="00F102D7"/>
    <w:rPr>
      <w:rFonts w:ascii="Arial" w:hAnsi="Arial" w:cs="Arial"/>
      <w:b/>
      <w:sz w:val="28"/>
      <w:szCs w:val="28"/>
      <w:lang w:val="en-AU" w:eastAsia="en-US"/>
    </w:rPr>
  </w:style>
  <w:style w:type="character" w:customStyle="1" w:styleId="Heading1Char">
    <w:name w:val="Heading 1 Char"/>
    <w:link w:val="Heading1"/>
    <w:uiPriority w:val="9"/>
    <w:rsid w:val="00F102D7"/>
    <w:rPr>
      <w:rFonts w:ascii="Arial" w:hAnsi="Arial" w:cs="Arial"/>
      <w:b/>
      <w:sz w:val="32"/>
      <w:szCs w:val="32"/>
      <w:lang w:val="en-AU" w:eastAsia="en-US"/>
    </w:rPr>
  </w:style>
  <w:style w:type="paragraph" w:styleId="FootnoteText">
    <w:name w:val="footnote text"/>
    <w:basedOn w:val="Normal"/>
    <w:link w:val="FootnoteTextChar"/>
    <w:uiPriority w:val="99"/>
    <w:semiHidden/>
    <w:unhideWhenUsed/>
    <w:rsid w:val="009B2DFB"/>
    <w:pPr>
      <w:spacing w:before="40" w:after="40"/>
    </w:pPr>
    <w:rPr>
      <w:sz w:val="20"/>
      <w:szCs w:val="20"/>
      <w:lang w:val="x-none" w:eastAsia="x-none"/>
    </w:rPr>
  </w:style>
  <w:style w:type="character" w:customStyle="1" w:styleId="FootnoteTextChar">
    <w:name w:val="Footnote Text Char"/>
    <w:link w:val="FootnoteText"/>
    <w:uiPriority w:val="99"/>
    <w:semiHidden/>
    <w:rsid w:val="009B2DFB"/>
    <w:rPr>
      <w:rFonts w:ascii="Calibri" w:hAnsi="Calibri"/>
      <w:sz w:val="20"/>
    </w:rPr>
  </w:style>
  <w:style w:type="paragraph" w:styleId="Header">
    <w:name w:val="header"/>
    <w:basedOn w:val="Normal"/>
    <w:link w:val="HeaderChar"/>
    <w:uiPriority w:val="99"/>
    <w:unhideWhenUsed/>
    <w:rsid w:val="00BE6CC7"/>
    <w:pPr>
      <w:tabs>
        <w:tab w:val="center" w:pos="4320"/>
        <w:tab w:val="right" w:pos="8640"/>
      </w:tabs>
      <w:spacing w:before="0" w:after="0"/>
    </w:pPr>
  </w:style>
  <w:style w:type="character" w:customStyle="1" w:styleId="HeaderChar">
    <w:name w:val="Header Char"/>
    <w:basedOn w:val="DefaultParagraphFont"/>
    <w:link w:val="Header"/>
    <w:uiPriority w:val="99"/>
    <w:rsid w:val="00BE6CC7"/>
  </w:style>
  <w:style w:type="paragraph" w:styleId="Footer">
    <w:name w:val="footer"/>
    <w:basedOn w:val="Normal"/>
    <w:link w:val="FooterChar"/>
    <w:uiPriority w:val="99"/>
    <w:unhideWhenUsed/>
    <w:rsid w:val="00BE6CC7"/>
    <w:pPr>
      <w:tabs>
        <w:tab w:val="center" w:pos="4320"/>
        <w:tab w:val="right" w:pos="8640"/>
      </w:tabs>
      <w:spacing w:before="0" w:after="0"/>
    </w:pPr>
  </w:style>
  <w:style w:type="character" w:customStyle="1" w:styleId="FooterChar">
    <w:name w:val="Footer Char"/>
    <w:basedOn w:val="DefaultParagraphFont"/>
    <w:link w:val="Footer"/>
    <w:uiPriority w:val="99"/>
    <w:rsid w:val="00BE6CC7"/>
  </w:style>
  <w:style w:type="paragraph" w:styleId="BalloonText">
    <w:name w:val="Balloon Text"/>
    <w:basedOn w:val="Normal"/>
    <w:link w:val="BalloonTextChar"/>
    <w:uiPriority w:val="99"/>
    <w:semiHidden/>
    <w:unhideWhenUsed/>
    <w:rsid w:val="00BE6CC7"/>
    <w:pPr>
      <w:spacing w:before="0" w:after="0"/>
    </w:pPr>
    <w:rPr>
      <w:rFonts w:ascii="Lucida Grande" w:hAnsi="Lucida Grande"/>
      <w:sz w:val="18"/>
      <w:szCs w:val="18"/>
      <w:lang w:val="x-none" w:eastAsia="x-none"/>
    </w:rPr>
  </w:style>
  <w:style w:type="character" w:customStyle="1" w:styleId="BalloonTextChar">
    <w:name w:val="Balloon Text Char"/>
    <w:link w:val="BalloonText"/>
    <w:uiPriority w:val="99"/>
    <w:semiHidden/>
    <w:rsid w:val="00BE6CC7"/>
    <w:rPr>
      <w:rFonts w:ascii="Lucida Grande" w:hAnsi="Lucida Grande" w:cs="Lucida Grande"/>
      <w:sz w:val="18"/>
      <w:szCs w:val="18"/>
    </w:rPr>
  </w:style>
  <w:style w:type="table" w:styleId="TableGrid">
    <w:name w:val="Table Grid"/>
    <w:aliases w:val="ARA Table"/>
    <w:basedOn w:val="TableNormal"/>
    <w:uiPriority w:val="39"/>
    <w:rsid w:val="00E808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840DE1"/>
    <w:pPr>
      <w:ind w:left="720"/>
      <w:contextualSpacing/>
    </w:pPr>
  </w:style>
  <w:style w:type="character" w:styleId="Hyperlink">
    <w:name w:val="Hyperlink"/>
    <w:rsid w:val="00D55F0A"/>
    <w:rPr>
      <w:color w:val="0000FF"/>
      <w:u w:val="single"/>
    </w:rPr>
  </w:style>
  <w:style w:type="numbering" w:customStyle="1" w:styleId="StyleBulleted2">
    <w:name w:val="Style Bulleted2"/>
    <w:basedOn w:val="NoList"/>
    <w:rsid w:val="00F5171E"/>
  </w:style>
  <w:style w:type="paragraph" w:customStyle="1" w:styleId="RedNormal">
    <w:name w:val="Red Normal"/>
    <w:basedOn w:val="Normal"/>
    <w:autoRedefine/>
    <w:qFormat/>
    <w:rsid w:val="00C64E6B"/>
    <w:pPr>
      <w:spacing w:before="0" w:after="0" w:line="276" w:lineRule="auto"/>
    </w:pPr>
    <w:rPr>
      <w:rFonts w:ascii="Arial" w:eastAsia="Times New Roman" w:hAnsi="Arial" w:cs="Arial"/>
      <w:color w:val="FF0000"/>
      <w:szCs w:val="22"/>
      <w:lang w:eastAsia="en-AU"/>
    </w:rPr>
  </w:style>
  <w:style w:type="character" w:styleId="PageNumber">
    <w:name w:val="page number"/>
    <w:basedOn w:val="DefaultParagraphFont"/>
    <w:uiPriority w:val="99"/>
    <w:semiHidden/>
    <w:unhideWhenUsed/>
    <w:rsid w:val="00604D6E"/>
  </w:style>
  <w:style w:type="paragraph" w:customStyle="1" w:styleId="Tiny">
    <w:name w:val="Tiny"/>
    <w:basedOn w:val="Normal"/>
    <w:qFormat/>
    <w:rsid w:val="00F102D7"/>
    <w:pPr>
      <w:spacing w:before="0" w:after="0"/>
    </w:pPr>
    <w:rPr>
      <w:rFonts w:ascii="Arial" w:hAnsi="Arial" w:cs="Arial"/>
      <w:sz w:val="10"/>
      <w:szCs w:val="10"/>
    </w:rPr>
  </w:style>
  <w:style w:type="paragraph" w:customStyle="1" w:styleId="Responsebullets">
    <w:name w:val="Response bullets"/>
    <w:basedOn w:val="Normal"/>
    <w:autoRedefine/>
    <w:qFormat/>
    <w:rsid w:val="00F120E2"/>
    <w:pPr>
      <w:numPr>
        <w:numId w:val="13"/>
      </w:numPr>
      <w:spacing w:before="120" w:line="240" w:lineRule="exact"/>
      <w:ind w:right="-2"/>
      <w:outlineLvl w:val="6"/>
    </w:pPr>
    <w:rPr>
      <w:rFonts w:ascii="Arial" w:eastAsia="Times New Roman" w:hAnsi="Arial" w:cs="Kalinga"/>
      <w:color w:val="FF0000"/>
      <w:sz w:val="20"/>
      <w:szCs w:val="19"/>
      <w:lang w:eastAsia="en-AU"/>
    </w:rPr>
  </w:style>
  <w:style w:type="character" w:styleId="UnresolvedMention">
    <w:name w:val="Unresolved Mention"/>
    <w:basedOn w:val="DefaultParagraphFont"/>
    <w:uiPriority w:val="99"/>
    <w:semiHidden/>
    <w:unhideWhenUsed/>
    <w:rsid w:val="00F120E2"/>
    <w:rPr>
      <w:color w:val="605E5C"/>
      <w:shd w:val="clear" w:color="auto" w:fill="E1DFDD"/>
    </w:rPr>
  </w:style>
  <w:style w:type="paragraph" w:customStyle="1" w:styleId="RTOWorksHeading1">
    <w:name w:val="RTO Works Heading 1"/>
    <w:next w:val="RTOWorksBodyText"/>
    <w:qFormat/>
    <w:rsid w:val="00C35486"/>
    <w:pPr>
      <w:spacing w:before="360" w:line="276" w:lineRule="auto"/>
    </w:pPr>
    <w:rPr>
      <w:rFonts w:ascii="Arial" w:eastAsiaTheme="minorHAnsi" w:hAnsi="Arial" w:cs="Arial"/>
      <w:b/>
      <w:bCs/>
      <w:sz w:val="32"/>
      <w:szCs w:val="32"/>
      <w:lang w:val="en-AU" w:eastAsia="en-US"/>
    </w:rPr>
  </w:style>
  <w:style w:type="paragraph" w:customStyle="1" w:styleId="RTOWorksBodyText">
    <w:name w:val="RTO Works Body Text"/>
    <w:qFormat/>
    <w:rsid w:val="00C35486"/>
    <w:pPr>
      <w:spacing w:before="120" w:line="288" w:lineRule="auto"/>
    </w:pPr>
    <w:rPr>
      <w:rFonts w:ascii="Arial" w:eastAsiaTheme="minorHAnsi" w:hAnsi="Arial" w:cs="Arial"/>
      <w:lang w:val="en-AU" w:eastAsia="en-US"/>
    </w:rPr>
  </w:style>
  <w:style w:type="paragraph" w:customStyle="1" w:styleId="RTOWorksHeading2">
    <w:name w:val="RTO Works Heading 2"/>
    <w:next w:val="RTOWorksBodyText"/>
    <w:qFormat/>
    <w:rsid w:val="00C35486"/>
    <w:pPr>
      <w:spacing w:before="480" w:line="259" w:lineRule="auto"/>
    </w:pPr>
    <w:rPr>
      <w:rFonts w:ascii="Arial" w:eastAsiaTheme="minorHAnsi" w:hAnsi="Arial" w:cs="Arial"/>
      <w:b/>
      <w:bCs/>
      <w:sz w:val="28"/>
      <w:szCs w:val="28"/>
      <w:lang w:val="en-AU" w:eastAsia="en-US"/>
    </w:rPr>
  </w:style>
  <w:style w:type="paragraph" w:customStyle="1" w:styleId="RTOWorksHeading3">
    <w:name w:val="RTO Works Heading 3"/>
    <w:qFormat/>
    <w:rsid w:val="00C35486"/>
    <w:pPr>
      <w:spacing w:before="360" w:line="276" w:lineRule="auto"/>
    </w:pPr>
    <w:rPr>
      <w:rFonts w:ascii="Arial" w:eastAsiaTheme="minorHAnsi" w:hAnsi="Arial" w:cs="Arial"/>
      <w:b/>
      <w:bCs/>
      <w:sz w:val="24"/>
      <w:szCs w:val="24"/>
      <w:lang w:val="en-AU" w:eastAsia="en-US"/>
    </w:rPr>
  </w:style>
  <w:style w:type="paragraph" w:customStyle="1" w:styleId="RTOWorksNumbers">
    <w:name w:val="RTO Works Numbers"/>
    <w:qFormat/>
    <w:rsid w:val="00C35486"/>
    <w:pPr>
      <w:tabs>
        <w:tab w:val="num" w:pos="720"/>
      </w:tabs>
      <w:spacing w:before="120" w:line="276" w:lineRule="auto"/>
      <w:ind w:left="720" w:hanging="720"/>
    </w:pPr>
    <w:rPr>
      <w:rFonts w:ascii="Arial" w:eastAsiaTheme="minorHAnsi" w:hAnsi="Arial" w:cs="Arial"/>
      <w:lang w:val="en-AU" w:eastAsia="en-US"/>
    </w:rPr>
  </w:style>
  <w:style w:type="paragraph" w:customStyle="1" w:styleId="RTOWorksBullet1">
    <w:name w:val="RTO Works Bullet 1"/>
    <w:qFormat/>
    <w:rsid w:val="00C35486"/>
    <w:pPr>
      <w:tabs>
        <w:tab w:val="num" w:pos="720"/>
      </w:tabs>
      <w:spacing w:before="120" w:line="288" w:lineRule="auto"/>
      <w:ind w:left="720" w:hanging="720"/>
    </w:pPr>
    <w:rPr>
      <w:rFonts w:ascii="Arial" w:eastAsiaTheme="minorHAnsi" w:hAnsi="Arial" w:cs="Arial"/>
      <w:lang w:val="en-AU" w:eastAsia="en-US"/>
    </w:rPr>
  </w:style>
  <w:style w:type="paragraph" w:customStyle="1" w:styleId="RTOWorksAssessorGuidance">
    <w:name w:val="RTO Works Assessor Guidance"/>
    <w:qFormat/>
    <w:rsid w:val="00C35486"/>
    <w:pPr>
      <w:spacing w:before="120" w:line="288" w:lineRule="auto"/>
    </w:pPr>
    <w:rPr>
      <w:rFonts w:ascii="Arial" w:eastAsiaTheme="minorHAnsi" w:hAnsi="Arial" w:cs="Arial"/>
      <w:color w:val="FF0000"/>
      <w:lang w:val="en-AU" w:eastAsia="en-US"/>
    </w:rPr>
  </w:style>
  <w:style w:type="paragraph" w:customStyle="1" w:styleId="RTOWorksAssessorGuidanceIndented">
    <w:name w:val="RTO Works Assessor Guidance Indented"/>
    <w:qFormat/>
    <w:rsid w:val="00C35486"/>
    <w:pPr>
      <w:spacing w:before="120" w:line="288" w:lineRule="auto"/>
      <w:ind w:left="425"/>
    </w:pPr>
    <w:rPr>
      <w:rFonts w:ascii="Arial" w:eastAsiaTheme="minorHAnsi" w:hAnsi="Arial" w:cs="Arial"/>
      <w:color w:val="FF0000"/>
      <w:lang w:val="en-AU" w:eastAsia="en-US"/>
    </w:rPr>
  </w:style>
  <w:style w:type="paragraph" w:customStyle="1" w:styleId="RTOWorksBullet2">
    <w:name w:val="RTO Works Bullet 2"/>
    <w:qFormat/>
    <w:rsid w:val="00C35486"/>
    <w:pPr>
      <w:tabs>
        <w:tab w:val="num" w:pos="720"/>
      </w:tabs>
      <w:spacing w:before="120" w:line="288" w:lineRule="auto"/>
      <w:ind w:left="850" w:hanging="425"/>
    </w:pPr>
    <w:rPr>
      <w:rFonts w:ascii="Arial" w:eastAsiaTheme="minorHAnsi" w:hAnsi="Arial" w:cs="Arial"/>
      <w:lang w:val="en-AU" w:eastAsia="en-US"/>
    </w:rPr>
  </w:style>
  <w:style w:type="paragraph" w:customStyle="1" w:styleId="RTOWorksBullet3">
    <w:name w:val="RTO Works Bullet 3"/>
    <w:basedOn w:val="Normal"/>
    <w:qFormat/>
    <w:rsid w:val="00C35486"/>
    <w:pPr>
      <w:tabs>
        <w:tab w:val="num" w:pos="720"/>
      </w:tabs>
      <w:spacing w:before="120" w:line="288" w:lineRule="auto"/>
      <w:ind w:left="1276" w:hanging="425"/>
    </w:pPr>
    <w:rPr>
      <w:rFonts w:ascii="Arial" w:eastAsiaTheme="minorHAnsi" w:hAnsi="Arial" w:cs="Arial"/>
      <w:sz w:val="20"/>
      <w:szCs w:val="20"/>
    </w:rPr>
  </w:style>
  <w:style w:type="paragraph" w:customStyle="1" w:styleId="RTOWorksAssessorGuidanceBullet1">
    <w:name w:val="RTO Works Assessor Guidance Bullet 1"/>
    <w:qFormat/>
    <w:rsid w:val="00C35486"/>
    <w:pPr>
      <w:tabs>
        <w:tab w:val="num" w:pos="720"/>
      </w:tabs>
      <w:spacing w:before="120" w:line="288" w:lineRule="auto"/>
      <w:ind w:left="720" w:hanging="720"/>
    </w:pPr>
    <w:rPr>
      <w:rFonts w:ascii="Arial" w:eastAsiaTheme="minorHAnsi" w:hAnsi="Arial" w:cs="Arial"/>
      <w:color w:val="FF0000"/>
      <w:lang w:val="en-AU" w:eastAsia="en-US"/>
    </w:rPr>
  </w:style>
  <w:style w:type="paragraph" w:customStyle="1" w:styleId="RTOWorksAssessorGuidanceBullet2">
    <w:name w:val="RTO Works Assessor Guidance Bullet 2"/>
    <w:qFormat/>
    <w:rsid w:val="00C35486"/>
    <w:pPr>
      <w:tabs>
        <w:tab w:val="num" w:pos="720"/>
      </w:tabs>
      <w:spacing w:before="120" w:line="288" w:lineRule="auto"/>
      <w:ind w:left="850" w:hanging="425"/>
    </w:pPr>
    <w:rPr>
      <w:rFonts w:ascii="Arial" w:eastAsiaTheme="minorHAnsi" w:hAnsi="Arial" w:cs="Arial"/>
      <w:color w:val="FF0000"/>
      <w:lang w:val="en-AU" w:eastAsia="en-US"/>
    </w:rPr>
  </w:style>
  <w:style w:type="paragraph" w:customStyle="1" w:styleId="RTOWorksAssessorGuidanceBulletInd1">
    <w:name w:val="RTO Works Assessor Guidance Bullet Ind 1"/>
    <w:qFormat/>
    <w:rsid w:val="00C35486"/>
    <w:pPr>
      <w:tabs>
        <w:tab w:val="num" w:pos="720"/>
      </w:tabs>
      <w:spacing w:before="120" w:line="288" w:lineRule="auto"/>
      <w:ind w:left="720" w:hanging="720"/>
    </w:pPr>
    <w:rPr>
      <w:rFonts w:ascii="Arial" w:eastAsiaTheme="minorHAnsi" w:hAnsi="Arial" w:cs="Arial"/>
      <w:color w:val="FF0000"/>
      <w:lang w:val="en-AU" w:eastAsia="en-US"/>
    </w:rPr>
  </w:style>
  <w:style w:type="paragraph" w:customStyle="1" w:styleId="RTOWorksAssessorGuidanceBulletInd2">
    <w:name w:val="RTO Works Assessor Guidance Bullet Ind 2"/>
    <w:qFormat/>
    <w:rsid w:val="00C35486"/>
    <w:pPr>
      <w:tabs>
        <w:tab w:val="num" w:pos="720"/>
      </w:tabs>
      <w:spacing w:before="120" w:line="288" w:lineRule="auto"/>
      <w:ind w:left="1276" w:hanging="425"/>
    </w:pPr>
    <w:rPr>
      <w:rFonts w:ascii="Arial" w:eastAsiaTheme="minorHAnsi" w:hAnsi="Arial" w:cs="Arial"/>
      <w:color w:val="FF0000"/>
      <w:lang w:val="en-AU" w:eastAsia="en-US"/>
    </w:rPr>
  </w:style>
  <w:style w:type="paragraph" w:customStyle="1" w:styleId="RTOWorksBodyTextIndent">
    <w:name w:val="RTO Works Body Text Indent"/>
    <w:qFormat/>
    <w:rsid w:val="00C35486"/>
    <w:pPr>
      <w:spacing w:before="120" w:line="288" w:lineRule="auto"/>
      <w:ind w:left="425"/>
    </w:pPr>
    <w:rPr>
      <w:rFonts w:ascii="Arial" w:eastAsiaTheme="minorHAnsi" w:hAnsi="Arial" w:cs="Arial"/>
      <w:lang w:val="en-AU" w:eastAsia="en-US"/>
    </w:rPr>
  </w:style>
  <w:style w:type="paragraph" w:customStyle="1" w:styleId="RTOWorksBulletInd1">
    <w:name w:val="RTO Works Bullet Ind 1"/>
    <w:qFormat/>
    <w:rsid w:val="00C35486"/>
    <w:pPr>
      <w:tabs>
        <w:tab w:val="num" w:pos="720"/>
      </w:tabs>
      <w:spacing w:before="120" w:line="288" w:lineRule="auto"/>
      <w:ind w:left="850" w:hanging="425"/>
    </w:pPr>
    <w:rPr>
      <w:rFonts w:ascii="Arial" w:eastAsiaTheme="minorHAnsi" w:hAnsi="Arial" w:cstheme="minorBidi"/>
      <w:lang w:val="en-AU" w:eastAsia="en-US"/>
    </w:rPr>
  </w:style>
  <w:style w:type="paragraph" w:customStyle="1" w:styleId="RTOWorksBulletInd2">
    <w:name w:val="RTO Works Bullet Ind 2"/>
    <w:qFormat/>
    <w:rsid w:val="00C35486"/>
    <w:pPr>
      <w:tabs>
        <w:tab w:val="num" w:pos="720"/>
      </w:tabs>
      <w:spacing w:before="120" w:line="288" w:lineRule="auto"/>
      <w:ind w:left="1276" w:hanging="425"/>
    </w:pPr>
    <w:rPr>
      <w:rFonts w:ascii="Arial" w:eastAsiaTheme="minorHAnsi" w:hAnsi="Arial" w:cs="Arial"/>
      <w:lang w:val="en-AU" w:eastAsia="en-US"/>
    </w:rPr>
  </w:style>
  <w:style w:type="paragraph" w:customStyle="1" w:styleId="RTOWorksBulletInd3">
    <w:name w:val="RTO Works Bullet Ind 3"/>
    <w:qFormat/>
    <w:rsid w:val="00C35486"/>
    <w:pPr>
      <w:tabs>
        <w:tab w:val="num" w:pos="720"/>
      </w:tabs>
      <w:spacing w:before="120" w:line="288" w:lineRule="auto"/>
      <w:ind w:left="1701" w:hanging="425"/>
    </w:pPr>
    <w:rPr>
      <w:rFonts w:ascii="Arial" w:eastAsiaTheme="minorHAnsi" w:hAnsi="Arial" w:cs="Arial"/>
      <w:lang w:val="en-AU" w:eastAsia="en-US"/>
    </w:rPr>
  </w:style>
  <w:style w:type="numbering" w:customStyle="1" w:styleId="AssessorGuidanceBulletIndent">
    <w:name w:val="Assessor Guidance Bullet Indent"/>
    <w:uiPriority w:val="99"/>
    <w:rsid w:val="00C3548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right w:w="0" w:type="dxa"/>
      </w:tblCellMar>
    </w:tblPr>
  </w:style>
  <w:style w:type="paragraph" w:styleId="ListParagraph">
    <w:name w:val="List Paragraph"/>
    <w:basedOn w:val="Normal"/>
    <w:uiPriority w:val="34"/>
    <w:qFormat/>
    <w:rsid w:val="0046173D"/>
    <w:pPr>
      <w:ind w:left="720"/>
      <w:contextualSpacing/>
    </w:pPr>
  </w:style>
  <w:style w:type="paragraph" w:styleId="NormalWeb">
    <w:name w:val="Normal (Web)"/>
    <w:basedOn w:val="Normal"/>
    <w:uiPriority w:val="99"/>
    <w:semiHidden/>
    <w:unhideWhenUsed/>
    <w:rsid w:val="00650EFD"/>
    <w:pPr>
      <w:spacing w:before="100" w:beforeAutospacing="1" w:after="100" w:afterAutospacing="1"/>
    </w:pPr>
    <w:rPr>
      <w:rFonts w:ascii="Times New Roman" w:eastAsia="Times New Roman" w:hAnsi="Times New Roman" w:cs="Times New Roman"/>
      <w:sz w:val="24"/>
      <w:lang w:eastAsia="en-GB"/>
    </w:rPr>
  </w:style>
  <w:style w:type="table" w:styleId="PlainTable1">
    <w:name w:val="Plain Table 1"/>
    <w:basedOn w:val="TableNormal"/>
    <w:uiPriority w:val="41"/>
    <w:rsid w:val="00FC03F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FC03F4"/>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Bullet">
    <w:name w:val="List Bullet"/>
    <w:basedOn w:val="Normal"/>
    <w:uiPriority w:val="99"/>
    <w:unhideWhenUsed/>
    <w:rsid w:val="008C7D68"/>
    <w:pPr>
      <w:numPr>
        <w:numId w:val="41"/>
      </w:numPr>
      <w:tabs>
        <w:tab w:val="clear" w:pos="360"/>
      </w:tabs>
      <w:spacing w:before="0" w:after="200" w:line="276" w:lineRule="auto"/>
      <w:contextualSpacing/>
    </w:pPr>
    <w:rPr>
      <w:rFonts w:eastAsiaTheme="minorEastAsia" w:cstheme="minorBidi"/>
      <w:szCs w:val="22"/>
      <w:lang w:val="en-US"/>
    </w:rPr>
  </w:style>
  <w:style w:type="paragraph" w:styleId="ListNumber">
    <w:name w:val="List Number"/>
    <w:basedOn w:val="Normal"/>
    <w:uiPriority w:val="99"/>
    <w:unhideWhenUsed/>
    <w:rsid w:val="008C7D68"/>
    <w:pPr>
      <w:numPr>
        <w:numId w:val="42"/>
      </w:numPr>
      <w:tabs>
        <w:tab w:val="clear" w:pos="360"/>
      </w:tabs>
      <w:spacing w:before="0" w:after="200" w:line="276" w:lineRule="auto"/>
      <w:ind w:left="0" w:firstLine="0"/>
      <w:contextualSpacing/>
    </w:pPr>
    <w:rPr>
      <w:rFonts w:eastAsiaTheme="minorEastAsia" w:cstheme="minorBidi"/>
      <w:szCs w:val="22"/>
      <w:lang w:val="en-US"/>
    </w:rPr>
  </w:style>
  <w:style w:type="character" w:styleId="Strong">
    <w:name w:val="Strong"/>
    <w:basedOn w:val="DefaultParagraphFont"/>
    <w:uiPriority w:val="22"/>
    <w:qFormat/>
    <w:rsid w:val="006E48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qriS0LtqZT5/oiXUBkt06ehIsg==">CgMxLjA4AHIhMTdxR0k2MWpRVU5SVjljdnhiaUxSOW9zN3JNWTVpamND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3312</Words>
  <Characters>18550</Characters>
  <Application>Microsoft Office Word</Application>
  <DocSecurity>0</DocSecurity>
  <Lines>463</Lines>
  <Paragraphs>245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mpz</dc:creator>
  <cp:keywords/>
  <dc:description/>
  <cp:lastModifiedBy>Manuel Perez</cp:lastModifiedBy>
  <cp:revision>12</cp:revision>
  <dcterms:created xsi:type="dcterms:W3CDTF">2018-06-13T00:26:00Z</dcterms:created>
  <dcterms:modified xsi:type="dcterms:W3CDTF">2026-06-07T13:16:00Z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0x01010055C80B126816A9409F2C6B4A1A06B318</vt:lpwstr>
  </property>
  <property fmtid="{D5CDD505-2E9C-101B-9397-08002B2CF9AE}" pid="3" name="Order">
    <vt:i4>30747900</vt:i4>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