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6AA0A" w14:textId="77777777" w:rsidR="000B1A14" w:rsidRPr="000B1A14" w:rsidRDefault="000B1A14" w:rsidP="000B1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COASTAL AIRCRAFT MAINTENANCE</w:t>
      </w:r>
    </w:p>
    <w:p w14:paraId="230607B1" w14:textId="77777777" w:rsidR="000B1A14" w:rsidRPr="000B1A14" w:rsidRDefault="000B1A14" w:rsidP="000B1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PDK Hangar Acquisition – Financial Overview</w:t>
      </w:r>
    </w:p>
    <w:p w14:paraId="3961E4C6" w14:textId="77777777" w:rsidR="000B1A14" w:rsidRPr="000B1A14" w:rsidRDefault="004254BF" w:rsidP="000B1A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30216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B9240BD" w14:textId="77777777" w:rsidR="000B1A14" w:rsidRPr="000B1A14" w:rsidRDefault="000B1A14" w:rsidP="000B1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</w:t>
      </w:r>
      <w:r w:rsidRPr="000B1A14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B1A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HISTORICAL PERFORMANCE (ACTUALS)</w:t>
      </w:r>
    </w:p>
    <w:p w14:paraId="34CA976F" w14:textId="77777777" w:rsidR="000B1A14" w:rsidRPr="000B1A14" w:rsidRDefault="000B1A14" w:rsidP="000B1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2023 Actual </w:t>
      </w:r>
    </w:p>
    <w:p w14:paraId="5B205211" w14:textId="77777777" w:rsidR="000B1A14" w:rsidRPr="000B1A14" w:rsidRDefault="000B1A14" w:rsidP="000B1A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2023 ProfitandLossbyClass-6</w:t>
      </w:r>
    </w:p>
    <w:p w14:paraId="01F940BA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Revenue: $3,084,238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Cost of Goods Sold: $1,678,436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Gross Profit: $1,405,802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Operating Expenses: $1,212,990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Net Income: $192,812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Gross Margin: 45.5%</w:t>
      </w:r>
    </w:p>
    <w:p w14:paraId="5234DE49" w14:textId="77777777" w:rsidR="000B1A14" w:rsidRPr="000B1A14" w:rsidRDefault="004254BF" w:rsidP="000B1A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64230F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14071A2" w14:textId="77777777" w:rsidR="000B1A14" w:rsidRPr="000B1A14" w:rsidRDefault="000B1A14" w:rsidP="000B1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2024 Actual </w:t>
      </w:r>
    </w:p>
    <w:p w14:paraId="30543FE6" w14:textId="77777777" w:rsidR="000B1A14" w:rsidRPr="000B1A14" w:rsidRDefault="000B1A14" w:rsidP="000B1A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2024 ProfitandLossbyClass-5</w:t>
      </w:r>
    </w:p>
    <w:p w14:paraId="2B24318C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Revenue: $4,773,972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Cost of Goods Sold: $3,131,972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Gross Profit: $1,642,000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Operating Expenses: $1,173,871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Net Income: $468,129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Gross Margin: 34.4%</w:t>
      </w:r>
    </w:p>
    <w:p w14:paraId="268D9D48" w14:textId="77777777" w:rsidR="000B1A14" w:rsidRPr="000B1A14" w:rsidRDefault="004254BF" w:rsidP="000B1A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A0AD2B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1D78955" w14:textId="77777777" w:rsidR="000B1A14" w:rsidRPr="000B1A14" w:rsidRDefault="000B1A14" w:rsidP="000B1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2025 Actual </w:t>
      </w:r>
    </w:p>
    <w:p w14:paraId="64BC41DE" w14:textId="77777777" w:rsidR="000B1A14" w:rsidRPr="000B1A14" w:rsidRDefault="000B1A14" w:rsidP="000B1A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2025 ProfitandLossbyClass-4</w:t>
      </w:r>
    </w:p>
    <w:p w14:paraId="2537C023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Revenue: $2,740,675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Cost of Goods Sold: $1,673,061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Gross Profit: $1,067,614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Operating Expenses: $983,338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Net Income: $84,276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Gross Margin: 39.0%</w:t>
      </w:r>
    </w:p>
    <w:p w14:paraId="66D2B410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Note: PDK operations began in 2025.</w:t>
      </w:r>
    </w:p>
    <w:p w14:paraId="3C52B03D" w14:textId="77777777" w:rsidR="000B1A14" w:rsidRPr="000B1A14" w:rsidRDefault="004254BF" w:rsidP="000B1A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45BA76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B3FF99D" w14:textId="77777777" w:rsidR="000B1A14" w:rsidRPr="000B1A14" w:rsidRDefault="000B1A14" w:rsidP="000B1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</w:t>
      </w:r>
      <w:r w:rsidRPr="000B1A14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B1A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BASE CASE PRO FORMA (Underwritten Model)</w:t>
      </w:r>
    </w:p>
    <w:p w14:paraId="7057D3A0" w14:textId="77777777" w:rsidR="000B1A14" w:rsidRPr="000B1A14" w:rsidRDefault="000B1A14" w:rsidP="000B1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Core Assumptions</w:t>
      </w:r>
    </w:p>
    <w:p w14:paraId="745E87EC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12 technicians immediately post-merger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20 technicians by Jan 2027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3:1 direct-to-indirect staffing ratio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35% service gross margin (supported by 2023–2025 history)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Hangarage revenue baseline: $500,000 annually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Fuel revenue modeled conservatively at 12% margin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No second shift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No pricing increases</w:t>
      </w:r>
    </w:p>
    <w:p w14:paraId="69917107" w14:textId="77777777" w:rsidR="000B1A14" w:rsidRPr="000B1A14" w:rsidRDefault="004254BF" w:rsidP="000B1A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8C3B30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BAA02F8" w14:textId="77777777" w:rsidR="000B1A14" w:rsidRPr="000B1A14" w:rsidRDefault="000B1A14" w:rsidP="000B1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2026P – 12 Tech Platform (Stabilized)</w:t>
      </w:r>
    </w:p>
    <w:p w14:paraId="1440AD60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 Revenue: $4,500,000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Hangarage Revenue: $500,000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Fuel Revenue (conservative placeholder): $750,000</w:t>
      </w:r>
    </w:p>
    <w:p w14:paraId="10480815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 Revenue: $5,750,000</w:t>
      </w:r>
    </w:p>
    <w:p w14:paraId="366AB6B1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COGS (65% service, 88% fuel blended):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Service COGS: $2,925,000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Fuel COGS: $660,000</w:t>
      </w:r>
    </w:p>
    <w:p w14:paraId="36EF6C75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COGS: $3,585,000</w:t>
      </w:r>
    </w:p>
    <w:p w14:paraId="1A209B46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Gross Profit: $2,165,000</w:t>
      </w:r>
    </w:p>
    <w:p w14:paraId="6FF18CF1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Operating Expenses: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Indirect Payroll (4 staff): $500,000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Facility + Utilities: $350,000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Admin + Compliance: $250,000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Misc Overhead: $200,000</w:t>
      </w:r>
    </w:p>
    <w:p w14:paraId="20B8E274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Operating Expenses: $1,300,000</w:t>
      </w:r>
    </w:p>
    <w:p w14:paraId="6FD43B01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EBITDA: $865,000</w:t>
      </w:r>
    </w:p>
    <w:p w14:paraId="3BE87E6A" w14:textId="77777777" w:rsidR="000B1A14" w:rsidRPr="000B1A14" w:rsidRDefault="004254BF" w:rsidP="000B1A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1B3E3B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146754F" w14:textId="77777777" w:rsidR="000B1A14" w:rsidRPr="000B1A14" w:rsidRDefault="000B1A14" w:rsidP="000B1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2027P – 20 Tech Target</w:t>
      </w:r>
    </w:p>
    <w:p w14:paraId="670F3881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 Revenue: $6,300,000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Hangarage Revenue: $500,000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Fuel Revenue: $1,000,000</w:t>
      </w:r>
    </w:p>
    <w:p w14:paraId="4DF7A0C7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 Revenue: $7,800,000</w:t>
      </w:r>
    </w:p>
    <w:p w14:paraId="2FDFCC0F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COGS: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Service (65%): $4,095,000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Fuel (88%): $880,000</w:t>
      </w:r>
    </w:p>
    <w:p w14:paraId="37A42627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COGS: $4,975,000</w:t>
      </w:r>
    </w:p>
    <w:p w14:paraId="2F5883AE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Gross Profit: $2,825,000</w:t>
      </w:r>
    </w:p>
    <w:p w14:paraId="71C0780F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Operating Expenses: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Indirect Payroll (6–7 staff): $850,000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Facility + Utilities: $450,000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Admin + Compliance: $300,000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Other Overhead: $250,000</w:t>
      </w:r>
    </w:p>
    <w:p w14:paraId="7FCACD15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Operating Expenses: $1,850,000</w:t>
      </w:r>
    </w:p>
    <w:p w14:paraId="222AA594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EBITDA: $975,000</w:t>
      </w:r>
    </w:p>
    <w:p w14:paraId="591ED77C" w14:textId="77777777" w:rsidR="000B1A14" w:rsidRPr="000B1A14" w:rsidRDefault="004254BF" w:rsidP="000B1A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6BB5BF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F3D9D25" w14:textId="77777777" w:rsidR="000B1A14" w:rsidRPr="000B1A14" w:rsidRDefault="000B1A14" w:rsidP="000B1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2028P – Stabilized Operations</w:t>
      </w:r>
    </w:p>
    <w:p w14:paraId="49C259E6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 Revenue: $7,000,000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Hangarage Revenue: $500,000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Fuel Revenue: $1,200,000</w:t>
      </w:r>
    </w:p>
    <w:p w14:paraId="3FFFB501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 Revenue: $8,700,000</w:t>
      </w:r>
    </w:p>
    <w:p w14:paraId="4FCFC925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COGS (63% service efficiency + fuel):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Service COGS: $4,410,000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Fuel COGS: $1,056,000</w:t>
      </w:r>
    </w:p>
    <w:p w14:paraId="71646BDA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COGS: $5,466,000</w:t>
      </w:r>
    </w:p>
    <w:p w14:paraId="348A7B1D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Gross Profit: $3,234,000</w:t>
      </w:r>
    </w:p>
    <w:p w14:paraId="3FA1D72F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Operating Expenses: $2,000,000</w:t>
      </w:r>
    </w:p>
    <w:p w14:paraId="3EC90323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EBITDA: $1,234,000</w:t>
      </w:r>
    </w:p>
    <w:p w14:paraId="408A201E" w14:textId="77777777" w:rsidR="000B1A14" w:rsidRPr="000B1A14" w:rsidRDefault="004254BF" w:rsidP="000B1A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95C5EF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DFF06E7" w14:textId="77777777" w:rsidR="000B1A14" w:rsidRPr="000B1A14" w:rsidRDefault="000B1A14" w:rsidP="000B1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</w:t>
      </w:r>
      <w:r w:rsidRPr="000B1A14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B1A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CAPITAL STRUCTURE COMPARISON</w:t>
      </w:r>
    </w:p>
    <w:p w14:paraId="0BB883E5" w14:textId="77777777" w:rsidR="000B1A14" w:rsidRPr="000B1A14" w:rsidRDefault="000B1A14" w:rsidP="000B1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Option A – Seller Financing</w:t>
      </w:r>
    </w:p>
    <w:p w14:paraId="40A88F9B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$96,000/month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Annual Payment: $1,152,000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Term: 4 years</w:t>
      </w:r>
    </w:p>
    <w:p w14:paraId="1D99F59E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2027 EBITDA: $975,000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Debt Coverage ≈ 0.85x (tight during ramp)</w:t>
      </w:r>
    </w:p>
    <w:p w14:paraId="36706CBD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Becomes stronger by 2028.</w:t>
      </w:r>
    </w:p>
    <w:p w14:paraId="12086D4C" w14:textId="77777777" w:rsidR="000B1A14" w:rsidRPr="000B1A14" w:rsidRDefault="004254BF" w:rsidP="000B1A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338975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855BFE5" w14:textId="77777777" w:rsidR="000B1A14" w:rsidRPr="000B1A14" w:rsidRDefault="000B1A14" w:rsidP="000B1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Option B – Cash Purchase</w:t>
      </w:r>
    </w:p>
    <w:p w14:paraId="3CAF9260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annual debt obligation.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Full EBITDA retained.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Significantly stronger balance sheet optics.</w:t>
      </w:r>
    </w:p>
    <w:p w14:paraId="368F5314" w14:textId="77777777" w:rsidR="000B1A14" w:rsidRPr="000B1A14" w:rsidRDefault="004254BF" w:rsidP="000B1A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3B0C93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372F6D1" w14:textId="77777777" w:rsidR="000B1A14" w:rsidRPr="000B1A14" w:rsidRDefault="000B1A14" w:rsidP="000B1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</w:t>
      </w:r>
      <w:r w:rsidRPr="000B1A14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B1A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MANAGEMENT UPSIDE CASE</w:t>
      </w:r>
    </w:p>
    <w:p w14:paraId="5C736D84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base underwriting — operational upside.</w:t>
      </w:r>
    </w:p>
    <w:p w14:paraId="533D46A1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Assumptions:</w:t>
      </w:r>
    </w:p>
    <w:p w14:paraId="70CB7AFB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• Technician productivity increases 8–10%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Fuel throughput increases 15%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Service margin improves to 38% (below 2023 actual 45%)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Ramp expansion improves aircraft throughput</w:t>
      </w:r>
    </w:p>
    <w:p w14:paraId="4939EFFC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Projected 2028 Revenue Potential: $9.5M–$10M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Projected EBITDA Potential: $1.6M–$1.9M</w:t>
      </w:r>
    </w:p>
    <w:p w14:paraId="4EB879AD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represents optimized but achievable execution.</w:t>
      </w:r>
    </w:p>
    <w:p w14:paraId="1620C79A" w14:textId="77777777" w:rsidR="000B1A14" w:rsidRPr="000B1A14" w:rsidRDefault="004254BF" w:rsidP="000B1A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790177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2962C0D" w14:textId="77777777" w:rsidR="000B1A14" w:rsidRPr="000B1A14" w:rsidRDefault="000B1A14" w:rsidP="000B1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</w:t>
      </w:r>
      <w:r w:rsidRPr="000B1A14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B1A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ORGANIZATIONAL STRUCTURE</w:t>
      </w:r>
    </w:p>
    <w:p w14:paraId="56249EAD" w14:textId="77777777" w:rsidR="000B1A14" w:rsidRPr="000B1A14" w:rsidRDefault="000B1A14" w:rsidP="000B1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2026</w:t>
      </w:r>
    </w:p>
    <w:p w14:paraId="55E83647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12 Direct Technicians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 Indirect Staff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(3:1 Direct-to-Indirect Ratio)</w:t>
      </w:r>
    </w:p>
    <w:p w14:paraId="4877340F" w14:textId="77777777" w:rsidR="000B1A14" w:rsidRPr="000B1A14" w:rsidRDefault="000B1A14" w:rsidP="000B1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2027+</w:t>
      </w:r>
    </w:p>
    <w:p w14:paraId="2014FD5E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 Direct Technicians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6–7 Indirect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Maintain ≥3:1 ratio discipline</w:t>
      </w:r>
    </w:p>
    <w:p w14:paraId="6048B16C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ratio protects margin integrity.</w:t>
      </w:r>
    </w:p>
    <w:p w14:paraId="5FCB77DD" w14:textId="77777777" w:rsidR="000B1A14" w:rsidRPr="000B1A14" w:rsidRDefault="004254BF" w:rsidP="000B1A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75B8A2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BC24E40" w14:textId="77777777" w:rsidR="000B1A14" w:rsidRPr="000B1A14" w:rsidRDefault="000B1A14" w:rsidP="000B1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</w:t>
      </w:r>
      <w:r w:rsidRPr="000B1A14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B1A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FACILITY STRATEGIC IMPACT</w:t>
      </w:r>
    </w:p>
    <w:p w14:paraId="0840B57C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20,000 sq ft hangar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2,500 sq ft office/storage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Adjacent land supports ramp expansion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Direct aircraft taxi access improvement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Increased aircraft staging capacity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Enables technician scale</w:t>
      </w:r>
    </w:p>
    <w:p w14:paraId="357F0D6B" w14:textId="77777777" w:rsidR="000B1A14" w:rsidRPr="000B1A14" w:rsidRDefault="004254BF" w:rsidP="000B1A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9C82ED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632A4A0" w14:textId="77777777" w:rsidR="000B1A14" w:rsidRPr="000B1A14" w:rsidRDefault="000B1A14" w:rsidP="000B1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B1A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</w:t>
      </w:r>
      <w:r w:rsidRPr="000B1A14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0B1A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DISCLOSURES</w:t>
      </w:r>
    </w:p>
    <w:p w14:paraId="3FE27766" w14:textId="77777777" w:rsidR="000B1A14" w:rsidRPr="000B1A14" w:rsidRDefault="000B1A14" w:rsidP="000B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• Financial projections based on historical QuickBooks data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Conservative blended margin assumptions applied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Fuel revenue modeled at conservative margin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No fuel farm expansion revenue modeled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No second shift modeled</w:t>
      </w:r>
      <w:r w:rsidRPr="000B1A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All projections subject to final operational validation</w:t>
      </w:r>
    </w:p>
    <w:p w14:paraId="2288BCAB" w14:textId="77777777" w:rsidR="000977AF" w:rsidRDefault="000977AF"/>
    <w:sectPr w:rsidR="00097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9506D"/>
    <w:multiLevelType w:val="multilevel"/>
    <w:tmpl w:val="57EED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C428BD"/>
    <w:multiLevelType w:val="multilevel"/>
    <w:tmpl w:val="2BF4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F601B"/>
    <w:multiLevelType w:val="multilevel"/>
    <w:tmpl w:val="81481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8F6E43"/>
    <w:multiLevelType w:val="multilevel"/>
    <w:tmpl w:val="A3A6B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999341">
    <w:abstractNumId w:val="1"/>
  </w:num>
  <w:num w:numId="2" w16cid:durableId="867790443">
    <w:abstractNumId w:val="2"/>
  </w:num>
  <w:num w:numId="3" w16cid:durableId="1055005334">
    <w:abstractNumId w:val="3"/>
  </w:num>
  <w:num w:numId="4" w16cid:durableId="1668359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15F"/>
    <w:rsid w:val="000977AF"/>
    <w:rsid w:val="000B1A14"/>
    <w:rsid w:val="0015015F"/>
    <w:rsid w:val="004254BF"/>
    <w:rsid w:val="00522FA1"/>
    <w:rsid w:val="006B102F"/>
    <w:rsid w:val="00996154"/>
    <w:rsid w:val="00E06BE8"/>
    <w:rsid w:val="00E7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013E0"/>
  <w15:chartTrackingRefBased/>
  <w15:docId w15:val="{B2D5F3EA-7564-794E-9ABE-E92137ABF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0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0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0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1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01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5015F"/>
    <w:rPr>
      <w:b/>
      <w:bCs/>
    </w:rPr>
  </w:style>
  <w:style w:type="character" w:customStyle="1" w:styleId="apple-converted-space">
    <w:name w:val="apple-converted-space"/>
    <w:basedOn w:val="DefaultParagraphFont"/>
    <w:rsid w:val="000B1A14"/>
  </w:style>
  <w:style w:type="character" w:customStyle="1" w:styleId="relative">
    <w:name w:val="relative"/>
    <w:basedOn w:val="DefaultParagraphFont"/>
    <w:rsid w:val="000B1A14"/>
  </w:style>
  <w:style w:type="paragraph" w:customStyle="1" w:styleId="not-prose">
    <w:name w:val="not-prose"/>
    <w:basedOn w:val="Normal"/>
    <w:rsid w:val="000B1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 Tillman</dc:creator>
  <cp:keywords/>
  <dc:description/>
  <cp:lastModifiedBy>Sameera Tillman</cp:lastModifiedBy>
  <cp:revision>2</cp:revision>
  <dcterms:created xsi:type="dcterms:W3CDTF">2026-02-15T23:10:00Z</dcterms:created>
  <dcterms:modified xsi:type="dcterms:W3CDTF">2026-02-15T23:10:00Z</dcterms:modified>
</cp:coreProperties>
</file>