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AAB Phase 1 Control ID Reconciliation Table</w:t>
      </w:r>
    </w:p>
    <w:p>
      <w:r>
        <w:t>Final read-only reconciliation for baseline freeze review. GitHub publication remains unauthorised.</w:t>
      </w:r>
    </w:p>
    <w:p>
      <w:r>
        <w:rPr>
          <w:b/>
        </w:rPr>
        <w:t xml:space="preserve">Reconciliation conclusion. </w:t>
      </w:r>
      <w:r>
        <w:t>No historic permanent sovereignty-control ID was established for CR-01 through CR-30 after searching accessible AAB GitHub branches, internal records and prior-context sources. Each claim is therefore assigned a descriptive permanent closure-derived ID. The provenance is NEW — CLOSURE-DERIVED and the CR reference remains an alias.</w:t>
      </w:r>
    </w:p>
    <w:p>
      <w:r>
        <w:rPr>
          <w:b/>
        </w:rPr>
        <w:t xml:space="preserve">Ambiguity conclusion. </w:t>
      </w:r>
      <w:r>
        <w:t>No unresolved control-ID ambiguity remains that prevents freezing and publishing the Phase-1 baseline. Publication still requires David’s explicit authority. Provider and technical evidence gaps remain commissioning blockers, but they are not control-ID ambiguities.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73F35"/>
            <w:vAlign w:val="center"/>
          </w:tcPr>
          <w:p>
            <w:r>
              <w:rPr>
                <w:b/>
                <w:color w:val="FFFFFF"/>
                <w:sz w:val="14"/>
              </w:rPr>
              <w:t>CR ref</w:t>
            </w:r>
          </w:p>
        </w:tc>
        <w:tc>
          <w:tcPr>
            <w:tcW w:type="dxa" w:w="2376"/>
            <w:shd w:fill="173F35"/>
            <w:vAlign w:val="center"/>
          </w:tcPr>
          <w:p>
            <w:r>
              <w:rPr>
                <w:b/>
                <w:color w:val="FFFFFF"/>
                <w:sz w:val="14"/>
              </w:rPr>
              <w:t>Historic ID(s)</w:t>
            </w:r>
          </w:p>
        </w:tc>
        <w:tc>
          <w:tcPr>
            <w:tcW w:type="dxa" w:w="2376"/>
            <w:shd w:fill="173F35"/>
            <w:vAlign w:val="center"/>
          </w:tcPr>
          <w:p>
            <w:r>
              <w:rPr>
                <w:b/>
                <w:color w:val="FFFFFF"/>
                <w:sz w:val="14"/>
              </w:rPr>
              <w:t>Permanent ID</w:t>
            </w:r>
          </w:p>
        </w:tc>
        <w:tc>
          <w:tcPr>
            <w:tcW w:type="dxa" w:w="2376"/>
            <w:shd w:fill="173F35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376"/>
            <w:shd w:fill="173F35"/>
            <w:vAlign w:val="center"/>
          </w:tcPr>
          <w:p>
            <w:r>
              <w:rPr>
                <w:b/>
                <w:color w:val="FFFFFF"/>
                <w:sz w:val="14"/>
              </w:rPr>
              <w:t>Reason</w:t>
            </w:r>
          </w:p>
        </w:tc>
        <w:tc>
          <w:tcPr>
            <w:tcW w:type="dxa" w:w="2376"/>
            <w:shd w:fill="173F35"/>
            <w:vAlign w:val="center"/>
          </w:tcPr>
          <w:p>
            <w:r>
              <w:rPr>
                <w:b/>
                <w:color w:val="FFFFFF"/>
                <w:sz w:val="14"/>
              </w:rPr>
              <w:t>Evidence basis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CR-01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SOV-OWN-COUNTRY-01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CR-02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SOV-ISO-COUNTRY-01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CR-03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SOV-RES-DB-01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CR-04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SOV-ADM-INDEPENDENCE-01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CR-05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SOV-RES-ORIGIN-01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CR-06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SOV-RES-HOST-BACKUP-01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CR-07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SOV-BACKUP-OBJECT-COVERAGE-01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CR-08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SOV-RECOVERY-OBJECT-01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CR-09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SOV-RECOVERY-DB-01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CR-10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SOV-RES-LOG-01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CR-11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SOV-RES-CACHE-01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CR-12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SOV-RES-EXECUTION-01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CR-13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SOV-DERIVATIVE-BOUNDARY-01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CR-14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SOV-FLOW-NO-CANONICAL-RETURN-01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CR-15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SOV-FLOW-NO-CROSS-COUNTRY-01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CR-16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SOV-FLOW-NO-EXTERNAL-AI-01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CR-17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SEC-AUTH-PERSISTED-AUTHORITY-01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CR-18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SEC-AUTH-SCIENTIFIC-ACTION-01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CR-19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SEC-DB-NO-DEFINER-ESCALATION-01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CR-20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SEC-PRIV-MFA-01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CR-21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SEC-PRIV-TOKEN-LIFECYCLE-01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CR-22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SEC-PUBLIC-DIAGNOSTICS-01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CR-23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SOV-ADM-PROVIDER-ACCESS-01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CR-24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SOV-KEY-COUNTRY-CONTROL-01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CR-25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SOV-LIFECYCLE-DELETION-01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CR-26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DEP-PACKAGE-COUNTRY-CLEAN-01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 Rehearsal contamination is not itself a rehearsal failure; it would fail the production-template standard if promoted.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CR-27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DEP-PACKAGE-VENDOR-NEUTRAL-01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CR-28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DEP-PACKAGE-INDEPENDENT-REBUILD-01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CR-29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COM-EVIDENCE-NO-AUTHORITY-01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  <w:tr>
        <w:tc>
          <w:tcPr>
            <w:tcW w:type="dxa" w:w="792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CR-30</w:t>
            </w:r>
          </w:p>
        </w:tc>
        <w:tc>
          <w:tcPr>
            <w:tcW w:type="dxa" w:w="12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None established</w:t>
            </w:r>
          </w:p>
        </w:tc>
        <w:tc>
          <w:tcPr>
            <w:tcW w:type="dxa" w:w="2088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COM-COUNTRY-GOV-APPROVAL-01</w:t>
            </w:r>
          </w:p>
        </w:tc>
        <w:tc>
          <w:tcPr>
            <w:tcW w:type="dxa" w:w="165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NEW — CLOSURE-DERIVED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No historic permanent ID was established. Descriptive ID created at Phase-1 closure; claim preserved without historical mapping. Status corrected: absence of approval for an intentional rehearsal is not a technical FAIL; it is an unsatisfied commissioning gate.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4"/>
              </w:rPr>
              <w:t>Frozen Phase-1 handover; accessible internal source search; accessible GitHub default branch and sovereignty-related branch inventory.</w:t>
            </w:r>
          </w:p>
        </w:tc>
      </w:tr>
    </w:tbl>
    <w:p>
      <w:pPr>
        <w:pStyle w:val="Heading1"/>
      </w:pPr>
      <w:r>
        <w:t>Classification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73F35"/>
            <w:vAlign w:val="center"/>
          </w:tcPr>
          <w:p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4752"/>
            <w:shd w:fill="173F35"/>
            <w:vAlign w:val="center"/>
          </w:tcPr>
          <w:p>
            <w:r>
              <w:rPr>
                <w:b/>
                <w:color w:val="FFFFFF"/>
                <w:sz w:val="16"/>
              </w:rPr>
              <w:t>CR references</w:t>
            </w:r>
          </w:p>
        </w:tc>
        <w:tc>
          <w:tcPr>
            <w:tcW w:type="dxa" w:w="4752"/>
            <w:shd w:fill="173F35"/>
            <w:vAlign w:val="center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Production-standard failure from rehearsal observation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CR-02, CR-04 to CR-07, CR-20 to CR-22</w:t>
            </w:r>
          </w:p>
        </w:tc>
        <w:tc>
          <w:tcPr>
            <w:tcW w:type="dxa" w:w="92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Observed configuration would violate a mandatory production standard if reused. The label does not claim the rehearsal was required to be production-compliant.</w:t>
            </w:r>
          </w:p>
        </w:tc>
      </w:tr>
      <w:tr>
        <w:tc>
          <w:tcPr>
            <w:tcW w:type="dxa" w:w="30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6"/>
              </w:rPr>
              <w:t>Evidence required</w:t>
            </w:r>
          </w:p>
        </w:tc>
        <w:tc>
          <w:tcPr>
            <w:tcW w:type="dxa" w:w="216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6"/>
              </w:rPr>
              <w:t>CR-01, CR-03, CR-08 to CR-13, CR-23 to CR-25, CR-27 to CR-29</w:t>
            </w:r>
          </w:p>
        </w:tc>
        <w:tc>
          <w:tcPr>
            <w:tcW w:type="dxa" w:w="921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6"/>
              </w:rPr>
              <w:t>Mandatory production compliance is not established. These remain commissioning blockers and are not likely-compliant findings.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Pass bounded to reviewed implementation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CR-14 to CR-19</w:t>
            </w:r>
          </w:p>
        </w:tc>
        <w:tc>
          <w:tcPr>
            <w:tcW w:type="dxa" w:w="92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Positive findings remain bounded and cannot compensate for failed or unresolved mandatory controls.</w:t>
            </w:r>
          </w:p>
        </w:tc>
      </w:tr>
      <w:tr>
        <w:tc>
          <w:tcPr>
            <w:tcW w:type="dxa" w:w="3024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6"/>
              </w:rPr>
              <w:t>Not applicable to rehearsal; production standard identified</w:t>
            </w:r>
          </w:p>
        </w:tc>
        <w:tc>
          <w:tcPr>
            <w:tcW w:type="dxa" w:w="2160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6"/>
              </w:rPr>
              <w:t>CR-26</w:t>
            </w:r>
          </w:p>
        </w:tc>
        <w:tc>
          <w:tcPr>
            <w:tcW w:type="dxa" w:w="9216"/>
            <w:vAlign w:val="center"/>
            <w:shd w:fill="F3F7F5"/>
          </w:tcPr>
          <w:p>
            <w:pPr>
              <w:spacing w:after="40" w:before="40"/>
            </w:pPr>
            <w:r>
              <w:rPr>
                <w:sz w:val="16"/>
              </w:rPr>
              <w:t>Mixed Thailand/generic material is permissible rehearsal history but disqualifies the environment as a pristine production template.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Not applicable; commissioning gate unsatisfied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CR-30</w:t>
            </w:r>
          </w:p>
        </w:tc>
        <w:tc>
          <w:tcPr>
            <w:tcW w:type="dxa" w:w="92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 production approval was expected for the intentional rehearsal. The unsatisfied gate preserves NOT AUTHORISED without being a technical failure.</w:t>
            </w:r>
          </w:p>
        </w:tc>
      </w:tr>
    </w:tbl>
    <w:p>
      <w:pPr>
        <w:pStyle w:val="Heading1"/>
      </w:pPr>
      <w:r>
        <w:t>Preserved Decisions</w:t>
      </w:r>
    </w:p>
    <w:p>
      <w:r>
        <w:rPr>
          <w:b/>
        </w:rPr>
        <w:t>COMMISSIONING OUTCOME: NOT AUTHORISED</w:t>
      </w:r>
    </w:p>
    <w:p>
      <w:r>
        <w:rPr>
          <w:b/>
        </w:rPr>
        <w:t>AUDIT OUTCOME: PHASE 1 COMPLETE</w:t>
      </w:r>
    </w:p>
    <w:p>
      <w:r>
        <w:rPr>
          <w:b/>
        </w:rPr>
        <w:t>REMEDIATION AUTHORITY: NOT EXERCISED</w:t>
      </w:r>
    </w:p>
    <w:p>
      <w:r>
        <w:t>No remediation or Phase 2 work was performed. No GitHub publication was performed or authorised.</w:t>
      </w:r>
    </w:p>
    <w:sectPr w:rsidR="00FC693F" w:rsidRPr="0006063C" w:rsidSect="00034616">
      <w:footerReference w:type="default" r:id="rId9"/>
      <w:pgSz w:w="15840" w:h="122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AAB Phase 1 Control ID Reconciliation | Final review | Not published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AAB Phase 1 Control ID Reconciliation Table</dc:title>
  <dc:subject/>
  <dc:creator>AAB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