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AAB Phase 1 Sovereignty Technical Verification Report and Register</w:t>
      </w:r>
    </w:p>
    <w:p>
      <w:pPr>
        <w:pStyle w:val="Subtitle"/>
      </w:pPr>
      <w:r>
        <w:t>Auditor facing closure draft for David review</w:t>
      </w:r>
    </w:p>
    <w:p>
      <w:r>
        <w:rPr>
          <w:b/>
        </w:rPr>
        <w:t>Report date: 15 September 2026</w:t>
        <w:br/>
      </w:r>
      <w:r>
        <w:t>Assessment state: Phase 1 evidence baseline frozen for review</w:t>
        <w:br/>
      </w:r>
      <w:r>
        <w:t>Publication state: Not authorised for GitHub publication</w:t>
      </w:r>
    </w:p>
    <w:p>
      <w:r>
        <w:t>This report consolidates the read-only Phase 1 sovereignty audit of the WA rehearsal and its canonical, hosting and provider boundaries. It records the established state, commissioning consequence and bounded Phase 2 path. It does not redesign AAB, confer production authority or record remediation as completed.</w:t>
      </w:r>
    </w:p>
    <w:p>
      <w:pPr>
        <w:pStyle w:val="Heading1"/>
      </w:pPr>
      <w:r>
        <w:t>Executive Summary</w:t>
      </w:r>
    </w:p>
    <w:p>
      <w:r>
        <w:rPr>
          <w:b/>
          <w:sz w:val="24"/>
        </w:rPr>
        <w:t>COMMISSIONING OUTCOME: NOT AUTHORISED</w:t>
      </w:r>
      <w:r>
        <w:br/>
        <w:t>WA rehearsal is not production commissioned. Under AAB’s non-compensating sovereignty model, any failed mandatory requirement or unresolved evidence for a mandatory requirement prevents commissioning. No aggregated compliance percentage is used.</w:t>
      </w:r>
    </w:p>
    <w:p>
      <w:r>
        <w:rPr>
          <w:b/>
          <w:sz w:val="24"/>
        </w:rPr>
        <w:t>AUDIT OUTCOME: PHASE 1 COMPLETE</w:t>
      </w:r>
      <w:r>
        <w:br/>
        <w:t>Phase 1 established the actual state sufficiently to begin controlled remediation. This is a successful audit outcome; it is not a statement that WA passed.</w:t>
      </w:r>
    </w:p>
    <w:p>
      <w:r>
        <w:rPr>
          <w:b/>
          <w:sz w:val="24"/>
        </w:rPr>
        <w:t>REMEDIATION AUTHORITY: NOT EXERCISED</w:t>
      </w:r>
      <w:r>
        <w:br/>
        <w:t>Phase 1 remained read-only. No finding was quietly repaired while the evidence baseline was being established or consolidated.</w:t>
      </w:r>
    </w:p>
    <w:p>
      <w:pPr>
        <w:pStyle w:val="Heading2"/>
      </w:pPr>
      <w:r>
        <w:t>Principal demonstrated blockers and findings</w:t>
      </w:r>
    </w:p>
    <w:p>
      <w:pPr>
        <w:pStyle w:val="ListBullet"/>
      </w:pPr>
      <w:r>
        <w:t>Hostinger’s WA rehearsal origin and private scientific-photo path are outside Australia; its backup is in Singapore. Both are unacceptable for Australian production.</w:t>
      </w:r>
    </w:p>
    <w:p>
      <w:pPr>
        <w:pStyle w:val="ListBullet"/>
      </w:pPr>
      <w:r>
        <w:t>WA Supabase is in Sydney; backup, WAL, PITR and disaster-recovery copy locality remains provider evidence.</w:t>
      </w:r>
    </w:p>
    <w:p>
      <w:pPr>
        <w:pStyle w:val="ListBullet"/>
      </w:pPr>
      <w:r>
        <w:t>Database backups exist, but Storage objects are excluded and protected-object recovery is unproven.</w:t>
      </w:r>
    </w:p>
    <w:p>
      <w:pPr>
        <w:pStyle w:val="ListBullet"/>
      </w:pPr>
      <w:r>
        <w:t>Native log residency, backups and provider access remain unresolved; no external log drain was evidenced.</w:t>
      </w:r>
    </w:p>
    <w:p>
      <w:pPr>
        <w:pStyle w:val="ListBullet"/>
      </w:pPr>
      <w:r>
        <w:t>WA, canonical and restore-test projects share one provider organisation. “Database residency and administrative sovereignty are independent controls.”</w:t>
      </w:r>
    </w:p>
    <w:p>
      <w:pPr>
        <w:pStyle w:val="ListBullet"/>
      </w:pPr>
      <w:r>
        <w:t>Owner MFA was disabled; a standing token and public diagnostic, preflight and DB-health paths were identified.</w:t>
      </w:r>
    </w:p>
    <w:p>
      <w:pPr>
        <w:pStyle w:val="ListBullet"/>
      </w:pPr>
      <w:r>
        <w:t>WA contains Thailand and generic demonstration material and is not a pristine country template.</w:t>
      </w:r>
    </w:p>
    <w:p>
      <w:pPr>
        <w:pStyle w:val="Heading2"/>
      </w:pPr>
      <w:r>
        <w:t>Demonstrated strengths do not compensate for blockers</w:t>
      </w:r>
    </w:p>
    <w:p>
      <w:r>
        <w:t>Browser role changes did not confer protected authority; critical actions re-check persisted authority; no general SECURITY DEFINER escalation path was identified; and no default outbound route to canonical AAB, external AI training or a global vector service was found. These findings do not soften failed or unresolved mandatory controls.</w:t>
      </w:r>
    </w:p>
    <w:p>
      <w:pPr>
        <w:pStyle w:val="Heading2"/>
      </w:pPr>
      <w:r>
        <w:t>Bounded next phase</w:t>
      </w:r>
    </w:p>
    <w:p>
      <w:r>
        <w:t>Phase 2 order: sovereign infrastructure; direct security failures; unresolved mandatory evidence; normal hardening. Automation may generate evidence but never production authority. Supabase is a rehearsal mechanism, not a mandatory production provider.</w:t>
      </w:r>
    </w:p>
    <w:p>
      <w:r>
        <w:br w:type="page"/>
      </w:r>
    </w:p>
    <w:p>
      <w:pPr>
        <w:pStyle w:val="Heading1"/>
      </w:pPr>
      <w:r>
        <w:t>1 Scope and Architecture Assessed</w:t>
      </w:r>
    </w:p>
    <w:p>
      <w:r>
        <w:t>The assessment covered the WA rehearsal application and protected scientific-photo path, Hostinger origin and backup posture, the WA Supabase project, associated canonical and restore-test Supabase projects, database functions and authority checks, object storage and recovery coverage, native logs, CDN/cache behaviour, serverless execution locality, privileged provider administration, tokens, public diagnostic paths, cross-boundary data flows and the cleanliness and reconstructability of the future country deployment package.</w:t>
      </w:r>
    </w:p>
    <w:p>
      <w:r>
        <w:t>Supabase is the present implementation and rehearsal mechanism used to build and audit AAB. It is not a mandatory production database or provider. Phase 1 findings about Supabase reveal capability, evidence and sovereignty requirements that the vendor-neutral AAB Country Deployment Standard must impose on any country-selected infrastructure.</w:t>
      </w:r>
    </w:p>
    <w:p>
      <w:r>
        <w:t>The intended production sequence is: canonical AAB package; country-owned approved infrastructure; country-isolated AAB deployment; automated and manual commissioning verification; country and governance approval; authorised live environment.</w:t>
      </w:r>
    </w:p>
    <w:p>
      <w:r>
        <w:t>Production infrastructure is country-owned from creation, not transferred later. AAB may hold temporary, scoped and audited deployment authority. Country infrastructure remains country-owned, and administration of canonical AAB or another country must not create inherited access.</w:t>
      </w:r>
    </w:p>
    <w:p>
      <w:pPr>
        <w:pStyle w:val="Heading1"/>
      </w:pPr>
      <w:r>
        <w:t>2 Sovereignty Model</w:t>
      </w:r>
    </w:p>
    <w:p>
      <w:r>
        <w:t>Every protected country scientific record and derivative remains inside the approved sovereign boundary, including files, scientific memory, vectors or embeddings where applicable, logs containing protected information, backups, replicas and recovery copies. Transformation does not remove sovereignty.</w:t>
      </w:r>
    </w:p>
    <w:p>
      <w:r>
        <w:t>AAB software and capability may move from canonical AAB into a country. Protected country scientific information has no automatic return path from country to canonical AAB or from one country to another. Any exceptional sharing requires separate explicit country authority, governance, provenance and boundary-specific verification.</w:t>
      </w:r>
    </w:p>
    <w:p>
      <w:r>
        <w:rPr>
          <w:b/>
        </w:rPr>
        <w:t>Database residency and administrative sovereignty are independent controls.</w:t>
      </w:r>
    </w:p>
    <w:p>
      <w:pPr>
        <w:pStyle w:val="Heading1"/>
      </w:pPr>
      <w:r>
        <w:t>3 Audit and Evidence Methodology</w:t>
      </w:r>
    </w:p>
    <w:p>
      <w:pPr>
        <w:pStyle w:val="ListBullet"/>
      </w:pPr>
      <w:r>
        <w:t>Read-only inspection of accessible source, database authority design, runtime/configuration evidence and provider-facing observations.</w:t>
      </w:r>
    </w:p>
    <w:p>
      <w:pPr>
        <w:pStyle w:val="ListBullet"/>
      </w:pPr>
      <w:r>
        <w:t>Separation of declaration, implementation presence, behavioural proof and provider/country evidence.</w:t>
      </w:r>
    </w:p>
    <w:p>
      <w:pPr>
        <w:pStyle w:val="ListBullet"/>
      </w:pPr>
      <w:r>
        <w:t>Fail-closed classification: unresolved evidence for a mandatory requirement is EVIDENCE REQUIRED and blocks commissioning.</w:t>
      </w:r>
    </w:p>
    <w:p>
      <w:pPr>
        <w:pStyle w:val="ListBullet"/>
      </w:pPr>
      <w:r>
        <w:t>Persistent control preservation: a prior ID is retained where established; independent claims must be split through an explicit SUPERSEDED relationship.</w:t>
      </w:r>
    </w:p>
    <w:p>
      <w:pPr>
        <w:pStyle w:val="ListBullet"/>
      </w:pPr>
      <w:r>
        <w:t>Future verification classification using AUTO, AUTO + HUMAN, PROVIDER EVIDENCE, COUNTRY EVIDENCE and GOVERNANCE. Multiple types may apply.</w:t>
      </w:r>
    </w:p>
    <w:p>
      <w:pPr>
        <w:pStyle w:val="ListBullet"/>
      </w:pPr>
      <w:r>
        <w:t>No aggregated compliance score because controls are non-compensating.</w:t>
      </w:r>
    </w:p>
    <w:p>
      <w:pPr>
        <w:pStyle w:val="Heading1"/>
      </w:pPr>
      <w:r>
        <w:t>4 Evidence Boundary and Limitations</w:t>
      </w:r>
    </w:p>
    <w:p>
      <w:r>
        <w:t>The final reconciliation distinguished evidence located in accessible AAB records from findings carried in the frozen Phase 1 handover. Searches of the accessible GitHub default branch, the sovereignty-related branch inventory, internal files and prior-context retrieval did not establish a historic Phase 1 sovereignty control-number map. Internal records did confirm AAB’s no-default-return and country-isolation principles.</w:t>
      </w:r>
    </w:p>
    <w:p>
      <w:r>
        <w:t>Each CR entry is therefore retained as a traceability alias and assigned a descriptive permanent closure-derived ID. This records new provenance without manufacturing historical mappings. No historic ID is marked retained or superseded because none was established. If contrary primary evidence is later produced, it must be handled as a controlled baseline correction with an explicit history entry; no ID may be silently deleted, renumbered or repurposed.</w:t>
      </w:r>
    </w:p>
    <w:p>
      <w:r>
        <w:t>Provider-controlled facts that were not independently available remain EVIDENCE REQUIRED. Absence of an observed outbound path is bounded to the reviewed implementation and is not proof of every provider, future deployment or operational path.</w:t>
      </w:r>
    </w:p>
    <w:p>
      <w:pPr>
        <w:pStyle w:val="Heading1"/>
      </w:pPr>
      <w:r>
        <w:t>5 Commissioning Decision</w:t>
      </w:r>
    </w:p>
    <w:p>
      <w:r>
        <w:t>Decision: NOT AUTHORISED. WA is a rehearsal environment, not a production environment. Demonstrated rehearsal observations would fail mandatory production standards if reused, other mandatory controls remain EVIDENCE REQUIRED, and the country/governance approval gate is intentionally unsatisfied. Under the non-compensating model, any one condition prevents commissioning. The completed audit does not authorise live use or remediation.</w:t>
      </w:r>
    </w:p>
    <w:p>
      <w:pPr>
        <w:pStyle w:val="Heading1"/>
      </w:pPr>
      <w:r>
        <w:t>6 Sovereignty Technical Verification Register</w:t>
      </w:r>
    </w:p>
    <w:p>
      <w:r>
        <w:t>Status meanings: FAIL means the reviewed state does not meet the mandatory requirement. EVIDENCE REQUIRED means compliance has not been established and must not be described as likely compliant. PASS — REVIEWED IMPLEMENTATION is bounded to the inspected implementation and does not itself confer commissioning.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rPr>
          <w:tblHeader w:val="true"/>
        </w:trPr>
        <w:tc>
          <w:tcPr>
            <w:tcW w:type="dxa" w:w="1694"/>
            <w:shd w:fill="173F35"/>
            <w:vAlign w:val="center"/>
          </w:tcPr>
          <w:p>
            <w:r>
              <w:rPr>
                <w:b/>
                <w:color w:val="FFFFFF"/>
                <w:sz w:val="14"/>
              </w:rPr>
              <w:t>Control ID</w:t>
            </w:r>
          </w:p>
        </w:tc>
        <w:tc>
          <w:tcPr>
            <w:tcW w:type="dxa" w:w="1694"/>
            <w:shd w:fill="173F35"/>
            <w:vAlign w:val="center"/>
          </w:tcPr>
          <w:p>
            <w:r>
              <w:rPr>
                <w:b/>
                <w:color w:val="FFFFFF"/>
                <w:sz w:val="14"/>
              </w:rPr>
              <w:t>CR alias</w:t>
            </w:r>
          </w:p>
        </w:tc>
        <w:tc>
          <w:tcPr>
            <w:tcW w:type="dxa" w:w="1694"/>
            <w:shd w:fill="173F35"/>
            <w:vAlign w:val="center"/>
          </w:tcPr>
          <w:p>
            <w:r>
              <w:rPr>
                <w:b/>
                <w:color w:val="FFFFFF"/>
                <w:sz w:val="14"/>
              </w:rPr>
              <w:t>Control</w:t>
            </w:r>
          </w:p>
        </w:tc>
        <w:tc>
          <w:tcPr>
            <w:tcW w:type="dxa" w:w="1694"/>
            <w:shd w:fill="173F35"/>
            <w:vAlign w:val="center"/>
          </w:tcPr>
          <w:p>
            <w:r>
              <w:rPr>
                <w:b/>
                <w:color w:val="FFFFFF"/>
                <w:sz w:val="14"/>
              </w:rPr>
              <w:t>Finding and status</w:t>
            </w:r>
          </w:p>
        </w:tc>
        <w:tc>
          <w:tcPr>
            <w:tcW w:type="dxa" w:w="1694"/>
            <w:shd w:fill="173F35"/>
            <w:vAlign w:val="center"/>
          </w:tcPr>
          <w:p>
            <w:r>
              <w:rPr>
                <w:b/>
                <w:color w:val="FFFFFF"/>
                <w:sz w:val="14"/>
              </w:rPr>
              <w:t>Evidence owner</w:t>
            </w:r>
          </w:p>
        </w:tc>
        <w:tc>
          <w:tcPr>
            <w:tcW w:type="dxa" w:w="1694"/>
            <w:shd w:fill="173F35"/>
            <w:vAlign w:val="center"/>
          </w:tcPr>
          <w:p>
            <w:r>
              <w:rPr>
                <w:b/>
                <w:color w:val="FFFFFF"/>
                <w:sz w:val="14"/>
              </w:rPr>
              <w:t>Future verification</w:t>
            </w:r>
          </w:p>
        </w:tc>
      </w:tr>
      <w:tr>
        <w:tc>
          <w:tcPr>
            <w:tcW w:type="dxa" w:w="1656"/>
            <w:vAlign w:val="center"/>
          </w:tcPr>
          <w:p>
            <w:pPr>
              <w:spacing w:after="40" w:before="40"/>
            </w:pPr>
            <w:r>
              <w:rPr>
                <w:sz w:val="14"/>
              </w:rPr>
              <w:t>SOV-OWN-COUNTRY-01</w:t>
            </w:r>
          </w:p>
        </w:tc>
        <w:tc>
          <w:tcPr>
            <w:tcW w:type="dxa" w:w="720"/>
            <w:vAlign w:val="center"/>
          </w:tcPr>
          <w:p>
            <w:pPr>
              <w:spacing w:after="40" w:before="40"/>
            </w:pPr>
            <w:r>
              <w:rPr>
                <w:sz w:val="14"/>
              </w:rPr>
              <w:t>CR-01</w:t>
            </w:r>
          </w:p>
        </w:tc>
        <w:tc>
          <w:tcPr>
            <w:tcW w:type="dxa" w:w="1656"/>
            <w:vAlign w:val="center"/>
          </w:tcPr>
          <w:p>
            <w:pPr>
              <w:spacing w:after="40" w:before="40"/>
            </w:pPr>
            <w:r>
              <w:rPr>
                <w:sz w:val="14"/>
              </w:rPr>
              <w:t>Country production infrastructure ownership</w:t>
            </w:r>
          </w:p>
        </w:tc>
        <w:tc>
          <w:tcPr>
            <w:tcW w:type="dxa" w:w="3384"/>
            <w:vAlign w:val="center"/>
          </w:tcPr>
          <w:p>
            <w:pPr>
              <w:spacing w:after="40" w:before="40"/>
            </w:pPr>
            <w:r>
              <w:rPr>
                <w:sz w:val="14"/>
              </w:rPr>
              <w:t>EVIDENCE REQUIRED</w:t>
              <w:br/>
              <w:t>Design principle confirmed; current rehearsal does not demonstrate production ownership.</w:t>
            </w:r>
          </w:p>
        </w:tc>
        <w:tc>
          <w:tcPr>
            <w:tcW w:type="dxa" w:w="1440"/>
            <w:vAlign w:val="center"/>
          </w:tcPr>
          <w:p>
            <w:pPr>
              <w:spacing w:after="40" w:before="40"/>
            </w:pPr>
            <w:r>
              <w:rPr>
                <w:sz w:val="14"/>
              </w:rPr>
              <w:t>Country / Governance</w:t>
            </w:r>
          </w:p>
        </w:tc>
        <w:tc>
          <w:tcPr>
            <w:tcW w:type="dxa" w:w="1656"/>
            <w:vAlign w:val="center"/>
          </w:tcPr>
          <w:p>
            <w:pPr>
              <w:spacing w:after="40" w:before="40"/>
            </w:pPr>
            <w:r>
              <w:rPr>
                <w:sz w:val="14"/>
              </w:rPr>
              <w:t>COUNTRY EVIDENCE; GOVERNANCE</w:t>
            </w:r>
          </w:p>
        </w:tc>
      </w:tr>
      <w:tr>
        <w:tc>
          <w:tcPr>
            <w:tcW w:type="dxa" w:w="1656"/>
            <w:vAlign w:val="center"/>
            <w:shd w:fill="F3F7F5"/>
          </w:tcPr>
          <w:p>
            <w:pPr>
              <w:spacing w:after="40" w:before="40"/>
            </w:pPr>
            <w:r>
              <w:rPr>
                <w:sz w:val="14"/>
              </w:rPr>
              <w:t>SOV-ISO-COUNTRY-01</w:t>
            </w:r>
          </w:p>
        </w:tc>
        <w:tc>
          <w:tcPr>
            <w:tcW w:type="dxa" w:w="720"/>
            <w:vAlign w:val="center"/>
            <w:shd w:fill="F3F7F5"/>
          </w:tcPr>
          <w:p>
            <w:pPr>
              <w:spacing w:after="40" w:before="40"/>
            </w:pPr>
            <w:r>
              <w:rPr>
                <w:sz w:val="14"/>
              </w:rPr>
              <w:t>CR-02</w:t>
            </w:r>
          </w:p>
        </w:tc>
        <w:tc>
          <w:tcPr>
            <w:tcW w:type="dxa" w:w="1656"/>
            <w:vAlign w:val="center"/>
            <w:shd w:fill="F3F7F5"/>
          </w:tcPr>
          <w:p>
            <w:pPr>
              <w:spacing w:after="40" w:before="40"/>
            </w:pPr>
            <w:r>
              <w:rPr>
                <w:sz w:val="14"/>
              </w:rPr>
              <w:t>Country isolation</w:t>
            </w:r>
          </w:p>
        </w:tc>
        <w:tc>
          <w:tcPr>
            <w:tcW w:type="dxa" w:w="3384"/>
            <w:vAlign w:val="center"/>
            <w:shd w:fill="F3F7F5"/>
          </w:tcPr>
          <w:p>
            <w:pPr>
              <w:spacing w:after="40" w:before="40"/>
            </w:pPr>
            <w:r>
              <w:rPr>
                <w:sz w:val="14"/>
              </w:rPr>
              <w:t>PRODUCTION STANDARD FAILURE — REHEARSAL OBSERVATION</w:t>
              <w:br/>
              <w:t>Current WA, canonical and restore-test Supabase projects share one provider organisation, demonstrating an administrative-sovereignty blocker for production.</w:t>
            </w:r>
          </w:p>
        </w:tc>
        <w:tc>
          <w:tcPr>
            <w:tcW w:type="dxa" w:w="1440"/>
            <w:vAlign w:val="center"/>
            <w:shd w:fill="F3F7F5"/>
          </w:tcPr>
          <w:p>
            <w:pPr>
              <w:spacing w:after="40" w:before="40"/>
            </w:pPr>
            <w:r>
              <w:rPr>
                <w:sz w:val="14"/>
              </w:rPr>
              <w:t>AAB / Country / Provider</w:t>
            </w:r>
          </w:p>
        </w:tc>
        <w:tc>
          <w:tcPr>
            <w:tcW w:type="dxa" w:w="1656"/>
            <w:vAlign w:val="center"/>
            <w:shd w:fill="F3F7F5"/>
          </w:tcPr>
          <w:p>
            <w:pPr>
              <w:spacing w:after="40" w:before="40"/>
            </w:pPr>
            <w:r>
              <w:rPr>
                <w:sz w:val="14"/>
              </w:rPr>
              <w:t>AUTO; PROVIDER EVIDENCE; COUNTRY EVIDENCE; GOVERNANCE</w:t>
            </w:r>
          </w:p>
        </w:tc>
      </w:tr>
      <w:tr>
        <w:tc>
          <w:tcPr>
            <w:tcW w:type="dxa" w:w="1656"/>
            <w:vAlign w:val="center"/>
          </w:tcPr>
          <w:p>
            <w:pPr>
              <w:spacing w:after="40" w:before="40"/>
            </w:pPr>
            <w:r>
              <w:rPr>
                <w:sz w:val="14"/>
              </w:rPr>
              <w:t>SOV-RES-DB-01</w:t>
            </w:r>
          </w:p>
        </w:tc>
        <w:tc>
          <w:tcPr>
            <w:tcW w:type="dxa" w:w="720"/>
            <w:vAlign w:val="center"/>
          </w:tcPr>
          <w:p>
            <w:pPr>
              <w:spacing w:after="40" w:before="40"/>
            </w:pPr>
            <w:r>
              <w:rPr>
                <w:sz w:val="14"/>
              </w:rPr>
              <w:t>CR-03</w:t>
            </w:r>
          </w:p>
        </w:tc>
        <w:tc>
          <w:tcPr>
            <w:tcW w:type="dxa" w:w="1656"/>
            <w:vAlign w:val="center"/>
          </w:tcPr>
          <w:p>
            <w:pPr>
              <w:spacing w:after="40" w:before="40"/>
            </w:pPr>
            <w:r>
              <w:rPr>
                <w:sz w:val="14"/>
              </w:rPr>
              <w:t>Database residency</w:t>
            </w:r>
          </w:p>
        </w:tc>
        <w:tc>
          <w:tcPr>
            <w:tcW w:type="dxa" w:w="3384"/>
            <w:vAlign w:val="center"/>
          </w:tcPr>
          <w:p>
            <w:pPr>
              <w:spacing w:after="40" w:before="40"/>
            </w:pPr>
            <w:r>
              <w:rPr>
                <w:sz w:val="14"/>
              </w:rPr>
              <w:t>EVIDENCE REQUIRED</w:t>
              <w:br/>
              <w:t>WA primary Supabase project was observed in Sydney. Exact locality of underlying backup, WAL, PITR and DR copies was not established.</w:t>
            </w:r>
          </w:p>
        </w:tc>
        <w:tc>
          <w:tcPr>
            <w:tcW w:type="dxa" w:w="1440"/>
            <w:vAlign w:val="center"/>
          </w:tcPr>
          <w:p>
            <w:pPr>
              <w:spacing w:after="40" w:before="40"/>
            </w:pPr>
            <w:r>
              <w:rPr>
                <w:sz w:val="14"/>
              </w:rPr>
              <w:t>Provider</w:t>
            </w:r>
          </w:p>
        </w:tc>
        <w:tc>
          <w:tcPr>
            <w:tcW w:type="dxa" w:w="1656"/>
            <w:vAlign w:val="center"/>
          </w:tcPr>
          <w:p>
            <w:pPr>
              <w:spacing w:after="40" w:before="40"/>
            </w:pPr>
            <w:r>
              <w:rPr>
                <w:sz w:val="14"/>
              </w:rPr>
              <w:t>PROVIDER EVIDENCE; COUNTRY EVIDENCE</w:t>
            </w:r>
          </w:p>
        </w:tc>
      </w:tr>
      <w:tr>
        <w:tc>
          <w:tcPr>
            <w:tcW w:type="dxa" w:w="1656"/>
            <w:vAlign w:val="center"/>
            <w:shd w:fill="F3F7F5"/>
          </w:tcPr>
          <w:p>
            <w:pPr>
              <w:spacing w:after="40" w:before="40"/>
            </w:pPr>
            <w:r>
              <w:rPr>
                <w:sz w:val="14"/>
              </w:rPr>
              <w:t>SOV-ADM-INDEPENDENCE-01</w:t>
            </w:r>
          </w:p>
        </w:tc>
        <w:tc>
          <w:tcPr>
            <w:tcW w:type="dxa" w:w="720"/>
            <w:vAlign w:val="center"/>
            <w:shd w:fill="F3F7F5"/>
          </w:tcPr>
          <w:p>
            <w:pPr>
              <w:spacing w:after="40" w:before="40"/>
            </w:pPr>
            <w:r>
              <w:rPr>
                <w:sz w:val="14"/>
              </w:rPr>
              <w:t>CR-04</w:t>
            </w:r>
          </w:p>
        </w:tc>
        <w:tc>
          <w:tcPr>
            <w:tcW w:type="dxa" w:w="1656"/>
            <w:vAlign w:val="center"/>
            <w:shd w:fill="F3F7F5"/>
          </w:tcPr>
          <w:p>
            <w:pPr>
              <w:spacing w:after="40" w:before="40"/>
            </w:pPr>
            <w:r>
              <w:rPr>
                <w:sz w:val="14"/>
              </w:rPr>
              <w:t>Administrative sovereignty</w:t>
            </w:r>
          </w:p>
        </w:tc>
        <w:tc>
          <w:tcPr>
            <w:tcW w:type="dxa" w:w="3384"/>
            <w:vAlign w:val="center"/>
            <w:shd w:fill="F3F7F5"/>
          </w:tcPr>
          <w:p>
            <w:pPr>
              <w:spacing w:after="40" w:before="40"/>
            </w:pPr>
            <w:r>
              <w:rPr>
                <w:sz w:val="14"/>
              </w:rPr>
              <w:t>PRODUCTION STANDARD FAILURE — REHEARSAL OBSERVATION</w:t>
              <w:br/>
              <w:t>Current organisation sharing permits a common provider administration plane across WA, canonical and restore-test projects. This is unacceptable as a production model.</w:t>
            </w:r>
          </w:p>
        </w:tc>
        <w:tc>
          <w:tcPr>
            <w:tcW w:type="dxa" w:w="1440"/>
            <w:vAlign w:val="center"/>
            <w:shd w:fill="F3F7F5"/>
          </w:tcPr>
          <w:p>
            <w:pPr>
              <w:spacing w:after="40" w:before="40"/>
            </w:pPr>
            <w:r>
              <w:rPr>
                <w:sz w:val="14"/>
              </w:rPr>
              <w:t>Country / Provider / Governance</w:t>
            </w:r>
          </w:p>
        </w:tc>
        <w:tc>
          <w:tcPr>
            <w:tcW w:type="dxa" w:w="1656"/>
            <w:vAlign w:val="center"/>
            <w:shd w:fill="F3F7F5"/>
          </w:tcPr>
          <w:p>
            <w:pPr>
              <w:spacing w:after="40" w:before="40"/>
            </w:pPr>
            <w:r>
              <w:rPr>
                <w:sz w:val="14"/>
              </w:rPr>
              <w:t>PROVIDER EVIDENCE; COUNTRY EVIDENCE; GOVERNANCE</w:t>
            </w:r>
          </w:p>
        </w:tc>
      </w:tr>
      <w:tr>
        <w:tc>
          <w:tcPr>
            <w:tcW w:type="dxa" w:w="1656"/>
            <w:vAlign w:val="center"/>
          </w:tcPr>
          <w:p>
            <w:pPr>
              <w:spacing w:after="40" w:before="40"/>
            </w:pPr>
            <w:r>
              <w:rPr>
                <w:sz w:val="14"/>
              </w:rPr>
              <w:t>SOV-RES-ORIGIN-01</w:t>
            </w:r>
          </w:p>
        </w:tc>
        <w:tc>
          <w:tcPr>
            <w:tcW w:type="dxa" w:w="720"/>
            <w:vAlign w:val="center"/>
          </w:tcPr>
          <w:p>
            <w:pPr>
              <w:spacing w:after="40" w:before="40"/>
            </w:pPr>
            <w:r>
              <w:rPr>
                <w:sz w:val="14"/>
              </w:rPr>
              <w:t>CR-05</w:t>
            </w:r>
          </w:p>
        </w:tc>
        <w:tc>
          <w:tcPr>
            <w:tcW w:type="dxa" w:w="1656"/>
            <w:vAlign w:val="center"/>
          </w:tcPr>
          <w:p>
            <w:pPr>
              <w:spacing w:after="40" w:before="40"/>
            </w:pPr>
            <w:r>
              <w:rPr>
                <w:sz w:val="14"/>
              </w:rPr>
              <w:t>Protected origin residency</w:t>
            </w:r>
          </w:p>
        </w:tc>
        <w:tc>
          <w:tcPr>
            <w:tcW w:type="dxa" w:w="3384"/>
            <w:vAlign w:val="center"/>
          </w:tcPr>
          <w:p>
            <w:pPr>
              <w:spacing w:after="40" w:before="40"/>
            </w:pPr>
            <w:r>
              <w:rPr>
                <w:sz w:val="14"/>
              </w:rPr>
              <w:t>PRODUCTION STANDARD FAILURE — REHEARSAL OBSERVATION</w:t>
              <w:br/>
              <w:t>Current Hostinger WA rehearsal origin and private scientific-photo path are outside Australia.</w:t>
            </w:r>
          </w:p>
        </w:tc>
        <w:tc>
          <w:tcPr>
            <w:tcW w:type="dxa" w:w="1440"/>
            <w:vAlign w:val="center"/>
          </w:tcPr>
          <w:p>
            <w:pPr>
              <w:spacing w:after="40" w:before="40"/>
            </w:pPr>
            <w:r>
              <w:rPr>
                <w:sz w:val="14"/>
              </w:rPr>
              <w:t>AAB / Country / Hosting provider</w:t>
            </w:r>
          </w:p>
        </w:tc>
        <w:tc>
          <w:tcPr>
            <w:tcW w:type="dxa" w:w="1656"/>
            <w:vAlign w:val="center"/>
          </w:tcPr>
          <w:p>
            <w:pPr>
              <w:spacing w:after="40" w:before="40"/>
            </w:pPr>
            <w:r>
              <w:rPr>
                <w:sz w:val="14"/>
              </w:rPr>
              <w:t>AUTO; PROVIDER EVIDENCE; COUNTRY EVIDENCE</w:t>
            </w:r>
          </w:p>
        </w:tc>
      </w:tr>
      <w:tr>
        <w:tc>
          <w:tcPr>
            <w:tcW w:type="dxa" w:w="1656"/>
            <w:vAlign w:val="center"/>
            <w:shd w:fill="F3F7F5"/>
          </w:tcPr>
          <w:p>
            <w:pPr>
              <w:spacing w:after="40" w:before="40"/>
            </w:pPr>
            <w:r>
              <w:rPr>
                <w:sz w:val="14"/>
              </w:rPr>
              <w:t>SOV-RES-HOST-BACKUP-01</w:t>
            </w:r>
          </w:p>
        </w:tc>
        <w:tc>
          <w:tcPr>
            <w:tcW w:type="dxa" w:w="720"/>
            <w:vAlign w:val="center"/>
            <w:shd w:fill="F3F7F5"/>
          </w:tcPr>
          <w:p>
            <w:pPr>
              <w:spacing w:after="40" w:before="40"/>
            </w:pPr>
            <w:r>
              <w:rPr>
                <w:sz w:val="14"/>
              </w:rPr>
              <w:t>CR-06</w:t>
            </w:r>
          </w:p>
        </w:tc>
        <w:tc>
          <w:tcPr>
            <w:tcW w:type="dxa" w:w="1656"/>
            <w:vAlign w:val="center"/>
            <w:shd w:fill="F3F7F5"/>
          </w:tcPr>
          <w:p>
            <w:pPr>
              <w:spacing w:after="40" w:before="40"/>
            </w:pPr>
            <w:r>
              <w:rPr>
                <w:sz w:val="14"/>
              </w:rPr>
              <w:t>Hosting backup residency</w:t>
            </w:r>
          </w:p>
        </w:tc>
        <w:tc>
          <w:tcPr>
            <w:tcW w:type="dxa" w:w="3384"/>
            <w:vAlign w:val="center"/>
            <w:shd w:fill="F3F7F5"/>
          </w:tcPr>
          <w:p>
            <w:pPr>
              <w:spacing w:after="40" w:before="40"/>
            </w:pPr>
            <w:r>
              <w:rPr>
                <w:sz w:val="14"/>
              </w:rPr>
              <w:t>PRODUCTION STANDARD FAILURE — REHEARSAL OBSERVATION</w:t>
              <w:br/>
              <w:t>Current Hostinger backup location is Singapore.</w:t>
            </w:r>
          </w:p>
        </w:tc>
        <w:tc>
          <w:tcPr>
            <w:tcW w:type="dxa" w:w="1440"/>
            <w:vAlign w:val="center"/>
            <w:shd w:fill="F3F7F5"/>
          </w:tcPr>
          <w:p>
            <w:pPr>
              <w:spacing w:after="40" w:before="40"/>
            </w:pPr>
            <w:r>
              <w:rPr>
                <w:sz w:val="14"/>
              </w:rPr>
              <w:t>Hosting provider / Country</w:t>
            </w:r>
          </w:p>
        </w:tc>
        <w:tc>
          <w:tcPr>
            <w:tcW w:type="dxa" w:w="1656"/>
            <w:vAlign w:val="center"/>
            <w:shd w:fill="F3F7F5"/>
          </w:tcPr>
          <w:p>
            <w:pPr>
              <w:spacing w:after="40" w:before="40"/>
            </w:pPr>
            <w:r>
              <w:rPr>
                <w:sz w:val="14"/>
              </w:rPr>
              <w:t>PROVIDER EVIDENCE; COUNTRY EVIDENCE</w:t>
            </w:r>
          </w:p>
        </w:tc>
      </w:tr>
      <w:tr>
        <w:tc>
          <w:tcPr>
            <w:tcW w:type="dxa" w:w="1656"/>
            <w:vAlign w:val="center"/>
          </w:tcPr>
          <w:p>
            <w:pPr>
              <w:spacing w:after="40" w:before="40"/>
            </w:pPr>
            <w:r>
              <w:rPr>
                <w:sz w:val="14"/>
              </w:rPr>
              <w:t>SOV-BACKUP-OBJECT-COVERAGE-01</w:t>
            </w:r>
          </w:p>
        </w:tc>
        <w:tc>
          <w:tcPr>
            <w:tcW w:type="dxa" w:w="720"/>
            <w:vAlign w:val="center"/>
          </w:tcPr>
          <w:p>
            <w:pPr>
              <w:spacing w:after="40" w:before="40"/>
            </w:pPr>
            <w:r>
              <w:rPr>
                <w:sz w:val="14"/>
              </w:rPr>
              <w:t>CR-07</w:t>
            </w:r>
          </w:p>
        </w:tc>
        <w:tc>
          <w:tcPr>
            <w:tcW w:type="dxa" w:w="1656"/>
            <w:vAlign w:val="center"/>
          </w:tcPr>
          <w:p>
            <w:pPr>
              <w:spacing w:after="40" w:before="40"/>
            </w:pPr>
            <w:r>
              <w:rPr>
                <w:sz w:val="14"/>
              </w:rPr>
              <w:t>Scientific object backup coverage</w:t>
            </w:r>
          </w:p>
        </w:tc>
        <w:tc>
          <w:tcPr>
            <w:tcW w:type="dxa" w:w="3384"/>
            <w:vAlign w:val="center"/>
          </w:tcPr>
          <w:p>
            <w:pPr>
              <w:spacing w:after="40" w:before="40"/>
            </w:pPr>
            <w:r>
              <w:rPr>
                <w:sz w:val="14"/>
              </w:rPr>
              <w:t>PRODUCTION STANDARD FAILURE — REHEARSAL OBSERVATION</w:t>
              <w:br/>
              <w:t>Supabase daily physical database backups exist, but Storage objects are not included.</w:t>
            </w:r>
          </w:p>
        </w:tc>
        <w:tc>
          <w:tcPr>
            <w:tcW w:type="dxa" w:w="1440"/>
            <w:vAlign w:val="center"/>
          </w:tcPr>
          <w:p>
            <w:pPr>
              <w:spacing w:after="40" w:before="40"/>
            </w:pPr>
            <w:r>
              <w:rPr>
                <w:sz w:val="14"/>
              </w:rPr>
              <w:t>Provider / Country</w:t>
            </w:r>
          </w:p>
        </w:tc>
        <w:tc>
          <w:tcPr>
            <w:tcW w:type="dxa" w:w="1656"/>
            <w:vAlign w:val="center"/>
          </w:tcPr>
          <w:p>
            <w:pPr>
              <w:spacing w:after="40" w:before="40"/>
            </w:pPr>
            <w:r>
              <w:rPr>
                <w:sz w:val="14"/>
              </w:rPr>
              <w:t>AUTO + HUMAN; PROVIDER EVIDENCE; COUNTRY EVIDENCE</w:t>
            </w:r>
          </w:p>
        </w:tc>
      </w:tr>
      <w:tr>
        <w:tc>
          <w:tcPr>
            <w:tcW w:type="dxa" w:w="1656"/>
            <w:vAlign w:val="center"/>
            <w:shd w:fill="F3F7F5"/>
          </w:tcPr>
          <w:p>
            <w:pPr>
              <w:spacing w:after="40" w:before="40"/>
            </w:pPr>
            <w:r>
              <w:rPr>
                <w:sz w:val="14"/>
              </w:rPr>
              <w:t>SOV-RECOVERY-OBJECT-01</w:t>
            </w:r>
          </w:p>
        </w:tc>
        <w:tc>
          <w:tcPr>
            <w:tcW w:type="dxa" w:w="720"/>
            <w:vAlign w:val="center"/>
            <w:shd w:fill="F3F7F5"/>
          </w:tcPr>
          <w:p>
            <w:pPr>
              <w:spacing w:after="40" w:before="40"/>
            </w:pPr>
            <w:r>
              <w:rPr>
                <w:sz w:val="14"/>
              </w:rPr>
              <w:t>CR-08</w:t>
            </w:r>
          </w:p>
        </w:tc>
        <w:tc>
          <w:tcPr>
            <w:tcW w:type="dxa" w:w="1656"/>
            <w:vAlign w:val="center"/>
            <w:shd w:fill="F3F7F5"/>
          </w:tcPr>
          <w:p>
            <w:pPr>
              <w:spacing w:after="40" w:before="40"/>
            </w:pPr>
            <w:r>
              <w:rPr>
                <w:sz w:val="14"/>
              </w:rPr>
              <w:t>Scientific object recovery</w:t>
            </w:r>
          </w:p>
        </w:tc>
        <w:tc>
          <w:tcPr>
            <w:tcW w:type="dxa" w:w="3384"/>
            <w:vAlign w:val="center"/>
            <w:shd w:fill="F3F7F5"/>
          </w:tcPr>
          <w:p>
            <w:pPr>
              <w:spacing w:after="40" w:before="40"/>
            </w:pPr>
            <w:r>
              <w:rPr>
                <w:sz w:val="14"/>
              </w:rPr>
              <w:t>EVIDENCE REQUIRED</w:t>
              <w:br/>
              <w:t>Production recovery of protected scientific objects has not been proven.</w:t>
            </w:r>
          </w:p>
        </w:tc>
        <w:tc>
          <w:tcPr>
            <w:tcW w:type="dxa" w:w="1440"/>
            <w:vAlign w:val="center"/>
            <w:shd w:fill="F3F7F5"/>
          </w:tcPr>
          <w:p>
            <w:pPr>
              <w:spacing w:after="40" w:before="40"/>
            </w:pPr>
            <w:r>
              <w:rPr>
                <w:sz w:val="14"/>
              </w:rPr>
              <w:t>Country / Provider</w:t>
            </w:r>
          </w:p>
        </w:tc>
        <w:tc>
          <w:tcPr>
            <w:tcW w:type="dxa" w:w="1656"/>
            <w:vAlign w:val="center"/>
            <w:shd w:fill="F3F7F5"/>
          </w:tcPr>
          <w:p>
            <w:pPr>
              <w:spacing w:after="40" w:before="40"/>
            </w:pPr>
            <w:r>
              <w:rPr>
                <w:sz w:val="14"/>
              </w:rPr>
              <w:t>AUTO + HUMAN; PROVIDER EVIDENCE; COUNTRY EVIDENCE; GOVERNANCE</w:t>
            </w:r>
          </w:p>
        </w:tc>
      </w:tr>
      <w:tr>
        <w:tc>
          <w:tcPr>
            <w:tcW w:type="dxa" w:w="1656"/>
            <w:vAlign w:val="center"/>
          </w:tcPr>
          <w:p>
            <w:pPr>
              <w:spacing w:after="40" w:before="40"/>
            </w:pPr>
            <w:r>
              <w:rPr>
                <w:sz w:val="14"/>
              </w:rPr>
              <w:t>SOV-RECOVERY-DB-01</w:t>
            </w:r>
          </w:p>
        </w:tc>
        <w:tc>
          <w:tcPr>
            <w:tcW w:type="dxa" w:w="720"/>
            <w:vAlign w:val="center"/>
          </w:tcPr>
          <w:p>
            <w:pPr>
              <w:spacing w:after="40" w:before="40"/>
            </w:pPr>
            <w:r>
              <w:rPr>
                <w:sz w:val="14"/>
              </w:rPr>
              <w:t>CR-09</w:t>
            </w:r>
          </w:p>
        </w:tc>
        <w:tc>
          <w:tcPr>
            <w:tcW w:type="dxa" w:w="1656"/>
            <w:vAlign w:val="center"/>
          </w:tcPr>
          <w:p>
            <w:pPr>
              <w:spacing w:after="40" w:before="40"/>
            </w:pPr>
            <w:r>
              <w:rPr>
                <w:sz w:val="14"/>
              </w:rPr>
              <w:t>Database recovery</w:t>
            </w:r>
          </w:p>
        </w:tc>
        <w:tc>
          <w:tcPr>
            <w:tcW w:type="dxa" w:w="3384"/>
            <w:vAlign w:val="center"/>
          </w:tcPr>
          <w:p>
            <w:pPr>
              <w:spacing w:after="40" w:before="40"/>
            </w:pPr>
            <w:r>
              <w:rPr>
                <w:sz w:val="14"/>
              </w:rPr>
              <w:t>EVIDENCE REQUIRED</w:t>
              <w:br/>
              <w:t>Daily physical database backup capability is evidenced; exact copy locality and production recovery proof remain unresolved.</w:t>
            </w:r>
          </w:p>
        </w:tc>
        <w:tc>
          <w:tcPr>
            <w:tcW w:type="dxa" w:w="1440"/>
            <w:vAlign w:val="center"/>
          </w:tcPr>
          <w:p>
            <w:pPr>
              <w:spacing w:after="40" w:before="40"/>
            </w:pPr>
            <w:r>
              <w:rPr>
                <w:sz w:val="14"/>
              </w:rPr>
              <w:t>Provider / Country</w:t>
            </w:r>
          </w:p>
        </w:tc>
        <w:tc>
          <w:tcPr>
            <w:tcW w:type="dxa" w:w="1656"/>
            <w:vAlign w:val="center"/>
          </w:tcPr>
          <w:p>
            <w:pPr>
              <w:spacing w:after="40" w:before="40"/>
            </w:pPr>
            <w:r>
              <w:rPr>
                <w:sz w:val="14"/>
              </w:rPr>
              <w:t>AUTO + HUMAN; PROVIDER EVIDENCE; COUNTRY EVIDENCE</w:t>
            </w:r>
          </w:p>
        </w:tc>
      </w:tr>
      <w:tr>
        <w:tc>
          <w:tcPr>
            <w:tcW w:type="dxa" w:w="1656"/>
            <w:vAlign w:val="center"/>
            <w:shd w:fill="F3F7F5"/>
          </w:tcPr>
          <w:p>
            <w:pPr>
              <w:spacing w:after="40" w:before="40"/>
            </w:pPr>
            <w:r>
              <w:rPr>
                <w:sz w:val="14"/>
              </w:rPr>
              <w:t>SOV-RES-LOG-01</w:t>
            </w:r>
          </w:p>
        </w:tc>
        <w:tc>
          <w:tcPr>
            <w:tcW w:type="dxa" w:w="720"/>
            <w:vAlign w:val="center"/>
            <w:shd w:fill="F3F7F5"/>
          </w:tcPr>
          <w:p>
            <w:pPr>
              <w:spacing w:after="40" w:before="40"/>
            </w:pPr>
            <w:r>
              <w:rPr>
                <w:sz w:val="14"/>
              </w:rPr>
              <w:t>CR-10</w:t>
            </w:r>
          </w:p>
        </w:tc>
        <w:tc>
          <w:tcPr>
            <w:tcW w:type="dxa" w:w="1656"/>
            <w:vAlign w:val="center"/>
            <w:shd w:fill="F3F7F5"/>
          </w:tcPr>
          <w:p>
            <w:pPr>
              <w:spacing w:after="40" w:before="40"/>
            </w:pPr>
            <w:r>
              <w:rPr>
                <w:sz w:val="14"/>
              </w:rPr>
              <w:t>Protected log residency</w:t>
            </w:r>
          </w:p>
        </w:tc>
        <w:tc>
          <w:tcPr>
            <w:tcW w:type="dxa" w:w="3384"/>
            <w:vAlign w:val="center"/>
            <w:shd w:fill="F3F7F5"/>
          </w:tcPr>
          <w:p>
            <w:pPr>
              <w:spacing w:after="40" w:before="40"/>
            </w:pPr>
            <w:r>
              <w:rPr>
                <w:sz w:val="14"/>
              </w:rPr>
              <w:t>EVIDENCE REQUIRED</w:t>
              <w:br/>
              <w:t>Native log residency, backup locality and provider access were not established. No configured external Supabase log drain was evidenced.</w:t>
            </w:r>
          </w:p>
        </w:tc>
        <w:tc>
          <w:tcPr>
            <w:tcW w:type="dxa" w:w="1440"/>
            <w:vAlign w:val="center"/>
            <w:shd w:fill="F3F7F5"/>
          </w:tcPr>
          <w:p>
            <w:pPr>
              <w:spacing w:after="40" w:before="40"/>
            </w:pPr>
            <w:r>
              <w:rPr>
                <w:sz w:val="14"/>
              </w:rPr>
              <w:t>Provider / Country</w:t>
            </w:r>
          </w:p>
        </w:tc>
        <w:tc>
          <w:tcPr>
            <w:tcW w:type="dxa" w:w="1656"/>
            <w:vAlign w:val="center"/>
            <w:shd w:fill="F3F7F5"/>
          </w:tcPr>
          <w:p>
            <w:pPr>
              <w:spacing w:after="40" w:before="40"/>
            </w:pPr>
            <w:r>
              <w:rPr>
                <w:sz w:val="14"/>
              </w:rPr>
              <w:t>AUTO; PROVIDER EVIDENCE; COUNTRY EVIDENCE</w:t>
            </w:r>
          </w:p>
        </w:tc>
      </w:tr>
      <w:tr>
        <w:tc>
          <w:tcPr>
            <w:tcW w:type="dxa" w:w="1656"/>
            <w:vAlign w:val="center"/>
          </w:tcPr>
          <w:p>
            <w:pPr>
              <w:spacing w:after="40" w:before="40"/>
            </w:pPr>
            <w:r>
              <w:rPr>
                <w:sz w:val="14"/>
              </w:rPr>
              <w:t>SOV-RES-CACHE-01</w:t>
            </w:r>
          </w:p>
        </w:tc>
        <w:tc>
          <w:tcPr>
            <w:tcW w:type="dxa" w:w="720"/>
            <w:vAlign w:val="center"/>
          </w:tcPr>
          <w:p>
            <w:pPr>
              <w:spacing w:after="40" w:before="40"/>
            </w:pPr>
            <w:r>
              <w:rPr>
                <w:sz w:val="14"/>
              </w:rPr>
              <w:t>CR-11</w:t>
            </w:r>
          </w:p>
        </w:tc>
        <w:tc>
          <w:tcPr>
            <w:tcW w:type="dxa" w:w="1656"/>
            <w:vAlign w:val="center"/>
          </w:tcPr>
          <w:p>
            <w:pPr>
              <w:spacing w:after="40" w:before="40"/>
            </w:pPr>
            <w:r>
              <w:rPr>
                <w:sz w:val="14"/>
              </w:rPr>
              <w:t>CDN and cache copies</w:t>
            </w:r>
          </w:p>
        </w:tc>
        <w:tc>
          <w:tcPr>
            <w:tcW w:type="dxa" w:w="3384"/>
            <w:vAlign w:val="center"/>
          </w:tcPr>
          <w:p>
            <w:pPr>
              <w:spacing w:after="40" w:before="40"/>
            </w:pPr>
            <w:r>
              <w:rPr>
                <w:sz w:val="14"/>
              </w:rPr>
              <w:t>EVIDENCE REQUIRED</w:t>
              <w:br/>
              <w:t>Standard CDN behaviour may create geographically distributed cached copies; explicit protected-science controls were not proven.</w:t>
            </w:r>
          </w:p>
        </w:tc>
        <w:tc>
          <w:tcPr>
            <w:tcW w:type="dxa" w:w="1440"/>
            <w:vAlign w:val="center"/>
          </w:tcPr>
          <w:p>
            <w:pPr>
              <w:spacing w:after="40" w:before="40"/>
            </w:pPr>
            <w:r>
              <w:rPr>
                <w:sz w:val="14"/>
              </w:rPr>
              <w:t>Provider / Country</w:t>
            </w:r>
          </w:p>
        </w:tc>
        <w:tc>
          <w:tcPr>
            <w:tcW w:type="dxa" w:w="1656"/>
            <w:vAlign w:val="center"/>
          </w:tcPr>
          <w:p>
            <w:pPr>
              <w:spacing w:after="40" w:before="40"/>
            </w:pPr>
            <w:r>
              <w:rPr>
                <w:sz w:val="14"/>
              </w:rPr>
              <w:t>AUTO; PROVIDER EVIDENCE; COUNTRY EVIDENCE</w:t>
            </w:r>
          </w:p>
        </w:tc>
      </w:tr>
      <w:tr>
        <w:tc>
          <w:tcPr>
            <w:tcW w:type="dxa" w:w="1656"/>
            <w:vAlign w:val="center"/>
            <w:shd w:fill="F3F7F5"/>
          </w:tcPr>
          <w:p>
            <w:pPr>
              <w:spacing w:after="40" w:before="40"/>
            </w:pPr>
            <w:r>
              <w:rPr>
                <w:sz w:val="14"/>
              </w:rPr>
              <w:t>SOV-RES-EXECUTION-01</w:t>
            </w:r>
          </w:p>
        </w:tc>
        <w:tc>
          <w:tcPr>
            <w:tcW w:type="dxa" w:w="720"/>
            <w:vAlign w:val="center"/>
            <w:shd w:fill="F3F7F5"/>
          </w:tcPr>
          <w:p>
            <w:pPr>
              <w:spacing w:after="40" w:before="40"/>
            </w:pPr>
            <w:r>
              <w:rPr>
                <w:sz w:val="14"/>
              </w:rPr>
              <w:t>CR-12</w:t>
            </w:r>
          </w:p>
        </w:tc>
        <w:tc>
          <w:tcPr>
            <w:tcW w:type="dxa" w:w="1656"/>
            <w:vAlign w:val="center"/>
            <w:shd w:fill="F3F7F5"/>
          </w:tcPr>
          <w:p>
            <w:pPr>
              <w:spacing w:after="40" w:before="40"/>
            </w:pPr>
            <w:r>
              <w:rPr>
                <w:sz w:val="14"/>
              </w:rPr>
              <w:t>Serverless execution residency</w:t>
            </w:r>
          </w:p>
        </w:tc>
        <w:tc>
          <w:tcPr>
            <w:tcW w:type="dxa" w:w="3384"/>
            <w:vAlign w:val="center"/>
            <w:shd w:fill="F3F7F5"/>
          </w:tcPr>
          <w:p>
            <w:pPr>
              <w:spacing w:after="40" w:before="40"/>
            </w:pPr>
            <w:r>
              <w:rPr>
                <w:sz w:val="14"/>
              </w:rPr>
              <w:t>EVIDENCE REQUIRED</w:t>
              <w:br/>
              <w:t>Sovereign execution and fail-closed regional behaviour were not established.</w:t>
            </w:r>
          </w:p>
        </w:tc>
        <w:tc>
          <w:tcPr>
            <w:tcW w:type="dxa" w:w="1440"/>
            <w:vAlign w:val="center"/>
            <w:shd w:fill="F3F7F5"/>
          </w:tcPr>
          <w:p>
            <w:pPr>
              <w:spacing w:after="40" w:before="40"/>
            </w:pPr>
            <w:r>
              <w:rPr>
                <w:sz w:val="14"/>
              </w:rPr>
              <w:t>Provider / Country</w:t>
            </w:r>
          </w:p>
        </w:tc>
        <w:tc>
          <w:tcPr>
            <w:tcW w:type="dxa" w:w="1656"/>
            <w:vAlign w:val="center"/>
            <w:shd w:fill="F3F7F5"/>
          </w:tcPr>
          <w:p>
            <w:pPr>
              <w:spacing w:after="40" w:before="40"/>
            </w:pPr>
            <w:r>
              <w:rPr>
                <w:sz w:val="14"/>
              </w:rPr>
              <w:t>AUTO + HUMAN; PROVIDER EVIDENCE</w:t>
            </w:r>
          </w:p>
        </w:tc>
      </w:tr>
      <w:tr>
        <w:tc>
          <w:tcPr>
            <w:tcW w:type="dxa" w:w="1656"/>
            <w:vAlign w:val="center"/>
          </w:tcPr>
          <w:p>
            <w:pPr>
              <w:spacing w:after="40" w:before="40"/>
            </w:pPr>
            <w:r>
              <w:rPr>
                <w:sz w:val="14"/>
              </w:rPr>
              <w:t>SOV-DERIVATIVE-BOUNDARY-01</w:t>
            </w:r>
          </w:p>
        </w:tc>
        <w:tc>
          <w:tcPr>
            <w:tcW w:type="dxa" w:w="720"/>
            <w:vAlign w:val="center"/>
          </w:tcPr>
          <w:p>
            <w:pPr>
              <w:spacing w:after="40" w:before="40"/>
            </w:pPr>
            <w:r>
              <w:rPr>
                <w:sz w:val="14"/>
              </w:rPr>
              <w:t>CR-13</w:t>
            </w:r>
          </w:p>
        </w:tc>
        <w:tc>
          <w:tcPr>
            <w:tcW w:type="dxa" w:w="1656"/>
            <w:vAlign w:val="center"/>
          </w:tcPr>
          <w:p>
            <w:pPr>
              <w:spacing w:after="40" w:before="40"/>
            </w:pPr>
            <w:r>
              <w:rPr>
                <w:sz w:val="14"/>
              </w:rPr>
              <w:t>Transformation and derivative sovereignty</w:t>
            </w:r>
          </w:p>
        </w:tc>
        <w:tc>
          <w:tcPr>
            <w:tcW w:type="dxa" w:w="3384"/>
            <w:vAlign w:val="center"/>
          </w:tcPr>
          <w:p>
            <w:pPr>
              <w:spacing w:after="40" w:before="40"/>
            </w:pPr>
            <w:r>
              <w:rPr>
                <w:sz w:val="14"/>
              </w:rPr>
              <w:t>EVIDENCE REQUIRED</w:t>
              <w:br/>
              <w:t>The principle is established; end-to-end deployment enforcement and inventory evidence are not yet available.</w:t>
            </w:r>
          </w:p>
        </w:tc>
        <w:tc>
          <w:tcPr>
            <w:tcW w:type="dxa" w:w="1440"/>
            <w:vAlign w:val="center"/>
          </w:tcPr>
          <w:p>
            <w:pPr>
              <w:spacing w:after="40" w:before="40"/>
            </w:pPr>
            <w:r>
              <w:rPr>
                <w:sz w:val="14"/>
              </w:rPr>
              <w:t>AAB / Country / Governance</w:t>
            </w:r>
          </w:p>
        </w:tc>
        <w:tc>
          <w:tcPr>
            <w:tcW w:type="dxa" w:w="1656"/>
            <w:vAlign w:val="center"/>
          </w:tcPr>
          <w:p>
            <w:pPr>
              <w:spacing w:after="40" w:before="40"/>
            </w:pPr>
            <w:r>
              <w:rPr>
                <w:sz w:val="14"/>
              </w:rPr>
              <w:t>AUTO; COUNTRY EVIDENCE; GOVERNANCE</w:t>
            </w:r>
          </w:p>
        </w:tc>
      </w:tr>
      <w:tr>
        <w:tc>
          <w:tcPr>
            <w:tcW w:type="dxa" w:w="1656"/>
            <w:vAlign w:val="center"/>
            <w:shd w:fill="F3F7F5"/>
          </w:tcPr>
          <w:p>
            <w:pPr>
              <w:spacing w:after="40" w:before="40"/>
            </w:pPr>
            <w:r>
              <w:rPr>
                <w:sz w:val="14"/>
              </w:rPr>
              <w:t>SOV-FLOW-NO-CANONICAL-RETURN-01</w:t>
            </w:r>
          </w:p>
        </w:tc>
        <w:tc>
          <w:tcPr>
            <w:tcW w:type="dxa" w:w="720"/>
            <w:vAlign w:val="center"/>
            <w:shd w:fill="F3F7F5"/>
          </w:tcPr>
          <w:p>
            <w:pPr>
              <w:spacing w:after="40" w:before="40"/>
            </w:pPr>
            <w:r>
              <w:rPr>
                <w:sz w:val="14"/>
              </w:rPr>
              <w:t>CR-14</w:t>
            </w:r>
          </w:p>
        </w:tc>
        <w:tc>
          <w:tcPr>
            <w:tcW w:type="dxa" w:w="1656"/>
            <w:vAlign w:val="center"/>
            <w:shd w:fill="F3F7F5"/>
          </w:tcPr>
          <w:p>
            <w:pPr>
              <w:spacing w:after="40" w:before="40"/>
            </w:pPr>
            <w:r>
              <w:rPr>
                <w:sz w:val="14"/>
              </w:rPr>
              <w:t>No automatic return to canonical</w:t>
            </w:r>
          </w:p>
        </w:tc>
        <w:tc>
          <w:tcPr>
            <w:tcW w:type="dxa" w:w="3384"/>
            <w:vAlign w:val="center"/>
            <w:shd w:fill="F3F7F5"/>
          </w:tcPr>
          <w:p>
            <w:pPr>
              <w:spacing w:after="40" w:before="40"/>
            </w:pPr>
            <w:r>
              <w:rPr>
                <w:sz w:val="14"/>
              </w:rPr>
              <w:t>PASS — REVIEWED IMPLEMENTATION ONLY</w:t>
              <w:br/>
              <w:t>No default scientific-data outbound path to canonical AAB was identified in the reviewed implementation. Commissioning proof remains required for the vendor-neutral package.</w:t>
            </w:r>
          </w:p>
        </w:tc>
        <w:tc>
          <w:tcPr>
            <w:tcW w:type="dxa" w:w="1440"/>
            <w:vAlign w:val="center"/>
            <w:shd w:fill="F3F7F5"/>
          </w:tcPr>
          <w:p>
            <w:pPr>
              <w:spacing w:after="40" w:before="40"/>
            </w:pPr>
            <w:r>
              <w:rPr>
                <w:sz w:val="14"/>
              </w:rPr>
              <w:t>AAB / Country</w:t>
            </w:r>
          </w:p>
        </w:tc>
        <w:tc>
          <w:tcPr>
            <w:tcW w:type="dxa" w:w="1656"/>
            <w:vAlign w:val="center"/>
            <w:shd w:fill="F3F7F5"/>
          </w:tcPr>
          <w:p>
            <w:pPr>
              <w:spacing w:after="40" w:before="40"/>
            </w:pPr>
            <w:r>
              <w:rPr>
                <w:sz w:val="14"/>
              </w:rPr>
              <w:t>AUTO + HUMAN; COUNTRY EVIDENCE; GOVERNANCE</w:t>
            </w:r>
          </w:p>
        </w:tc>
      </w:tr>
      <w:tr>
        <w:tc>
          <w:tcPr>
            <w:tcW w:type="dxa" w:w="1656"/>
            <w:vAlign w:val="center"/>
          </w:tcPr>
          <w:p>
            <w:pPr>
              <w:spacing w:after="40" w:before="40"/>
            </w:pPr>
            <w:r>
              <w:rPr>
                <w:sz w:val="14"/>
              </w:rPr>
              <w:t>SOV-FLOW-NO-CROSS-COUNTRY-01</w:t>
            </w:r>
          </w:p>
        </w:tc>
        <w:tc>
          <w:tcPr>
            <w:tcW w:type="dxa" w:w="720"/>
            <w:vAlign w:val="center"/>
          </w:tcPr>
          <w:p>
            <w:pPr>
              <w:spacing w:after="40" w:before="40"/>
            </w:pPr>
            <w:r>
              <w:rPr>
                <w:sz w:val="14"/>
              </w:rPr>
              <w:t>CR-15</w:t>
            </w:r>
          </w:p>
        </w:tc>
        <w:tc>
          <w:tcPr>
            <w:tcW w:type="dxa" w:w="1656"/>
            <w:vAlign w:val="center"/>
          </w:tcPr>
          <w:p>
            <w:pPr>
              <w:spacing w:after="40" w:before="40"/>
            </w:pPr>
            <w:r>
              <w:rPr>
                <w:sz w:val="14"/>
              </w:rPr>
              <w:t>No country-to-country propagation</w:t>
            </w:r>
          </w:p>
        </w:tc>
        <w:tc>
          <w:tcPr>
            <w:tcW w:type="dxa" w:w="3384"/>
            <w:vAlign w:val="center"/>
          </w:tcPr>
          <w:p>
            <w:pPr>
              <w:spacing w:after="40" w:before="40"/>
            </w:pPr>
            <w:r>
              <w:rPr>
                <w:sz w:val="14"/>
              </w:rPr>
              <w:t>PASS — REVIEWED IMPLEMENTATION ONLY</w:t>
              <w:br/>
              <w:t>No default cross-country scientific-data path was identified; package-level commissioning proof remains required.</w:t>
            </w:r>
          </w:p>
        </w:tc>
        <w:tc>
          <w:tcPr>
            <w:tcW w:type="dxa" w:w="1440"/>
            <w:vAlign w:val="center"/>
          </w:tcPr>
          <w:p>
            <w:pPr>
              <w:spacing w:after="40" w:before="40"/>
            </w:pPr>
            <w:r>
              <w:rPr>
                <w:sz w:val="14"/>
              </w:rPr>
              <w:t>AAB / Country</w:t>
            </w:r>
          </w:p>
        </w:tc>
        <w:tc>
          <w:tcPr>
            <w:tcW w:type="dxa" w:w="1656"/>
            <w:vAlign w:val="center"/>
          </w:tcPr>
          <w:p>
            <w:pPr>
              <w:spacing w:after="40" w:before="40"/>
            </w:pPr>
            <w:r>
              <w:rPr>
                <w:sz w:val="14"/>
              </w:rPr>
              <w:t>AUTO + HUMAN; COUNTRY EVIDENCE; GOVERNANCE</w:t>
            </w:r>
          </w:p>
        </w:tc>
      </w:tr>
      <w:tr>
        <w:tc>
          <w:tcPr>
            <w:tcW w:type="dxa" w:w="1656"/>
            <w:vAlign w:val="center"/>
            <w:shd w:fill="F3F7F5"/>
          </w:tcPr>
          <w:p>
            <w:pPr>
              <w:spacing w:after="40" w:before="40"/>
            </w:pPr>
            <w:r>
              <w:rPr>
                <w:sz w:val="14"/>
              </w:rPr>
              <w:t>SOV-FLOW-NO-EXTERNAL-AI-01</w:t>
            </w:r>
          </w:p>
        </w:tc>
        <w:tc>
          <w:tcPr>
            <w:tcW w:type="dxa" w:w="720"/>
            <w:vAlign w:val="center"/>
            <w:shd w:fill="F3F7F5"/>
          </w:tcPr>
          <w:p>
            <w:pPr>
              <w:spacing w:after="40" w:before="40"/>
            </w:pPr>
            <w:r>
              <w:rPr>
                <w:sz w:val="14"/>
              </w:rPr>
              <w:t>CR-16</w:t>
            </w:r>
          </w:p>
        </w:tc>
        <w:tc>
          <w:tcPr>
            <w:tcW w:type="dxa" w:w="1656"/>
            <w:vAlign w:val="center"/>
            <w:shd w:fill="F3F7F5"/>
          </w:tcPr>
          <w:p>
            <w:pPr>
              <w:spacing w:after="40" w:before="40"/>
            </w:pPr>
            <w:r>
              <w:rPr>
                <w:sz w:val="14"/>
              </w:rPr>
              <w:t>No external AI training export</w:t>
            </w:r>
          </w:p>
        </w:tc>
        <w:tc>
          <w:tcPr>
            <w:tcW w:type="dxa" w:w="3384"/>
            <w:vAlign w:val="center"/>
            <w:shd w:fill="F3F7F5"/>
          </w:tcPr>
          <w:p>
            <w:pPr>
              <w:spacing w:after="40" w:before="40"/>
            </w:pPr>
            <w:r>
              <w:rPr>
                <w:sz w:val="14"/>
              </w:rPr>
              <w:t>PASS — REVIEWED IMPLEMENTATION ONLY</w:t>
              <w:br/>
              <w:t>No default outbound path to external AI training or a global vector service was identified in the reviewed implementation.</w:t>
            </w:r>
          </w:p>
        </w:tc>
        <w:tc>
          <w:tcPr>
            <w:tcW w:type="dxa" w:w="1440"/>
            <w:vAlign w:val="center"/>
            <w:shd w:fill="F3F7F5"/>
          </w:tcPr>
          <w:p>
            <w:pPr>
              <w:spacing w:after="40" w:before="40"/>
            </w:pPr>
            <w:r>
              <w:rPr>
                <w:sz w:val="14"/>
              </w:rPr>
              <w:t>AAB / Country / Provider</w:t>
            </w:r>
          </w:p>
        </w:tc>
        <w:tc>
          <w:tcPr>
            <w:tcW w:type="dxa" w:w="1656"/>
            <w:vAlign w:val="center"/>
            <w:shd w:fill="F3F7F5"/>
          </w:tcPr>
          <w:p>
            <w:pPr>
              <w:spacing w:after="40" w:before="40"/>
            </w:pPr>
            <w:r>
              <w:rPr>
                <w:sz w:val="14"/>
              </w:rPr>
              <w:t>AUTO + HUMAN; PROVIDER EVIDENCE; COUNTRY EVIDENCE; GOVERNANCE</w:t>
            </w:r>
          </w:p>
        </w:tc>
      </w:tr>
      <w:tr>
        <w:tc>
          <w:tcPr>
            <w:tcW w:type="dxa" w:w="1656"/>
            <w:vAlign w:val="center"/>
          </w:tcPr>
          <w:p>
            <w:pPr>
              <w:spacing w:after="40" w:before="40"/>
            </w:pPr>
            <w:r>
              <w:rPr>
                <w:sz w:val="14"/>
              </w:rPr>
              <w:t>SEC-AUTH-PERSISTED-AUTHORITY-01</w:t>
            </w:r>
          </w:p>
        </w:tc>
        <w:tc>
          <w:tcPr>
            <w:tcW w:type="dxa" w:w="720"/>
            <w:vAlign w:val="center"/>
          </w:tcPr>
          <w:p>
            <w:pPr>
              <w:spacing w:after="40" w:before="40"/>
            </w:pPr>
            <w:r>
              <w:rPr>
                <w:sz w:val="14"/>
              </w:rPr>
              <w:t>CR-17</w:t>
            </w:r>
          </w:p>
        </w:tc>
        <w:tc>
          <w:tcPr>
            <w:tcW w:type="dxa" w:w="1656"/>
            <w:vAlign w:val="center"/>
          </w:tcPr>
          <w:p>
            <w:pPr>
              <w:spacing w:after="40" w:before="40"/>
            </w:pPr>
            <w:r>
              <w:rPr>
                <w:sz w:val="14"/>
              </w:rPr>
              <w:t>Persisted authority over browser claims</w:t>
            </w:r>
          </w:p>
        </w:tc>
        <w:tc>
          <w:tcPr>
            <w:tcW w:type="dxa" w:w="3384"/>
            <w:vAlign w:val="center"/>
          </w:tcPr>
          <w:p>
            <w:pPr>
              <w:spacing w:after="40" w:before="40"/>
            </w:pPr>
            <w:r>
              <w:rPr>
                <w:sz w:val="14"/>
              </w:rPr>
              <w:t>PASS — REVIEWED IMPLEMENTATION</w:t>
              <w:br/>
              <w:t>Browser users could not become scientist or administrator merely by changing a supplied role value in the reviewed flows.</w:t>
            </w:r>
          </w:p>
        </w:tc>
        <w:tc>
          <w:tcPr>
            <w:tcW w:type="dxa" w:w="1440"/>
            <w:vAlign w:val="center"/>
          </w:tcPr>
          <w:p>
            <w:pPr>
              <w:spacing w:after="40" w:before="40"/>
            </w:pPr>
            <w:r>
              <w:rPr>
                <w:sz w:val="14"/>
              </w:rPr>
              <w:t>AAB</w:t>
            </w:r>
          </w:p>
        </w:tc>
        <w:tc>
          <w:tcPr>
            <w:tcW w:type="dxa" w:w="1656"/>
            <w:vAlign w:val="center"/>
          </w:tcPr>
          <w:p>
            <w:pPr>
              <w:spacing w:after="40" w:before="40"/>
            </w:pPr>
            <w:r>
              <w:rPr>
                <w:sz w:val="14"/>
              </w:rPr>
              <w:t>AUTO + HUMAN</w:t>
            </w:r>
          </w:p>
        </w:tc>
      </w:tr>
      <w:tr>
        <w:tc>
          <w:tcPr>
            <w:tcW w:type="dxa" w:w="1656"/>
            <w:vAlign w:val="center"/>
            <w:shd w:fill="F3F7F5"/>
          </w:tcPr>
          <w:p>
            <w:pPr>
              <w:spacing w:after="40" w:before="40"/>
            </w:pPr>
            <w:r>
              <w:rPr>
                <w:sz w:val="14"/>
              </w:rPr>
              <w:t>SEC-AUTH-SCIENTIFIC-ACTION-01</w:t>
            </w:r>
          </w:p>
        </w:tc>
        <w:tc>
          <w:tcPr>
            <w:tcW w:type="dxa" w:w="720"/>
            <w:vAlign w:val="center"/>
            <w:shd w:fill="F3F7F5"/>
          </w:tcPr>
          <w:p>
            <w:pPr>
              <w:spacing w:after="40" w:before="40"/>
            </w:pPr>
            <w:r>
              <w:rPr>
                <w:sz w:val="14"/>
              </w:rPr>
              <w:t>CR-18</w:t>
            </w:r>
          </w:p>
        </w:tc>
        <w:tc>
          <w:tcPr>
            <w:tcW w:type="dxa" w:w="1656"/>
            <w:vAlign w:val="center"/>
            <w:shd w:fill="F3F7F5"/>
          </w:tcPr>
          <w:p>
            <w:pPr>
              <w:spacing w:after="40" w:before="40"/>
            </w:pPr>
            <w:r>
              <w:rPr>
                <w:sz w:val="14"/>
              </w:rPr>
              <w:t>Critical scientific action authorisation</w:t>
            </w:r>
          </w:p>
        </w:tc>
        <w:tc>
          <w:tcPr>
            <w:tcW w:type="dxa" w:w="3384"/>
            <w:vAlign w:val="center"/>
            <w:shd w:fill="F3F7F5"/>
          </w:tcPr>
          <w:p>
            <w:pPr>
              <w:spacing w:after="40" w:before="40"/>
            </w:pPr>
            <w:r>
              <w:rPr>
                <w:sz w:val="14"/>
              </w:rPr>
              <w:t>PASS — REVIEWED IMPLEMENTATION</w:t>
              <w:br/>
              <w:t>Reviewed critical actions re-check persisted authority server-side/database-side.</w:t>
            </w:r>
          </w:p>
        </w:tc>
        <w:tc>
          <w:tcPr>
            <w:tcW w:type="dxa" w:w="1440"/>
            <w:vAlign w:val="center"/>
            <w:shd w:fill="F3F7F5"/>
          </w:tcPr>
          <w:p>
            <w:pPr>
              <w:spacing w:after="40" w:before="40"/>
            </w:pPr>
            <w:r>
              <w:rPr>
                <w:sz w:val="14"/>
              </w:rPr>
              <w:t>AAB</w:t>
            </w:r>
          </w:p>
        </w:tc>
        <w:tc>
          <w:tcPr>
            <w:tcW w:type="dxa" w:w="1656"/>
            <w:vAlign w:val="center"/>
            <w:shd w:fill="F3F7F5"/>
          </w:tcPr>
          <w:p>
            <w:pPr>
              <w:spacing w:after="40" w:before="40"/>
            </w:pPr>
            <w:r>
              <w:rPr>
                <w:sz w:val="14"/>
              </w:rPr>
              <w:t>AUTO + HUMAN</w:t>
            </w:r>
          </w:p>
        </w:tc>
      </w:tr>
      <w:tr>
        <w:tc>
          <w:tcPr>
            <w:tcW w:type="dxa" w:w="1656"/>
            <w:vAlign w:val="center"/>
          </w:tcPr>
          <w:p>
            <w:pPr>
              <w:spacing w:after="40" w:before="40"/>
            </w:pPr>
            <w:r>
              <w:rPr>
                <w:sz w:val="14"/>
              </w:rPr>
              <w:t>SEC-DB-NO-DEFINER-ESCALATION-01</w:t>
            </w:r>
          </w:p>
        </w:tc>
        <w:tc>
          <w:tcPr>
            <w:tcW w:type="dxa" w:w="720"/>
            <w:vAlign w:val="center"/>
          </w:tcPr>
          <w:p>
            <w:pPr>
              <w:spacing w:after="40" w:before="40"/>
            </w:pPr>
            <w:r>
              <w:rPr>
                <w:sz w:val="14"/>
              </w:rPr>
              <w:t>CR-19</w:t>
            </w:r>
          </w:p>
        </w:tc>
        <w:tc>
          <w:tcPr>
            <w:tcW w:type="dxa" w:w="1656"/>
            <w:vAlign w:val="center"/>
          </w:tcPr>
          <w:p>
            <w:pPr>
              <w:spacing w:after="40" w:before="40"/>
            </w:pPr>
            <w:r>
              <w:rPr>
                <w:sz w:val="14"/>
              </w:rPr>
              <w:t>Security definer escalation</w:t>
            </w:r>
          </w:p>
        </w:tc>
        <w:tc>
          <w:tcPr>
            <w:tcW w:type="dxa" w:w="3384"/>
            <w:vAlign w:val="center"/>
          </w:tcPr>
          <w:p>
            <w:pPr>
              <w:spacing w:after="40" w:before="40"/>
            </w:pPr>
            <w:r>
              <w:rPr>
                <w:sz w:val="14"/>
              </w:rPr>
              <w:t>PASS — REVIEWED FUNCTIONS</w:t>
              <w:br/>
              <w:t>No general SECURITY DEFINER privilege-escalation path was identified in the reviewed functions.</w:t>
            </w:r>
          </w:p>
        </w:tc>
        <w:tc>
          <w:tcPr>
            <w:tcW w:type="dxa" w:w="1440"/>
            <w:vAlign w:val="center"/>
          </w:tcPr>
          <w:p>
            <w:pPr>
              <w:spacing w:after="40" w:before="40"/>
            </w:pPr>
            <w:r>
              <w:rPr>
                <w:sz w:val="14"/>
              </w:rPr>
              <w:t>AAB / Independent assessor</w:t>
            </w:r>
          </w:p>
        </w:tc>
        <w:tc>
          <w:tcPr>
            <w:tcW w:type="dxa" w:w="1656"/>
            <w:vAlign w:val="center"/>
          </w:tcPr>
          <w:p>
            <w:pPr>
              <w:spacing w:after="40" w:before="40"/>
            </w:pPr>
            <w:r>
              <w:rPr>
                <w:sz w:val="14"/>
              </w:rPr>
              <w:t>AUTO + HUMAN</w:t>
            </w:r>
          </w:p>
        </w:tc>
      </w:tr>
      <w:tr>
        <w:tc>
          <w:tcPr>
            <w:tcW w:type="dxa" w:w="1656"/>
            <w:vAlign w:val="center"/>
            <w:shd w:fill="F3F7F5"/>
          </w:tcPr>
          <w:p>
            <w:pPr>
              <w:spacing w:after="40" w:before="40"/>
            </w:pPr>
            <w:r>
              <w:rPr>
                <w:sz w:val="14"/>
              </w:rPr>
              <w:t>SEC-PRIV-MFA-01</w:t>
            </w:r>
          </w:p>
        </w:tc>
        <w:tc>
          <w:tcPr>
            <w:tcW w:type="dxa" w:w="720"/>
            <w:vAlign w:val="center"/>
            <w:shd w:fill="F3F7F5"/>
          </w:tcPr>
          <w:p>
            <w:pPr>
              <w:spacing w:after="40" w:before="40"/>
            </w:pPr>
            <w:r>
              <w:rPr>
                <w:sz w:val="14"/>
              </w:rPr>
              <w:t>CR-20</w:t>
            </w:r>
          </w:p>
        </w:tc>
        <w:tc>
          <w:tcPr>
            <w:tcW w:type="dxa" w:w="1656"/>
            <w:vAlign w:val="center"/>
            <w:shd w:fill="F3F7F5"/>
          </w:tcPr>
          <w:p>
            <w:pPr>
              <w:spacing w:after="40" w:before="40"/>
            </w:pPr>
            <w:r>
              <w:rPr>
                <w:sz w:val="14"/>
              </w:rPr>
              <w:t>Privileged administrator MFA</w:t>
            </w:r>
          </w:p>
        </w:tc>
        <w:tc>
          <w:tcPr>
            <w:tcW w:type="dxa" w:w="3384"/>
            <w:vAlign w:val="center"/>
            <w:shd w:fill="F3F7F5"/>
          </w:tcPr>
          <w:p>
            <w:pPr>
              <w:spacing w:after="40" w:before="40"/>
            </w:pPr>
            <w:r>
              <w:rPr>
                <w:sz w:val="14"/>
              </w:rPr>
              <w:t>PRODUCTION STANDARD FAILURE — REHEARSAL OBSERVATION</w:t>
              <w:br/>
              <w:t>Supabase Owner MFA was observed disabled. This is unacceptable if the account or provider plane is reused for production privileged access.</w:t>
            </w:r>
          </w:p>
        </w:tc>
        <w:tc>
          <w:tcPr>
            <w:tcW w:type="dxa" w:w="1440"/>
            <w:vAlign w:val="center"/>
            <w:shd w:fill="F3F7F5"/>
          </w:tcPr>
          <w:p>
            <w:pPr>
              <w:spacing w:after="40" w:before="40"/>
            </w:pPr>
            <w:r>
              <w:rPr>
                <w:sz w:val="14"/>
              </w:rPr>
              <w:t>AAB / Country / Provider</w:t>
            </w:r>
          </w:p>
        </w:tc>
        <w:tc>
          <w:tcPr>
            <w:tcW w:type="dxa" w:w="1656"/>
            <w:vAlign w:val="center"/>
            <w:shd w:fill="F3F7F5"/>
          </w:tcPr>
          <w:p>
            <w:pPr>
              <w:spacing w:after="40" w:before="40"/>
            </w:pPr>
            <w:r>
              <w:rPr>
                <w:sz w:val="14"/>
              </w:rPr>
              <w:t>AUTO + HUMAN; PROVIDER EVIDENCE; COUNTRY EVIDENCE</w:t>
            </w:r>
          </w:p>
        </w:tc>
      </w:tr>
      <w:tr>
        <w:tc>
          <w:tcPr>
            <w:tcW w:type="dxa" w:w="1656"/>
            <w:vAlign w:val="center"/>
          </w:tcPr>
          <w:p>
            <w:pPr>
              <w:spacing w:after="40" w:before="40"/>
            </w:pPr>
            <w:r>
              <w:rPr>
                <w:sz w:val="14"/>
              </w:rPr>
              <w:t>SEC-PRIV-TOKEN-LIFECYCLE-01</w:t>
            </w:r>
          </w:p>
        </w:tc>
        <w:tc>
          <w:tcPr>
            <w:tcW w:type="dxa" w:w="720"/>
            <w:vAlign w:val="center"/>
          </w:tcPr>
          <w:p>
            <w:pPr>
              <w:spacing w:after="40" w:before="40"/>
            </w:pPr>
            <w:r>
              <w:rPr>
                <w:sz w:val="14"/>
              </w:rPr>
              <w:t>CR-21</w:t>
            </w:r>
          </w:p>
        </w:tc>
        <w:tc>
          <w:tcPr>
            <w:tcW w:type="dxa" w:w="1656"/>
            <w:vAlign w:val="center"/>
          </w:tcPr>
          <w:p>
            <w:pPr>
              <w:spacing w:after="40" w:before="40"/>
            </w:pPr>
            <w:r>
              <w:rPr>
                <w:sz w:val="14"/>
              </w:rPr>
              <w:t>Privileged token lifecycle</w:t>
            </w:r>
          </w:p>
        </w:tc>
        <w:tc>
          <w:tcPr>
            <w:tcW w:type="dxa" w:w="3384"/>
            <w:vAlign w:val="center"/>
          </w:tcPr>
          <w:p>
            <w:pPr>
              <w:spacing w:after="40" w:before="40"/>
            </w:pPr>
            <w:r>
              <w:rPr>
                <w:sz w:val="14"/>
              </w:rPr>
              <w:t>PRODUCTION STANDARD FAILURE — REHEARSAL OBSERVATION</w:t>
              <w:br/>
              <w:t>A standing/non-expiring privileged token was identified.</w:t>
            </w:r>
          </w:p>
        </w:tc>
        <w:tc>
          <w:tcPr>
            <w:tcW w:type="dxa" w:w="1440"/>
            <w:vAlign w:val="center"/>
          </w:tcPr>
          <w:p>
            <w:pPr>
              <w:spacing w:after="40" w:before="40"/>
            </w:pPr>
            <w:r>
              <w:rPr>
                <w:sz w:val="14"/>
              </w:rPr>
              <w:t>AAB / Country</w:t>
            </w:r>
          </w:p>
        </w:tc>
        <w:tc>
          <w:tcPr>
            <w:tcW w:type="dxa" w:w="1656"/>
            <w:vAlign w:val="center"/>
          </w:tcPr>
          <w:p>
            <w:pPr>
              <w:spacing w:after="40" w:before="40"/>
            </w:pPr>
            <w:r>
              <w:rPr>
                <w:sz w:val="14"/>
              </w:rPr>
              <w:t>AUTO + HUMAN; COUNTRY EVIDENCE</w:t>
            </w:r>
          </w:p>
        </w:tc>
      </w:tr>
      <w:tr>
        <w:tc>
          <w:tcPr>
            <w:tcW w:type="dxa" w:w="1656"/>
            <w:vAlign w:val="center"/>
            <w:shd w:fill="F3F7F5"/>
          </w:tcPr>
          <w:p>
            <w:pPr>
              <w:spacing w:after="40" w:before="40"/>
            </w:pPr>
            <w:r>
              <w:rPr>
                <w:sz w:val="14"/>
              </w:rPr>
              <w:t>SEC-PUBLIC-DIAGNOSTICS-01</w:t>
            </w:r>
          </w:p>
        </w:tc>
        <w:tc>
          <w:tcPr>
            <w:tcW w:type="dxa" w:w="720"/>
            <w:vAlign w:val="center"/>
            <w:shd w:fill="F3F7F5"/>
          </w:tcPr>
          <w:p>
            <w:pPr>
              <w:spacing w:after="40" w:before="40"/>
            </w:pPr>
            <w:r>
              <w:rPr>
                <w:sz w:val="14"/>
              </w:rPr>
              <w:t>CR-22</w:t>
            </w:r>
          </w:p>
        </w:tc>
        <w:tc>
          <w:tcPr>
            <w:tcW w:type="dxa" w:w="1656"/>
            <w:vAlign w:val="center"/>
            <w:shd w:fill="F3F7F5"/>
          </w:tcPr>
          <w:p>
            <w:pPr>
              <w:spacing w:after="40" w:before="40"/>
            </w:pPr>
            <w:r>
              <w:rPr>
                <w:sz w:val="14"/>
              </w:rPr>
              <w:t>Public diagnostic paths</w:t>
            </w:r>
          </w:p>
        </w:tc>
        <w:tc>
          <w:tcPr>
            <w:tcW w:type="dxa" w:w="3384"/>
            <w:vAlign w:val="center"/>
            <w:shd w:fill="F3F7F5"/>
          </w:tcPr>
          <w:p>
            <w:pPr>
              <w:spacing w:after="40" w:before="40"/>
            </w:pPr>
            <w:r>
              <w:rPr>
                <w:sz w:val="14"/>
              </w:rPr>
              <w:t>PRODUCTION STANDARD FAILURE — REHEARSAL OBSERVATION</w:t>
              <w:br/>
              <w:t>Publicly web-addressable diagnostic, preflight and database-health source paths were identified.</w:t>
            </w:r>
          </w:p>
        </w:tc>
        <w:tc>
          <w:tcPr>
            <w:tcW w:type="dxa" w:w="1440"/>
            <w:vAlign w:val="center"/>
            <w:shd w:fill="F3F7F5"/>
          </w:tcPr>
          <w:p>
            <w:pPr>
              <w:spacing w:after="40" w:before="40"/>
            </w:pPr>
            <w:r>
              <w:rPr>
                <w:sz w:val="14"/>
              </w:rPr>
              <w:t>AAB / Hosting provider</w:t>
            </w:r>
          </w:p>
        </w:tc>
        <w:tc>
          <w:tcPr>
            <w:tcW w:type="dxa" w:w="1656"/>
            <w:vAlign w:val="center"/>
            <w:shd w:fill="F3F7F5"/>
          </w:tcPr>
          <w:p>
            <w:pPr>
              <w:spacing w:after="40" w:before="40"/>
            </w:pPr>
            <w:r>
              <w:rPr>
                <w:sz w:val="14"/>
              </w:rPr>
              <w:t>AUTO + HUMAN</w:t>
            </w:r>
          </w:p>
        </w:tc>
      </w:tr>
      <w:tr>
        <w:tc>
          <w:tcPr>
            <w:tcW w:type="dxa" w:w="1656"/>
            <w:vAlign w:val="center"/>
          </w:tcPr>
          <w:p>
            <w:pPr>
              <w:spacing w:after="40" w:before="40"/>
            </w:pPr>
            <w:r>
              <w:rPr>
                <w:sz w:val="14"/>
              </w:rPr>
              <w:t>SOV-ADM-PROVIDER-ACCESS-01</w:t>
            </w:r>
          </w:p>
        </w:tc>
        <w:tc>
          <w:tcPr>
            <w:tcW w:type="dxa" w:w="720"/>
            <w:vAlign w:val="center"/>
          </w:tcPr>
          <w:p>
            <w:pPr>
              <w:spacing w:after="40" w:before="40"/>
            </w:pPr>
            <w:r>
              <w:rPr>
                <w:sz w:val="14"/>
              </w:rPr>
              <w:t>CR-23</w:t>
            </w:r>
          </w:p>
        </w:tc>
        <w:tc>
          <w:tcPr>
            <w:tcW w:type="dxa" w:w="1656"/>
            <w:vAlign w:val="center"/>
          </w:tcPr>
          <w:p>
            <w:pPr>
              <w:spacing w:after="40" w:before="40"/>
            </w:pPr>
            <w:r>
              <w:rPr>
                <w:sz w:val="14"/>
              </w:rPr>
              <w:t>Provider personnel access</w:t>
            </w:r>
          </w:p>
        </w:tc>
        <w:tc>
          <w:tcPr>
            <w:tcW w:type="dxa" w:w="3384"/>
            <w:vAlign w:val="center"/>
          </w:tcPr>
          <w:p>
            <w:pPr>
              <w:spacing w:after="40" w:before="40"/>
            </w:pPr>
            <w:r>
              <w:rPr>
                <w:sz w:val="14"/>
              </w:rPr>
              <w:t>EVIDENCE REQUIRED</w:t>
              <w:br/>
              <w:t>Provider access conditions and evidence were not established for database, storage, logs, backups or recovery systems.</w:t>
            </w:r>
          </w:p>
        </w:tc>
        <w:tc>
          <w:tcPr>
            <w:tcW w:type="dxa" w:w="1440"/>
            <w:vAlign w:val="center"/>
          </w:tcPr>
          <w:p>
            <w:pPr>
              <w:spacing w:after="40" w:before="40"/>
            </w:pPr>
            <w:r>
              <w:rPr>
                <w:sz w:val="14"/>
              </w:rPr>
              <w:t>Provider / Country</w:t>
            </w:r>
          </w:p>
        </w:tc>
        <w:tc>
          <w:tcPr>
            <w:tcW w:type="dxa" w:w="1656"/>
            <w:vAlign w:val="center"/>
          </w:tcPr>
          <w:p>
            <w:pPr>
              <w:spacing w:after="40" w:before="40"/>
            </w:pPr>
            <w:r>
              <w:rPr>
                <w:sz w:val="14"/>
              </w:rPr>
              <w:t>PROVIDER EVIDENCE; COUNTRY EVIDENCE; GOVERNANCE</w:t>
            </w:r>
          </w:p>
        </w:tc>
      </w:tr>
      <w:tr>
        <w:tc>
          <w:tcPr>
            <w:tcW w:type="dxa" w:w="1656"/>
            <w:vAlign w:val="center"/>
            <w:shd w:fill="F3F7F5"/>
          </w:tcPr>
          <w:p>
            <w:pPr>
              <w:spacing w:after="40" w:before="40"/>
            </w:pPr>
            <w:r>
              <w:rPr>
                <w:sz w:val="14"/>
              </w:rPr>
              <w:t>SOV-KEY-COUNTRY-CONTROL-01</w:t>
            </w:r>
          </w:p>
        </w:tc>
        <w:tc>
          <w:tcPr>
            <w:tcW w:type="dxa" w:w="720"/>
            <w:vAlign w:val="center"/>
            <w:shd w:fill="F3F7F5"/>
          </w:tcPr>
          <w:p>
            <w:pPr>
              <w:spacing w:after="40" w:before="40"/>
            </w:pPr>
            <w:r>
              <w:rPr>
                <w:sz w:val="14"/>
              </w:rPr>
              <w:t>CR-24</w:t>
            </w:r>
          </w:p>
        </w:tc>
        <w:tc>
          <w:tcPr>
            <w:tcW w:type="dxa" w:w="1656"/>
            <w:vAlign w:val="center"/>
            <w:shd w:fill="F3F7F5"/>
          </w:tcPr>
          <w:p>
            <w:pPr>
              <w:spacing w:after="40" w:before="40"/>
            </w:pPr>
            <w:r>
              <w:rPr>
                <w:sz w:val="14"/>
              </w:rPr>
              <w:t>Encryption and country key control</w:t>
            </w:r>
          </w:p>
        </w:tc>
        <w:tc>
          <w:tcPr>
            <w:tcW w:type="dxa" w:w="3384"/>
            <w:vAlign w:val="center"/>
            <w:shd w:fill="F3F7F5"/>
          </w:tcPr>
          <w:p>
            <w:pPr>
              <w:spacing w:after="40" w:before="40"/>
            </w:pPr>
            <w:r>
              <w:rPr>
                <w:sz w:val="14"/>
              </w:rPr>
              <w:t>EVIDENCE REQUIRED</w:t>
              <w:br/>
              <w:t>Complete country-controlled key architecture and evidence were not established.</w:t>
            </w:r>
          </w:p>
        </w:tc>
        <w:tc>
          <w:tcPr>
            <w:tcW w:type="dxa" w:w="1440"/>
            <w:vAlign w:val="center"/>
            <w:shd w:fill="F3F7F5"/>
          </w:tcPr>
          <w:p>
            <w:pPr>
              <w:spacing w:after="40" w:before="40"/>
            </w:pPr>
            <w:r>
              <w:rPr>
                <w:sz w:val="14"/>
              </w:rPr>
              <w:t>Provider / Country</w:t>
            </w:r>
          </w:p>
        </w:tc>
        <w:tc>
          <w:tcPr>
            <w:tcW w:type="dxa" w:w="1656"/>
            <w:vAlign w:val="center"/>
            <w:shd w:fill="F3F7F5"/>
          </w:tcPr>
          <w:p>
            <w:pPr>
              <w:spacing w:after="40" w:before="40"/>
            </w:pPr>
            <w:r>
              <w:rPr>
                <w:sz w:val="14"/>
              </w:rPr>
              <w:t>AUTO; PROVIDER EVIDENCE; COUNTRY EVIDENCE; GOVERNANCE</w:t>
            </w:r>
          </w:p>
        </w:tc>
      </w:tr>
      <w:tr>
        <w:tc>
          <w:tcPr>
            <w:tcW w:type="dxa" w:w="1656"/>
            <w:vAlign w:val="center"/>
          </w:tcPr>
          <w:p>
            <w:pPr>
              <w:spacing w:after="40" w:before="40"/>
            </w:pPr>
            <w:r>
              <w:rPr>
                <w:sz w:val="14"/>
              </w:rPr>
              <w:t>SOV-LIFECYCLE-DELETION-01</w:t>
            </w:r>
          </w:p>
        </w:tc>
        <w:tc>
          <w:tcPr>
            <w:tcW w:type="dxa" w:w="720"/>
            <w:vAlign w:val="center"/>
          </w:tcPr>
          <w:p>
            <w:pPr>
              <w:spacing w:after="40" w:before="40"/>
            </w:pPr>
            <w:r>
              <w:rPr>
                <w:sz w:val="14"/>
              </w:rPr>
              <w:t>CR-25</w:t>
            </w:r>
          </w:p>
        </w:tc>
        <w:tc>
          <w:tcPr>
            <w:tcW w:type="dxa" w:w="1656"/>
            <w:vAlign w:val="center"/>
          </w:tcPr>
          <w:p>
            <w:pPr>
              <w:spacing w:after="40" w:before="40"/>
            </w:pPr>
            <w:r>
              <w:rPr>
                <w:sz w:val="14"/>
              </w:rPr>
              <w:t>Deletion and media sanitisation</w:t>
            </w:r>
          </w:p>
        </w:tc>
        <w:tc>
          <w:tcPr>
            <w:tcW w:type="dxa" w:w="3384"/>
            <w:vAlign w:val="center"/>
          </w:tcPr>
          <w:p>
            <w:pPr>
              <w:spacing w:after="40" w:before="40"/>
            </w:pPr>
            <w:r>
              <w:rPr>
                <w:sz w:val="14"/>
              </w:rPr>
              <w:t>EVIDENCE REQUIRED</w:t>
              <w:br/>
              <w:t>End-to-end deletion and media-sanitisation evidence was not established.</w:t>
            </w:r>
          </w:p>
        </w:tc>
        <w:tc>
          <w:tcPr>
            <w:tcW w:type="dxa" w:w="1440"/>
            <w:vAlign w:val="center"/>
          </w:tcPr>
          <w:p>
            <w:pPr>
              <w:spacing w:after="40" w:before="40"/>
            </w:pPr>
            <w:r>
              <w:rPr>
                <w:sz w:val="14"/>
              </w:rPr>
              <w:t>Provider / Country / Governance</w:t>
            </w:r>
          </w:p>
        </w:tc>
        <w:tc>
          <w:tcPr>
            <w:tcW w:type="dxa" w:w="1656"/>
            <w:vAlign w:val="center"/>
          </w:tcPr>
          <w:p>
            <w:pPr>
              <w:spacing w:after="40" w:before="40"/>
            </w:pPr>
            <w:r>
              <w:rPr>
                <w:sz w:val="14"/>
              </w:rPr>
              <w:t>AUTO + HUMAN; PROVIDER EVIDENCE; COUNTRY EVIDENCE; GOVERNANCE</w:t>
            </w:r>
          </w:p>
        </w:tc>
      </w:tr>
      <w:tr>
        <w:tc>
          <w:tcPr>
            <w:tcW w:type="dxa" w:w="1656"/>
            <w:vAlign w:val="center"/>
            <w:shd w:fill="F3F7F5"/>
          </w:tcPr>
          <w:p>
            <w:pPr>
              <w:spacing w:after="40" w:before="40"/>
            </w:pPr>
            <w:r>
              <w:rPr>
                <w:sz w:val="14"/>
              </w:rPr>
              <w:t>DEP-PACKAGE-COUNTRY-CLEAN-01</w:t>
            </w:r>
          </w:p>
        </w:tc>
        <w:tc>
          <w:tcPr>
            <w:tcW w:type="dxa" w:w="720"/>
            <w:vAlign w:val="center"/>
            <w:shd w:fill="F3F7F5"/>
          </w:tcPr>
          <w:p>
            <w:pPr>
              <w:spacing w:after="40" w:before="40"/>
            </w:pPr>
            <w:r>
              <w:rPr>
                <w:sz w:val="14"/>
              </w:rPr>
              <w:t>CR-26</w:t>
            </w:r>
          </w:p>
        </w:tc>
        <w:tc>
          <w:tcPr>
            <w:tcW w:type="dxa" w:w="1656"/>
            <w:vAlign w:val="center"/>
            <w:shd w:fill="F3F7F5"/>
          </w:tcPr>
          <w:p>
            <w:pPr>
              <w:spacing w:after="40" w:before="40"/>
            </w:pPr>
            <w:r>
              <w:rPr>
                <w:sz w:val="14"/>
              </w:rPr>
              <w:t>Country template cleanliness</w:t>
            </w:r>
          </w:p>
        </w:tc>
        <w:tc>
          <w:tcPr>
            <w:tcW w:type="dxa" w:w="3384"/>
            <w:vAlign w:val="center"/>
            <w:shd w:fill="F3F7F5"/>
          </w:tcPr>
          <w:p>
            <w:pPr>
              <w:spacing w:after="40" w:before="40"/>
            </w:pPr>
            <w:r>
              <w:rPr>
                <w:sz w:val="14"/>
              </w:rPr>
              <w:t>NOT APPLICABLE TO REHEARSAL — WOULD FAIL PRODUCTION TEMPLATE STANDARD</w:t>
              <w:br/>
              <w:t>WA rehearsal contains historical Thailand and generic demonstration material and is not a pristine production single-country template.</w:t>
            </w:r>
          </w:p>
        </w:tc>
        <w:tc>
          <w:tcPr>
            <w:tcW w:type="dxa" w:w="1440"/>
            <w:vAlign w:val="center"/>
            <w:shd w:fill="F3F7F5"/>
          </w:tcPr>
          <w:p>
            <w:pPr>
              <w:spacing w:after="40" w:before="40"/>
            </w:pPr>
            <w:r>
              <w:rPr>
                <w:sz w:val="14"/>
              </w:rPr>
              <w:t>AAB / Country</w:t>
            </w:r>
          </w:p>
        </w:tc>
        <w:tc>
          <w:tcPr>
            <w:tcW w:type="dxa" w:w="1656"/>
            <w:vAlign w:val="center"/>
            <w:shd w:fill="F3F7F5"/>
          </w:tcPr>
          <w:p>
            <w:pPr>
              <w:spacing w:after="40" w:before="40"/>
            </w:pPr>
            <w:r>
              <w:rPr>
                <w:sz w:val="14"/>
              </w:rPr>
              <w:t>AUTO + HUMAN; COUNTRY EVIDENCE</w:t>
            </w:r>
          </w:p>
        </w:tc>
      </w:tr>
      <w:tr>
        <w:tc>
          <w:tcPr>
            <w:tcW w:type="dxa" w:w="1656"/>
            <w:vAlign w:val="center"/>
          </w:tcPr>
          <w:p>
            <w:pPr>
              <w:spacing w:after="40" w:before="40"/>
            </w:pPr>
            <w:r>
              <w:rPr>
                <w:sz w:val="14"/>
              </w:rPr>
              <w:t>DEP-PACKAGE-VENDOR-NEUTRAL-01</w:t>
            </w:r>
          </w:p>
        </w:tc>
        <w:tc>
          <w:tcPr>
            <w:tcW w:type="dxa" w:w="720"/>
            <w:vAlign w:val="center"/>
          </w:tcPr>
          <w:p>
            <w:pPr>
              <w:spacing w:after="40" w:before="40"/>
            </w:pPr>
            <w:r>
              <w:rPr>
                <w:sz w:val="14"/>
              </w:rPr>
              <w:t>CR-27</w:t>
            </w:r>
          </w:p>
        </w:tc>
        <w:tc>
          <w:tcPr>
            <w:tcW w:type="dxa" w:w="1656"/>
            <w:vAlign w:val="center"/>
          </w:tcPr>
          <w:p>
            <w:pPr>
              <w:spacing w:after="40" w:before="40"/>
            </w:pPr>
            <w:r>
              <w:rPr>
                <w:sz w:val="14"/>
              </w:rPr>
              <w:t>Vendor-neutral deployment package</w:t>
            </w:r>
          </w:p>
        </w:tc>
        <w:tc>
          <w:tcPr>
            <w:tcW w:type="dxa" w:w="3384"/>
            <w:vAlign w:val="center"/>
          </w:tcPr>
          <w:p>
            <w:pPr>
              <w:spacing w:after="40" w:before="40"/>
            </w:pPr>
            <w:r>
              <w:rPr>
                <w:sz w:val="14"/>
              </w:rPr>
              <w:t>EVIDENCE REQUIRED</w:t>
              <w:br/>
              <w:t>Supabase is the current rehearsal mechanism. A complete vendor-neutral production deployment package and standard have not yet been verified.</w:t>
            </w:r>
          </w:p>
        </w:tc>
        <w:tc>
          <w:tcPr>
            <w:tcW w:type="dxa" w:w="1440"/>
            <w:vAlign w:val="center"/>
          </w:tcPr>
          <w:p>
            <w:pPr>
              <w:spacing w:after="40" w:before="40"/>
            </w:pPr>
            <w:r>
              <w:rPr>
                <w:sz w:val="14"/>
              </w:rPr>
              <w:t>AAB / Governance</w:t>
            </w:r>
          </w:p>
        </w:tc>
        <w:tc>
          <w:tcPr>
            <w:tcW w:type="dxa" w:w="1656"/>
            <w:vAlign w:val="center"/>
          </w:tcPr>
          <w:p>
            <w:pPr>
              <w:spacing w:after="40" w:before="40"/>
            </w:pPr>
            <w:r>
              <w:rPr>
                <w:sz w:val="14"/>
              </w:rPr>
              <w:t>AUTO + HUMAN; GOVERNANCE</w:t>
            </w:r>
          </w:p>
        </w:tc>
      </w:tr>
      <w:tr>
        <w:tc>
          <w:tcPr>
            <w:tcW w:type="dxa" w:w="1656"/>
            <w:vAlign w:val="center"/>
            <w:shd w:fill="F3F7F5"/>
          </w:tcPr>
          <w:p>
            <w:pPr>
              <w:spacing w:after="40" w:before="40"/>
            </w:pPr>
            <w:r>
              <w:rPr>
                <w:sz w:val="14"/>
              </w:rPr>
              <w:t>DEP-PACKAGE-INDEPENDENT-REBUILD-01</w:t>
            </w:r>
          </w:p>
        </w:tc>
        <w:tc>
          <w:tcPr>
            <w:tcW w:type="dxa" w:w="720"/>
            <w:vAlign w:val="center"/>
            <w:shd w:fill="F3F7F5"/>
          </w:tcPr>
          <w:p>
            <w:pPr>
              <w:spacing w:after="40" w:before="40"/>
            </w:pPr>
            <w:r>
              <w:rPr>
                <w:sz w:val="14"/>
              </w:rPr>
              <w:t>CR-28</w:t>
            </w:r>
          </w:p>
        </w:tc>
        <w:tc>
          <w:tcPr>
            <w:tcW w:type="dxa" w:w="1656"/>
            <w:vAlign w:val="center"/>
            <w:shd w:fill="F3F7F5"/>
          </w:tcPr>
          <w:p>
            <w:pPr>
              <w:spacing w:after="40" w:before="40"/>
            </w:pPr>
            <w:r>
              <w:rPr>
                <w:sz w:val="14"/>
              </w:rPr>
              <w:t>Reconstructability independent of rehearsal provider</w:t>
            </w:r>
          </w:p>
        </w:tc>
        <w:tc>
          <w:tcPr>
            <w:tcW w:type="dxa" w:w="3384"/>
            <w:vAlign w:val="center"/>
            <w:shd w:fill="F3F7F5"/>
          </w:tcPr>
          <w:p>
            <w:pPr>
              <w:spacing w:after="40" w:before="40"/>
            </w:pPr>
            <w:r>
              <w:rPr>
                <w:sz w:val="14"/>
              </w:rPr>
              <w:t>EVIDENCE REQUIRED</w:t>
              <w:br/>
              <w:t>Not yet demonstrated. Supabase rehearsal must not be retired until independent reconstruction and operation are proven.</w:t>
            </w:r>
          </w:p>
        </w:tc>
        <w:tc>
          <w:tcPr>
            <w:tcW w:type="dxa" w:w="1440"/>
            <w:vAlign w:val="center"/>
            <w:shd w:fill="F3F7F5"/>
          </w:tcPr>
          <w:p>
            <w:pPr>
              <w:spacing w:after="40" w:before="40"/>
            </w:pPr>
            <w:r>
              <w:rPr>
                <w:sz w:val="14"/>
              </w:rPr>
              <w:t>AAB / Independent assessor / Governance</w:t>
            </w:r>
          </w:p>
        </w:tc>
        <w:tc>
          <w:tcPr>
            <w:tcW w:type="dxa" w:w="1656"/>
            <w:vAlign w:val="center"/>
            <w:shd w:fill="F3F7F5"/>
          </w:tcPr>
          <w:p>
            <w:pPr>
              <w:spacing w:after="40" w:before="40"/>
            </w:pPr>
            <w:r>
              <w:rPr>
                <w:sz w:val="14"/>
              </w:rPr>
              <w:t>AUTO + HUMAN; COUNTRY EVIDENCE; GOVERNANCE</w:t>
            </w:r>
          </w:p>
        </w:tc>
      </w:tr>
      <w:tr>
        <w:tc>
          <w:tcPr>
            <w:tcW w:type="dxa" w:w="1656"/>
            <w:vAlign w:val="center"/>
          </w:tcPr>
          <w:p>
            <w:pPr>
              <w:spacing w:after="40" w:before="40"/>
            </w:pPr>
            <w:r>
              <w:rPr>
                <w:sz w:val="14"/>
              </w:rPr>
              <w:t>COM-EVIDENCE-NO-AUTHORITY-01</w:t>
            </w:r>
          </w:p>
        </w:tc>
        <w:tc>
          <w:tcPr>
            <w:tcW w:type="dxa" w:w="720"/>
            <w:vAlign w:val="center"/>
          </w:tcPr>
          <w:p>
            <w:pPr>
              <w:spacing w:after="40" w:before="40"/>
            </w:pPr>
            <w:r>
              <w:rPr>
                <w:sz w:val="14"/>
              </w:rPr>
              <w:t>CR-29</w:t>
            </w:r>
          </w:p>
        </w:tc>
        <w:tc>
          <w:tcPr>
            <w:tcW w:type="dxa" w:w="1656"/>
            <w:vAlign w:val="center"/>
          </w:tcPr>
          <w:p>
            <w:pPr>
              <w:spacing w:after="40" w:before="40"/>
            </w:pPr>
            <w:r>
              <w:rPr>
                <w:sz w:val="14"/>
              </w:rPr>
              <w:t>Commissioning evidence integrity</w:t>
            </w:r>
          </w:p>
        </w:tc>
        <w:tc>
          <w:tcPr>
            <w:tcW w:type="dxa" w:w="3384"/>
            <w:vAlign w:val="center"/>
          </w:tcPr>
          <w:p>
            <w:pPr>
              <w:spacing w:after="40" w:before="40"/>
            </w:pPr>
            <w:r>
              <w:rPr>
                <w:sz w:val="14"/>
              </w:rPr>
              <w:t>EVIDENCE REQUIRED</w:t>
              <w:br/>
              <w:t>Future taxonomy and authority boundary are defined; commissioning harness is Phase 2 provisional work and has not been implemented.</w:t>
            </w:r>
          </w:p>
        </w:tc>
        <w:tc>
          <w:tcPr>
            <w:tcW w:type="dxa" w:w="1440"/>
            <w:vAlign w:val="center"/>
          </w:tcPr>
          <w:p>
            <w:pPr>
              <w:spacing w:after="40" w:before="40"/>
            </w:pPr>
            <w:r>
              <w:rPr>
                <w:sz w:val="14"/>
              </w:rPr>
              <w:t>AAB / Country / Governance</w:t>
            </w:r>
          </w:p>
        </w:tc>
        <w:tc>
          <w:tcPr>
            <w:tcW w:type="dxa" w:w="1656"/>
            <w:vAlign w:val="center"/>
          </w:tcPr>
          <w:p>
            <w:pPr>
              <w:spacing w:after="40" w:before="40"/>
            </w:pPr>
            <w:r>
              <w:rPr>
                <w:sz w:val="14"/>
              </w:rPr>
              <w:t>AUTO; AUTO + HUMAN; GOVERNANCE</w:t>
            </w:r>
          </w:p>
        </w:tc>
      </w:tr>
      <w:tr>
        <w:tc>
          <w:tcPr>
            <w:tcW w:type="dxa" w:w="1656"/>
            <w:vAlign w:val="center"/>
            <w:shd w:fill="F3F7F5"/>
          </w:tcPr>
          <w:p>
            <w:pPr>
              <w:spacing w:after="40" w:before="40"/>
            </w:pPr>
            <w:r>
              <w:rPr>
                <w:sz w:val="14"/>
              </w:rPr>
              <w:t>COM-COUNTRY-GOV-APPROVAL-01</w:t>
            </w:r>
          </w:p>
        </w:tc>
        <w:tc>
          <w:tcPr>
            <w:tcW w:type="dxa" w:w="720"/>
            <w:vAlign w:val="center"/>
            <w:shd w:fill="F3F7F5"/>
          </w:tcPr>
          <w:p>
            <w:pPr>
              <w:spacing w:after="40" w:before="40"/>
            </w:pPr>
            <w:r>
              <w:rPr>
                <w:sz w:val="14"/>
              </w:rPr>
              <w:t>CR-30</w:t>
            </w:r>
          </w:p>
        </w:tc>
        <w:tc>
          <w:tcPr>
            <w:tcW w:type="dxa" w:w="1656"/>
            <w:vAlign w:val="center"/>
            <w:shd w:fill="F3F7F5"/>
          </w:tcPr>
          <w:p>
            <w:pPr>
              <w:spacing w:after="40" w:before="40"/>
            </w:pPr>
            <w:r>
              <w:rPr>
                <w:sz w:val="14"/>
              </w:rPr>
              <w:t>Country and governance production approval</w:t>
            </w:r>
          </w:p>
        </w:tc>
        <w:tc>
          <w:tcPr>
            <w:tcW w:type="dxa" w:w="3384"/>
            <w:vAlign w:val="center"/>
            <w:shd w:fill="F3F7F5"/>
          </w:tcPr>
          <w:p>
            <w:pPr>
              <w:spacing w:after="40" w:before="40"/>
            </w:pPr>
            <w:r>
              <w:rPr>
                <w:sz w:val="14"/>
              </w:rPr>
              <w:t>NOT APPLICABLE — REHEARSAL; COMMISSIONING GATE NOT SATISFIED</w:t>
              <w:br/>
              <w:t>WA is intentionally uncommissioned and no production approval has been sought or granted. This is not a technical failure of the rehearsal. It is an unsatisfied mandatory gate that independently preserves the NOT AUTHORISED commissioning outcome.</w:t>
            </w:r>
          </w:p>
        </w:tc>
        <w:tc>
          <w:tcPr>
            <w:tcW w:type="dxa" w:w="1440"/>
            <w:vAlign w:val="center"/>
            <w:shd w:fill="F3F7F5"/>
          </w:tcPr>
          <w:p>
            <w:pPr>
              <w:spacing w:after="40" w:before="40"/>
            </w:pPr>
            <w:r>
              <w:rPr>
                <w:sz w:val="14"/>
              </w:rPr>
              <w:t>Country / Governance</w:t>
            </w:r>
          </w:p>
        </w:tc>
        <w:tc>
          <w:tcPr>
            <w:tcW w:type="dxa" w:w="1656"/>
            <w:vAlign w:val="center"/>
            <w:shd w:fill="F3F7F5"/>
          </w:tcPr>
          <w:p>
            <w:pPr>
              <w:spacing w:after="40" w:before="40"/>
            </w:pPr>
            <w:r>
              <w:rPr>
                <w:sz w:val="14"/>
              </w:rPr>
              <w:t>COUNTRY EVIDENCE; GOVERNANCE</w:t>
            </w:r>
          </w:p>
        </w:tc>
      </w:tr>
    </w:tbl>
    <w:p>
      <w:pPr>
        <w:pStyle w:val="Heading1"/>
      </w:pPr>
      <w:r>
        <w:t>7 Persistent and Superseded Control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F35"/>
            <w:vAlign w:val="center"/>
          </w:tcPr>
          <w:p>
            <w:r>
              <w:rPr>
                <w:b/>
                <w:color w:val="FFFFFF"/>
                <w:sz w:val="17"/>
              </w:rPr>
              <w:t>Reference</w:t>
            </w:r>
          </w:p>
        </w:tc>
        <w:tc>
          <w:tcPr>
            <w:tcW w:type="dxa" w:w="3389"/>
            <w:shd w:fill="173F35"/>
            <w:vAlign w:val="center"/>
          </w:tcPr>
          <w:p>
            <w:r>
              <w:rPr>
                <w:b/>
                <w:color w:val="FFFFFF"/>
                <w:sz w:val="17"/>
              </w:rPr>
              <w:t>History state</w:t>
            </w:r>
          </w:p>
        </w:tc>
        <w:tc>
          <w:tcPr>
            <w:tcW w:type="dxa" w:w="3389"/>
            <w:shd w:fill="173F35"/>
            <w:vAlign w:val="center"/>
          </w:tcPr>
          <w:p>
            <w:r>
              <w:rPr>
                <w:b/>
                <w:color w:val="FFFFFF"/>
                <w:sz w:val="17"/>
              </w:rPr>
              <w:t>Required treatment</w:t>
            </w:r>
          </w:p>
        </w:tc>
      </w:tr>
      <w:tr>
        <w:tc>
          <w:tcPr>
            <w:tcW w:type="dxa" w:w="1872"/>
            <w:vAlign w:val="center"/>
          </w:tcPr>
          <w:p>
            <w:pPr>
              <w:spacing w:after="40" w:before="40"/>
            </w:pPr>
            <w:r>
              <w:rPr>
                <w:sz w:val="17"/>
              </w:rPr>
              <w:t>CR-01 to CR-30</w:t>
            </w:r>
          </w:p>
        </w:tc>
        <w:tc>
          <w:tcPr>
            <w:tcW w:type="dxa" w:w="2880"/>
            <w:vAlign w:val="center"/>
          </w:tcPr>
          <w:p>
            <w:pPr>
              <w:spacing w:after="40" w:before="40"/>
            </w:pPr>
            <w:r>
              <w:rPr>
                <w:sz w:val="17"/>
              </w:rPr>
              <w:t>No historic sovereignty-control ID map recovered</w:t>
            </w:r>
          </w:p>
        </w:tc>
        <w:tc>
          <w:tcPr>
            <w:tcW w:type="dxa" w:w="5760"/>
            <w:vAlign w:val="center"/>
          </w:tcPr>
          <w:p>
            <w:pPr>
              <w:spacing w:after="40" w:before="40"/>
            </w:pPr>
            <w:r>
              <w:rPr>
                <w:sz w:val="17"/>
              </w:rPr>
              <w:t>Reconciled as descriptive permanent closure-derived controls. CR references remain traceability aliases.</w:t>
            </w:r>
          </w:p>
        </w:tc>
      </w:tr>
      <w:tr>
        <w:tc>
          <w:tcPr>
            <w:tcW w:type="dxa" w:w="1872"/>
            <w:vAlign w:val="center"/>
            <w:shd w:fill="F3F7F5"/>
          </w:tcPr>
          <w:p>
            <w:pPr>
              <w:spacing w:after="40" w:before="40"/>
            </w:pPr>
            <w:r>
              <w:rPr>
                <w:sz w:val="17"/>
              </w:rPr>
              <w:t>Any multi-claim source control</w:t>
            </w:r>
          </w:p>
        </w:tc>
        <w:tc>
          <w:tcPr>
            <w:tcW w:type="dxa" w:w="2880"/>
            <w:vAlign w:val="center"/>
            <w:shd w:fill="F3F7F5"/>
          </w:tcPr>
          <w:p>
            <w:pPr>
              <w:spacing w:after="40" w:before="40"/>
            </w:pPr>
            <w:r>
              <w:rPr>
                <w:sz w:val="17"/>
              </w:rPr>
              <w:t>SUPERSEDED only when independent claims are demonstrated</w:t>
            </w:r>
          </w:p>
        </w:tc>
        <w:tc>
          <w:tcPr>
            <w:tcW w:type="dxa" w:w="5760"/>
            <w:vAlign w:val="center"/>
            <w:shd w:fill="F3F7F5"/>
          </w:tcPr>
          <w:p>
            <w:pPr>
              <w:spacing w:after="40" w:before="40"/>
            </w:pPr>
            <w:r>
              <w:rPr>
                <w:sz w:val="17"/>
              </w:rPr>
              <w:t>Retain original ID as SUPERSEDED and map to descriptive child IDs; do not silently renumber.</w:t>
            </w:r>
          </w:p>
        </w:tc>
      </w:tr>
      <w:tr>
        <w:tc>
          <w:tcPr>
            <w:tcW w:type="dxa" w:w="1872"/>
            <w:vAlign w:val="center"/>
          </w:tcPr>
          <w:p>
            <w:pPr>
              <w:spacing w:after="40" w:before="40"/>
            </w:pPr>
            <w:r>
              <w:rPr>
                <w:sz w:val="17"/>
              </w:rPr>
              <w:t>PH2-COM-AUTO-01</w:t>
            </w:r>
          </w:p>
        </w:tc>
        <w:tc>
          <w:tcPr>
            <w:tcW w:type="dxa" w:w="2880"/>
            <w:vAlign w:val="center"/>
          </w:tcPr>
          <w:p>
            <w:pPr>
              <w:spacing w:after="40" w:before="40"/>
            </w:pPr>
            <w:r>
              <w:rPr>
                <w:sz w:val="17"/>
              </w:rPr>
              <w:t>New provisional Phase 2 control</w:t>
            </w:r>
          </w:p>
        </w:tc>
        <w:tc>
          <w:tcPr>
            <w:tcW w:type="dxa" w:w="5760"/>
            <w:vAlign w:val="center"/>
          </w:tcPr>
          <w:p>
            <w:pPr>
              <w:spacing w:after="40" w:before="40"/>
            </w:pPr>
            <w:r>
              <w:rPr>
                <w:sz w:val="17"/>
              </w:rPr>
              <w:t>Automated country commissioning harness; evidence generation only, no production authority.</w:t>
            </w:r>
          </w:p>
        </w:tc>
      </w:tr>
      <w:tr>
        <w:tc>
          <w:tcPr>
            <w:tcW w:type="dxa" w:w="1872"/>
            <w:vAlign w:val="center"/>
            <w:shd w:fill="F3F7F5"/>
          </w:tcPr>
          <w:p>
            <w:pPr>
              <w:spacing w:after="40" w:before="40"/>
            </w:pPr>
            <w:r>
              <w:rPr>
                <w:sz w:val="17"/>
              </w:rPr>
              <w:t>PH2-COM-AUTO-02</w:t>
            </w:r>
          </w:p>
        </w:tc>
        <w:tc>
          <w:tcPr>
            <w:tcW w:type="dxa" w:w="2880"/>
            <w:vAlign w:val="center"/>
            <w:shd w:fill="F3F7F5"/>
          </w:tcPr>
          <w:p>
            <w:pPr>
              <w:spacing w:after="40" w:before="40"/>
            </w:pPr>
            <w:r>
              <w:rPr>
                <w:sz w:val="17"/>
              </w:rPr>
              <w:t>New provisional Phase 2 control</w:t>
            </w:r>
          </w:p>
        </w:tc>
        <w:tc>
          <w:tcPr>
            <w:tcW w:type="dxa" w:w="5760"/>
            <w:vAlign w:val="center"/>
            <w:shd w:fill="F3F7F5"/>
          </w:tcPr>
          <w:p>
            <w:pPr>
              <w:spacing w:after="40" w:before="40"/>
            </w:pPr>
            <w:r>
              <w:rPr>
                <w:sz w:val="17"/>
              </w:rPr>
              <w:t>Commissioning lessons may improve canonical verification logic without returning protected country scientific information.</w:t>
            </w:r>
          </w:p>
        </w:tc>
      </w:tr>
    </w:tbl>
    <w:p>
      <w:pPr>
        <w:pStyle w:val="Heading1"/>
      </w:pPr>
      <w:r>
        <w:t>8 Unresolved Evidence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rPr>
          <w:tblHeader w:val="true"/>
        </w:trPr>
        <w:tc>
          <w:tcPr>
            <w:tcW w:type="dxa" w:w="1694"/>
            <w:shd w:fill="173F35"/>
            <w:vAlign w:val="center"/>
          </w:tcPr>
          <w:p>
            <w:r>
              <w:rPr>
                <w:b/>
                <w:color w:val="FFFFFF"/>
                <w:sz w:val="15"/>
              </w:rPr>
              <w:t>Priority</w:t>
            </w:r>
          </w:p>
        </w:tc>
        <w:tc>
          <w:tcPr>
            <w:tcW w:type="dxa" w:w="1694"/>
            <w:shd w:fill="173F35"/>
            <w:vAlign w:val="center"/>
          </w:tcPr>
          <w:p>
            <w:r>
              <w:rPr>
                <w:b/>
                <w:color w:val="FFFFFF"/>
                <w:sz w:val="15"/>
              </w:rPr>
              <w:t>Evidence item</w:t>
            </w:r>
          </w:p>
        </w:tc>
        <w:tc>
          <w:tcPr>
            <w:tcW w:type="dxa" w:w="1694"/>
            <w:shd w:fill="173F35"/>
            <w:vAlign w:val="center"/>
          </w:tcPr>
          <w:p>
            <w:r>
              <w:rPr>
                <w:b/>
                <w:color w:val="FFFFFF"/>
                <w:sz w:val="15"/>
              </w:rPr>
              <w:t>Owner</w:t>
            </w:r>
          </w:p>
        </w:tc>
        <w:tc>
          <w:tcPr>
            <w:tcW w:type="dxa" w:w="1694"/>
            <w:shd w:fill="173F35"/>
            <w:vAlign w:val="center"/>
          </w:tcPr>
          <w:p>
            <w:r>
              <w:rPr>
                <w:b/>
                <w:color w:val="FFFFFF"/>
                <w:sz w:val="15"/>
              </w:rPr>
              <w:t>Due gate</w:t>
            </w:r>
          </w:p>
        </w:tc>
        <w:tc>
          <w:tcPr>
            <w:tcW w:type="dxa" w:w="1694"/>
            <w:shd w:fill="173F35"/>
            <w:vAlign w:val="center"/>
          </w:tcPr>
          <w:p>
            <w:r>
              <w:rPr>
                <w:b/>
                <w:color w:val="FFFFFF"/>
                <w:sz w:val="15"/>
              </w:rPr>
              <w:t>Acceptance evidence</w:t>
            </w:r>
          </w:p>
        </w:tc>
        <w:tc>
          <w:tcPr>
            <w:tcW w:type="dxa" w:w="1694"/>
            <w:shd w:fill="173F35"/>
            <w:vAlign w:val="center"/>
          </w:tcPr>
          <w:p>
            <w:r>
              <w:rPr>
                <w:b/>
                <w:color w:val="FFFFFF"/>
                <w:sz w:val="15"/>
              </w:rPr>
              <w:t>Type</w:t>
            </w:r>
          </w:p>
        </w:tc>
      </w:tr>
      <w:tr>
        <w:tc>
          <w:tcPr>
            <w:tcW w:type="dxa" w:w="648"/>
            <w:vAlign w:val="center"/>
          </w:tcPr>
          <w:p>
            <w:pPr>
              <w:spacing w:after="40" w:before="40"/>
            </w:pPr>
            <w:r>
              <w:rPr>
                <w:sz w:val="15"/>
              </w:rPr>
              <w:t>1</w:t>
            </w:r>
          </w:p>
        </w:tc>
        <w:tc>
          <w:tcPr>
            <w:tcW w:type="dxa" w:w="1800"/>
            <w:vAlign w:val="center"/>
          </w:tcPr>
          <w:p>
            <w:pPr>
              <w:spacing w:after="40" w:before="40"/>
            </w:pPr>
            <w:r>
              <w:rPr>
                <w:sz w:val="15"/>
              </w:rPr>
              <w:t>Reconciliation evidence record</w:t>
            </w:r>
          </w:p>
        </w:tc>
        <w:tc>
          <w:tcPr>
            <w:tcW w:type="dxa" w:w="1440"/>
            <w:vAlign w:val="center"/>
          </w:tcPr>
          <w:p>
            <w:pPr>
              <w:spacing w:after="40" w:before="40"/>
            </w:pPr>
            <w:r>
              <w:rPr>
                <w:sz w:val="15"/>
              </w:rPr>
              <w:t>AAB audit record owner</w:t>
            </w:r>
          </w:p>
        </w:tc>
        <w:tc>
          <w:tcPr>
            <w:tcW w:type="dxa" w:w="1584"/>
            <w:vAlign w:val="center"/>
          </w:tcPr>
          <w:p>
            <w:pPr>
              <w:spacing w:after="40" w:before="40"/>
            </w:pPr>
            <w:r>
              <w:rPr>
                <w:sz w:val="15"/>
              </w:rPr>
              <w:t>At baseline freeze</w:t>
            </w:r>
          </w:p>
        </w:tc>
        <w:tc>
          <w:tcPr>
            <w:tcW w:type="dxa" w:w="3384"/>
            <w:vAlign w:val="center"/>
          </w:tcPr>
          <w:p>
            <w:pPr>
              <w:spacing w:after="40" w:before="40"/>
            </w:pPr>
            <w:r>
              <w:rPr>
                <w:sz w:val="15"/>
              </w:rPr>
              <w:t>Preserve the separate reconciliation table and record that no historic control ID was established after the final evidence search.</w:t>
            </w:r>
          </w:p>
        </w:tc>
        <w:tc>
          <w:tcPr>
            <w:tcW w:type="dxa" w:w="1512"/>
            <w:vAlign w:val="center"/>
          </w:tcPr>
          <w:p>
            <w:pPr>
              <w:spacing w:after="40" w:before="40"/>
            </w:pPr>
            <w:r>
              <w:rPr>
                <w:sz w:val="15"/>
              </w:rPr>
              <w:t>GOVERNANCE</w:t>
            </w:r>
          </w:p>
        </w:tc>
      </w:tr>
      <w:tr>
        <w:tc>
          <w:tcPr>
            <w:tcW w:type="dxa" w:w="648"/>
            <w:vAlign w:val="center"/>
            <w:shd w:fill="F3F7F5"/>
          </w:tcPr>
          <w:p>
            <w:pPr>
              <w:spacing w:after="40" w:before="40"/>
            </w:pPr>
            <w:r>
              <w:rPr>
                <w:sz w:val="15"/>
              </w:rPr>
              <w:t>2</w:t>
            </w:r>
          </w:p>
        </w:tc>
        <w:tc>
          <w:tcPr>
            <w:tcW w:type="dxa" w:w="1800"/>
            <w:vAlign w:val="center"/>
            <w:shd w:fill="F3F7F5"/>
          </w:tcPr>
          <w:p>
            <w:pPr>
              <w:spacing w:after="40" w:before="40"/>
            </w:pPr>
            <w:r>
              <w:rPr>
                <w:sz w:val="15"/>
              </w:rPr>
              <w:t>Database backup, WAL, PITR and DR locality</w:t>
            </w:r>
          </w:p>
        </w:tc>
        <w:tc>
          <w:tcPr>
            <w:tcW w:type="dxa" w:w="1440"/>
            <w:vAlign w:val="center"/>
            <w:shd w:fill="F3F7F5"/>
          </w:tcPr>
          <w:p>
            <w:pPr>
              <w:spacing w:after="40" w:before="40"/>
            </w:pPr>
            <w:r>
              <w:rPr>
                <w:sz w:val="15"/>
              </w:rPr>
              <w:t>Database provider</w:t>
            </w:r>
          </w:p>
        </w:tc>
        <w:tc>
          <w:tcPr>
            <w:tcW w:type="dxa" w:w="1584"/>
            <w:vAlign w:val="center"/>
            <w:shd w:fill="F3F7F5"/>
          </w:tcPr>
          <w:p>
            <w:pPr>
              <w:spacing w:after="40" w:before="40"/>
            </w:pPr>
            <w:r>
              <w:rPr>
                <w:sz w:val="15"/>
              </w:rPr>
              <w:t>Before infrastructure approval</w:t>
            </w:r>
          </w:p>
        </w:tc>
        <w:tc>
          <w:tcPr>
            <w:tcW w:type="dxa" w:w="3384"/>
            <w:vAlign w:val="center"/>
            <w:shd w:fill="F3F7F5"/>
          </w:tcPr>
          <w:p>
            <w:pPr>
              <w:spacing w:after="40" w:before="40"/>
            </w:pPr>
            <w:r>
              <w:rPr>
                <w:sz w:val="15"/>
              </w:rPr>
              <w:t>Region-specific written evidence covering all primary and recovery copies.</w:t>
            </w:r>
          </w:p>
        </w:tc>
        <w:tc>
          <w:tcPr>
            <w:tcW w:type="dxa" w:w="1512"/>
            <w:vAlign w:val="center"/>
            <w:shd w:fill="F3F7F5"/>
          </w:tcPr>
          <w:p>
            <w:pPr>
              <w:spacing w:after="40" w:before="40"/>
            </w:pPr>
            <w:r>
              <w:rPr>
                <w:sz w:val="15"/>
              </w:rPr>
              <w:t>PROVIDER EVIDENCE</w:t>
            </w:r>
          </w:p>
        </w:tc>
      </w:tr>
      <w:tr>
        <w:tc>
          <w:tcPr>
            <w:tcW w:type="dxa" w:w="648"/>
            <w:vAlign w:val="center"/>
          </w:tcPr>
          <w:p>
            <w:pPr>
              <w:spacing w:after="40" w:before="40"/>
            </w:pPr>
            <w:r>
              <w:rPr>
                <w:sz w:val="15"/>
              </w:rPr>
              <w:t>3</w:t>
            </w:r>
          </w:p>
        </w:tc>
        <w:tc>
          <w:tcPr>
            <w:tcW w:type="dxa" w:w="1800"/>
            <w:vAlign w:val="center"/>
          </w:tcPr>
          <w:p>
            <w:pPr>
              <w:spacing w:after="40" w:before="40"/>
            </w:pPr>
            <w:r>
              <w:rPr>
                <w:sz w:val="15"/>
              </w:rPr>
              <w:t>Storage-object backup and restore proof</w:t>
            </w:r>
          </w:p>
        </w:tc>
        <w:tc>
          <w:tcPr>
            <w:tcW w:type="dxa" w:w="1440"/>
            <w:vAlign w:val="center"/>
          </w:tcPr>
          <w:p>
            <w:pPr>
              <w:spacing w:after="40" w:before="40"/>
            </w:pPr>
            <w:r>
              <w:rPr>
                <w:sz w:val="15"/>
              </w:rPr>
              <w:t>Country and storage provider</w:t>
            </w:r>
          </w:p>
        </w:tc>
        <w:tc>
          <w:tcPr>
            <w:tcW w:type="dxa" w:w="1584"/>
            <w:vAlign w:val="center"/>
          </w:tcPr>
          <w:p>
            <w:pPr>
              <w:spacing w:after="40" w:before="40"/>
            </w:pPr>
            <w:r>
              <w:rPr>
                <w:sz w:val="15"/>
              </w:rPr>
              <w:t>Before commissioning rehearsal</w:t>
            </w:r>
          </w:p>
        </w:tc>
        <w:tc>
          <w:tcPr>
            <w:tcW w:type="dxa" w:w="3384"/>
            <w:vAlign w:val="center"/>
          </w:tcPr>
          <w:p>
            <w:pPr>
              <w:spacing w:after="40" w:before="40"/>
            </w:pPr>
            <w:r>
              <w:rPr>
                <w:sz w:val="15"/>
              </w:rPr>
              <w:t>Complete object inventory, backup coverage, restore test and integrity reconciliation.</w:t>
            </w:r>
          </w:p>
        </w:tc>
        <w:tc>
          <w:tcPr>
            <w:tcW w:type="dxa" w:w="1512"/>
            <w:vAlign w:val="center"/>
          </w:tcPr>
          <w:p>
            <w:pPr>
              <w:spacing w:after="40" w:before="40"/>
            </w:pPr>
            <w:r>
              <w:rPr>
                <w:sz w:val="15"/>
              </w:rPr>
              <w:t>AUTO + HUMAN; PROVIDER EVIDENCE; COUNTRY EVIDENCE</w:t>
            </w:r>
          </w:p>
        </w:tc>
      </w:tr>
      <w:tr>
        <w:tc>
          <w:tcPr>
            <w:tcW w:type="dxa" w:w="648"/>
            <w:vAlign w:val="center"/>
            <w:shd w:fill="F3F7F5"/>
          </w:tcPr>
          <w:p>
            <w:pPr>
              <w:spacing w:after="40" w:before="40"/>
            </w:pPr>
            <w:r>
              <w:rPr>
                <w:sz w:val="15"/>
              </w:rPr>
              <w:t>4</w:t>
            </w:r>
          </w:p>
        </w:tc>
        <w:tc>
          <w:tcPr>
            <w:tcW w:type="dxa" w:w="1800"/>
            <w:vAlign w:val="center"/>
            <w:shd w:fill="F3F7F5"/>
          </w:tcPr>
          <w:p>
            <w:pPr>
              <w:spacing w:after="40" w:before="40"/>
            </w:pPr>
            <w:r>
              <w:rPr>
                <w:sz w:val="15"/>
              </w:rPr>
              <w:t>Native log residency, backup and provider access</w:t>
            </w:r>
          </w:p>
        </w:tc>
        <w:tc>
          <w:tcPr>
            <w:tcW w:type="dxa" w:w="1440"/>
            <w:vAlign w:val="center"/>
            <w:shd w:fill="F3F7F5"/>
          </w:tcPr>
          <w:p>
            <w:pPr>
              <w:spacing w:after="40" w:before="40"/>
            </w:pPr>
            <w:r>
              <w:rPr>
                <w:sz w:val="15"/>
              </w:rPr>
              <w:t>Provider and country security owner</w:t>
            </w:r>
          </w:p>
        </w:tc>
        <w:tc>
          <w:tcPr>
            <w:tcW w:type="dxa" w:w="1584"/>
            <w:vAlign w:val="center"/>
            <w:shd w:fill="F3F7F5"/>
          </w:tcPr>
          <w:p>
            <w:pPr>
              <w:spacing w:after="40" w:before="40"/>
            </w:pPr>
            <w:r>
              <w:rPr>
                <w:sz w:val="15"/>
              </w:rPr>
              <w:t>Before infrastructure approval</w:t>
            </w:r>
          </w:p>
        </w:tc>
        <w:tc>
          <w:tcPr>
            <w:tcW w:type="dxa" w:w="3384"/>
            <w:vAlign w:val="center"/>
            <w:shd w:fill="F3F7F5"/>
          </w:tcPr>
          <w:p>
            <w:pPr>
              <w:spacing w:after="40" w:before="40"/>
            </w:pPr>
            <w:r>
              <w:rPr>
                <w:sz w:val="15"/>
              </w:rPr>
              <w:t>Data-flow map, locality evidence, privileged-access evidence, retention and recovery coverage.</w:t>
            </w:r>
          </w:p>
        </w:tc>
        <w:tc>
          <w:tcPr>
            <w:tcW w:type="dxa" w:w="1512"/>
            <w:vAlign w:val="center"/>
            <w:shd w:fill="F3F7F5"/>
          </w:tcPr>
          <w:p>
            <w:pPr>
              <w:spacing w:after="40" w:before="40"/>
            </w:pPr>
            <w:r>
              <w:rPr>
                <w:sz w:val="15"/>
              </w:rPr>
              <w:t>PROVIDER EVIDENCE; COUNTRY EVIDENCE</w:t>
            </w:r>
          </w:p>
        </w:tc>
      </w:tr>
      <w:tr>
        <w:tc>
          <w:tcPr>
            <w:tcW w:type="dxa" w:w="648"/>
            <w:vAlign w:val="center"/>
          </w:tcPr>
          <w:p>
            <w:pPr>
              <w:spacing w:after="40" w:before="40"/>
            </w:pPr>
            <w:r>
              <w:rPr>
                <w:sz w:val="15"/>
              </w:rPr>
              <w:t>5</w:t>
            </w:r>
          </w:p>
        </w:tc>
        <w:tc>
          <w:tcPr>
            <w:tcW w:type="dxa" w:w="1800"/>
            <w:vAlign w:val="center"/>
          </w:tcPr>
          <w:p>
            <w:pPr>
              <w:spacing w:after="40" w:before="40"/>
            </w:pPr>
            <w:r>
              <w:rPr>
                <w:sz w:val="15"/>
              </w:rPr>
              <w:t>CDN/cache protected-science behaviour</w:t>
            </w:r>
          </w:p>
        </w:tc>
        <w:tc>
          <w:tcPr>
            <w:tcW w:type="dxa" w:w="1440"/>
            <w:vAlign w:val="center"/>
          </w:tcPr>
          <w:p>
            <w:pPr>
              <w:spacing w:after="40" w:before="40"/>
            </w:pPr>
            <w:r>
              <w:rPr>
                <w:sz w:val="15"/>
              </w:rPr>
              <w:t>Hosting/CDN provider</w:t>
            </w:r>
          </w:p>
        </w:tc>
        <w:tc>
          <w:tcPr>
            <w:tcW w:type="dxa" w:w="1584"/>
            <w:vAlign w:val="center"/>
          </w:tcPr>
          <w:p>
            <w:pPr>
              <w:spacing w:after="40" w:before="40"/>
            </w:pPr>
            <w:r>
              <w:rPr>
                <w:sz w:val="15"/>
              </w:rPr>
              <w:t>Before protected traffic</w:t>
            </w:r>
          </w:p>
        </w:tc>
        <w:tc>
          <w:tcPr>
            <w:tcW w:type="dxa" w:w="3384"/>
            <w:vAlign w:val="center"/>
          </w:tcPr>
          <w:p>
            <w:pPr>
              <w:spacing w:after="40" w:before="40"/>
            </w:pPr>
            <w:r>
              <w:rPr>
                <w:sz w:val="15"/>
              </w:rPr>
              <w:t>Configuration and provider evidence that protected objects cannot create overseas copies.</w:t>
            </w:r>
          </w:p>
        </w:tc>
        <w:tc>
          <w:tcPr>
            <w:tcW w:type="dxa" w:w="1512"/>
            <w:vAlign w:val="center"/>
          </w:tcPr>
          <w:p>
            <w:pPr>
              <w:spacing w:after="40" w:before="40"/>
            </w:pPr>
            <w:r>
              <w:rPr>
                <w:sz w:val="15"/>
              </w:rPr>
              <w:t>AUTO; PROVIDER EVIDENCE</w:t>
            </w:r>
          </w:p>
        </w:tc>
      </w:tr>
      <w:tr>
        <w:tc>
          <w:tcPr>
            <w:tcW w:type="dxa" w:w="648"/>
            <w:vAlign w:val="center"/>
            <w:shd w:fill="F3F7F5"/>
          </w:tcPr>
          <w:p>
            <w:pPr>
              <w:spacing w:after="40" w:before="40"/>
            </w:pPr>
            <w:r>
              <w:rPr>
                <w:sz w:val="15"/>
              </w:rPr>
              <w:t>6</w:t>
            </w:r>
          </w:p>
        </w:tc>
        <w:tc>
          <w:tcPr>
            <w:tcW w:type="dxa" w:w="1800"/>
            <w:vAlign w:val="center"/>
            <w:shd w:fill="F3F7F5"/>
          </w:tcPr>
          <w:p>
            <w:pPr>
              <w:spacing w:after="40" w:before="40"/>
            </w:pPr>
            <w:r>
              <w:rPr>
                <w:sz w:val="15"/>
              </w:rPr>
              <w:t>Serverless/function execution and failover locality</w:t>
            </w:r>
          </w:p>
        </w:tc>
        <w:tc>
          <w:tcPr>
            <w:tcW w:type="dxa" w:w="1440"/>
            <w:vAlign w:val="center"/>
            <w:shd w:fill="F3F7F5"/>
          </w:tcPr>
          <w:p>
            <w:pPr>
              <w:spacing w:after="40" w:before="40"/>
            </w:pPr>
            <w:r>
              <w:rPr>
                <w:sz w:val="15"/>
              </w:rPr>
              <w:t>Function provider</w:t>
            </w:r>
          </w:p>
        </w:tc>
        <w:tc>
          <w:tcPr>
            <w:tcW w:type="dxa" w:w="1584"/>
            <w:vAlign w:val="center"/>
            <w:shd w:fill="F3F7F5"/>
          </w:tcPr>
          <w:p>
            <w:pPr>
              <w:spacing w:after="40" w:before="40"/>
            </w:pPr>
            <w:r>
              <w:rPr>
                <w:sz w:val="15"/>
              </w:rPr>
              <w:t>Before protected execution</w:t>
            </w:r>
          </w:p>
        </w:tc>
        <w:tc>
          <w:tcPr>
            <w:tcW w:type="dxa" w:w="3384"/>
            <w:vAlign w:val="center"/>
            <w:shd w:fill="F3F7F5"/>
          </w:tcPr>
          <w:p>
            <w:pPr>
              <w:spacing w:after="40" w:before="40"/>
            </w:pPr>
            <w:r>
              <w:rPr>
                <w:sz w:val="15"/>
              </w:rPr>
              <w:t>Execution-region and failover proof; fail-closed test for unavailable sovereign capacity.</w:t>
            </w:r>
          </w:p>
        </w:tc>
        <w:tc>
          <w:tcPr>
            <w:tcW w:type="dxa" w:w="1512"/>
            <w:vAlign w:val="center"/>
            <w:shd w:fill="F3F7F5"/>
          </w:tcPr>
          <w:p>
            <w:pPr>
              <w:spacing w:after="40" w:before="40"/>
            </w:pPr>
            <w:r>
              <w:rPr>
                <w:sz w:val="15"/>
              </w:rPr>
              <w:t>AUTO + HUMAN; PROVIDER EVIDENCE</w:t>
            </w:r>
          </w:p>
        </w:tc>
      </w:tr>
      <w:tr>
        <w:tc>
          <w:tcPr>
            <w:tcW w:type="dxa" w:w="648"/>
            <w:vAlign w:val="center"/>
          </w:tcPr>
          <w:p>
            <w:pPr>
              <w:spacing w:after="40" w:before="40"/>
            </w:pPr>
            <w:r>
              <w:rPr>
                <w:sz w:val="15"/>
              </w:rPr>
              <w:t>7</w:t>
            </w:r>
          </w:p>
        </w:tc>
        <w:tc>
          <w:tcPr>
            <w:tcW w:type="dxa" w:w="1800"/>
            <w:vAlign w:val="center"/>
          </w:tcPr>
          <w:p>
            <w:pPr>
              <w:spacing w:after="40" w:before="40"/>
            </w:pPr>
            <w:r>
              <w:rPr>
                <w:sz w:val="15"/>
              </w:rPr>
              <w:t>Provider personnel access controls</w:t>
            </w:r>
          </w:p>
        </w:tc>
        <w:tc>
          <w:tcPr>
            <w:tcW w:type="dxa" w:w="1440"/>
            <w:vAlign w:val="center"/>
          </w:tcPr>
          <w:p>
            <w:pPr>
              <w:spacing w:after="40" w:before="40"/>
            </w:pPr>
            <w:r>
              <w:rPr>
                <w:sz w:val="15"/>
              </w:rPr>
              <w:t>All production providers</w:t>
            </w:r>
          </w:p>
        </w:tc>
        <w:tc>
          <w:tcPr>
            <w:tcW w:type="dxa" w:w="1584"/>
            <w:vAlign w:val="center"/>
          </w:tcPr>
          <w:p>
            <w:pPr>
              <w:spacing w:after="40" w:before="40"/>
            </w:pPr>
            <w:r>
              <w:rPr>
                <w:sz w:val="15"/>
              </w:rPr>
              <w:t>Before provider approval</w:t>
            </w:r>
          </w:p>
        </w:tc>
        <w:tc>
          <w:tcPr>
            <w:tcW w:type="dxa" w:w="3384"/>
            <w:vAlign w:val="center"/>
          </w:tcPr>
          <w:p>
            <w:pPr>
              <w:spacing w:after="40" w:before="40"/>
            </w:pPr>
            <w:r>
              <w:rPr>
                <w:sz w:val="15"/>
              </w:rPr>
              <w:t>Role, support-access, audit-log, emergency-access and country-authorisation evidence.</w:t>
            </w:r>
          </w:p>
        </w:tc>
        <w:tc>
          <w:tcPr>
            <w:tcW w:type="dxa" w:w="1512"/>
            <w:vAlign w:val="center"/>
          </w:tcPr>
          <w:p>
            <w:pPr>
              <w:spacing w:after="40" w:before="40"/>
            </w:pPr>
            <w:r>
              <w:rPr>
                <w:sz w:val="15"/>
              </w:rPr>
              <w:t>PROVIDER EVIDENCE; COUNTRY EVIDENCE; GOVERNANCE</w:t>
            </w:r>
          </w:p>
        </w:tc>
      </w:tr>
      <w:tr>
        <w:tc>
          <w:tcPr>
            <w:tcW w:type="dxa" w:w="648"/>
            <w:vAlign w:val="center"/>
            <w:shd w:fill="F3F7F5"/>
          </w:tcPr>
          <w:p>
            <w:pPr>
              <w:spacing w:after="40" w:before="40"/>
            </w:pPr>
            <w:r>
              <w:rPr>
                <w:sz w:val="15"/>
              </w:rPr>
              <w:t>8</w:t>
            </w:r>
          </w:p>
        </w:tc>
        <w:tc>
          <w:tcPr>
            <w:tcW w:type="dxa" w:w="1800"/>
            <w:vAlign w:val="center"/>
            <w:shd w:fill="F3F7F5"/>
          </w:tcPr>
          <w:p>
            <w:pPr>
              <w:spacing w:after="40" w:before="40"/>
            </w:pPr>
            <w:r>
              <w:rPr>
                <w:sz w:val="15"/>
              </w:rPr>
              <w:t>Encryption and key control</w:t>
            </w:r>
          </w:p>
        </w:tc>
        <w:tc>
          <w:tcPr>
            <w:tcW w:type="dxa" w:w="1440"/>
            <w:vAlign w:val="center"/>
            <w:shd w:fill="F3F7F5"/>
          </w:tcPr>
          <w:p>
            <w:pPr>
              <w:spacing w:after="40" w:before="40"/>
            </w:pPr>
            <w:r>
              <w:rPr>
                <w:sz w:val="15"/>
              </w:rPr>
              <w:t>Country and providers</w:t>
            </w:r>
          </w:p>
        </w:tc>
        <w:tc>
          <w:tcPr>
            <w:tcW w:type="dxa" w:w="1584"/>
            <w:vAlign w:val="center"/>
            <w:shd w:fill="F3F7F5"/>
          </w:tcPr>
          <w:p>
            <w:pPr>
              <w:spacing w:after="40" w:before="40"/>
            </w:pPr>
            <w:r>
              <w:rPr>
                <w:sz w:val="15"/>
              </w:rPr>
              <w:t>Before infrastructure approval</w:t>
            </w:r>
          </w:p>
        </w:tc>
        <w:tc>
          <w:tcPr>
            <w:tcW w:type="dxa" w:w="3384"/>
            <w:vAlign w:val="center"/>
            <w:shd w:fill="F3F7F5"/>
          </w:tcPr>
          <w:p>
            <w:pPr>
              <w:spacing w:after="40" w:before="40"/>
            </w:pPr>
            <w:r>
              <w:rPr>
                <w:sz w:val="15"/>
              </w:rPr>
              <w:t>Encryption inventory, key ownership, rotation, recovery and privileged-operation evidence.</w:t>
            </w:r>
          </w:p>
        </w:tc>
        <w:tc>
          <w:tcPr>
            <w:tcW w:type="dxa" w:w="1512"/>
            <w:vAlign w:val="center"/>
            <w:shd w:fill="F3F7F5"/>
          </w:tcPr>
          <w:p>
            <w:pPr>
              <w:spacing w:after="40" w:before="40"/>
            </w:pPr>
            <w:r>
              <w:rPr>
                <w:sz w:val="15"/>
              </w:rPr>
              <w:t>AUTO; PROVIDER EVIDENCE; COUNTRY EVIDENCE</w:t>
            </w:r>
          </w:p>
        </w:tc>
      </w:tr>
      <w:tr>
        <w:tc>
          <w:tcPr>
            <w:tcW w:type="dxa" w:w="648"/>
            <w:vAlign w:val="center"/>
          </w:tcPr>
          <w:p>
            <w:pPr>
              <w:spacing w:after="40" w:before="40"/>
            </w:pPr>
            <w:r>
              <w:rPr>
                <w:sz w:val="15"/>
              </w:rPr>
              <w:t>9</w:t>
            </w:r>
          </w:p>
        </w:tc>
        <w:tc>
          <w:tcPr>
            <w:tcW w:type="dxa" w:w="1800"/>
            <w:vAlign w:val="center"/>
          </w:tcPr>
          <w:p>
            <w:pPr>
              <w:spacing w:after="40" w:before="40"/>
            </w:pPr>
            <w:r>
              <w:rPr>
                <w:sz w:val="15"/>
              </w:rPr>
              <w:t>Deletion across copies</w:t>
            </w:r>
          </w:p>
        </w:tc>
        <w:tc>
          <w:tcPr>
            <w:tcW w:type="dxa" w:w="1440"/>
            <w:vAlign w:val="center"/>
          </w:tcPr>
          <w:p>
            <w:pPr>
              <w:spacing w:after="40" w:before="40"/>
            </w:pPr>
            <w:r>
              <w:rPr>
                <w:sz w:val="15"/>
              </w:rPr>
              <w:t>Country and providers</w:t>
            </w:r>
          </w:p>
        </w:tc>
        <w:tc>
          <w:tcPr>
            <w:tcW w:type="dxa" w:w="1584"/>
            <w:vAlign w:val="center"/>
          </w:tcPr>
          <w:p>
            <w:pPr>
              <w:spacing w:after="40" w:before="40"/>
            </w:pPr>
            <w:r>
              <w:rPr>
                <w:sz w:val="15"/>
              </w:rPr>
              <w:t>Before commissioning</w:t>
            </w:r>
          </w:p>
        </w:tc>
        <w:tc>
          <w:tcPr>
            <w:tcW w:type="dxa" w:w="3384"/>
            <w:vAlign w:val="center"/>
          </w:tcPr>
          <w:p>
            <w:pPr>
              <w:spacing w:after="40" w:before="40"/>
            </w:pPr>
            <w:r>
              <w:rPr>
                <w:sz w:val="15"/>
              </w:rPr>
              <w:t>Tested deletion/retention schedule spanning data, objects, logs, caches, replicas and backups.</w:t>
            </w:r>
          </w:p>
        </w:tc>
        <w:tc>
          <w:tcPr>
            <w:tcW w:type="dxa" w:w="1512"/>
            <w:vAlign w:val="center"/>
          </w:tcPr>
          <w:p>
            <w:pPr>
              <w:spacing w:after="40" w:before="40"/>
            </w:pPr>
            <w:r>
              <w:rPr>
                <w:sz w:val="15"/>
              </w:rPr>
              <w:t>AUTO + HUMAN; PROVIDER EVIDENCE; GOVERNANCE</w:t>
            </w:r>
          </w:p>
        </w:tc>
      </w:tr>
      <w:tr>
        <w:tc>
          <w:tcPr>
            <w:tcW w:type="dxa" w:w="648"/>
            <w:vAlign w:val="center"/>
            <w:shd w:fill="F3F7F5"/>
          </w:tcPr>
          <w:p>
            <w:pPr>
              <w:spacing w:after="40" w:before="40"/>
            </w:pPr>
            <w:r>
              <w:rPr>
                <w:sz w:val="15"/>
              </w:rPr>
              <w:t>10</w:t>
            </w:r>
          </w:p>
        </w:tc>
        <w:tc>
          <w:tcPr>
            <w:tcW w:type="dxa" w:w="1800"/>
            <w:vAlign w:val="center"/>
            <w:shd w:fill="F3F7F5"/>
          </w:tcPr>
          <w:p>
            <w:pPr>
              <w:spacing w:after="40" w:before="40"/>
            </w:pPr>
            <w:r>
              <w:rPr>
                <w:sz w:val="15"/>
              </w:rPr>
              <w:t>Vendor-neutral reconstruction</w:t>
            </w:r>
          </w:p>
        </w:tc>
        <w:tc>
          <w:tcPr>
            <w:tcW w:type="dxa" w:w="1440"/>
            <w:vAlign w:val="center"/>
            <w:shd w:fill="F3F7F5"/>
          </w:tcPr>
          <w:p>
            <w:pPr>
              <w:spacing w:after="40" w:before="40"/>
            </w:pPr>
            <w:r>
              <w:rPr>
                <w:sz w:val="15"/>
              </w:rPr>
              <w:t>AAB and independent assessor</w:t>
            </w:r>
          </w:p>
        </w:tc>
        <w:tc>
          <w:tcPr>
            <w:tcW w:type="dxa" w:w="1584"/>
            <w:vAlign w:val="center"/>
            <w:shd w:fill="F3F7F5"/>
          </w:tcPr>
          <w:p>
            <w:pPr>
              <w:spacing w:after="40" w:before="40"/>
            </w:pPr>
            <w:r>
              <w:rPr>
                <w:sz w:val="15"/>
              </w:rPr>
              <w:t>Before Supabase rehearsal retirement</w:t>
            </w:r>
          </w:p>
        </w:tc>
        <w:tc>
          <w:tcPr>
            <w:tcW w:type="dxa" w:w="3384"/>
            <w:vAlign w:val="center"/>
            <w:shd w:fill="F3F7F5"/>
          </w:tcPr>
          <w:p>
            <w:pPr>
              <w:spacing w:after="40" w:before="40"/>
            </w:pPr>
            <w:r>
              <w:rPr>
                <w:sz w:val="15"/>
              </w:rPr>
              <w:t>Deploy and operate from canonical package without retrieving any required item from Supabase.</w:t>
            </w:r>
          </w:p>
        </w:tc>
        <w:tc>
          <w:tcPr>
            <w:tcW w:type="dxa" w:w="1512"/>
            <w:vAlign w:val="center"/>
            <w:shd w:fill="F3F7F5"/>
          </w:tcPr>
          <w:p>
            <w:pPr>
              <w:spacing w:after="40" w:before="40"/>
            </w:pPr>
            <w:r>
              <w:rPr>
                <w:sz w:val="15"/>
              </w:rPr>
              <w:t>AUTO + HUMAN; COUNTRY EVIDENCE; GOVERNANCE</w:t>
            </w:r>
          </w:p>
        </w:tc>
      </w:tr>
    </w:tbl>
    <w:p>
      <w:pPr>
        <w:pStyle w:val="Heading1"/>
      </w:pPr>
      <w:r>
        <w:t>9 Risk Ordered Phase 2 Remediation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F35"/>
            <w:vAlign w:val="center"/>
          </w:tcPr>
          <w:p>
            <w:r>
              <w:rPr>
                <w:b/>
                <w:color w:val="FFFFFF"/>
                <w:sz w:val="16"/>
              </w:rPr>
              <w:t>Order</w:t>
            </w:r>
          </w:p>
        </w:tc>
        <w:tc>
          <w:tcPr>
            <w:tcW w:type="dxa" w:w="3389"/>
            <w:shd w:fill="173F35"/>
            <w:vAlign w:val="center"/>
          </w:tcPr>
          <w:p>
            <w:r>
              <w:rPr>
                <w:b/>
                <w:color w:val="FFFFFF"/>
                <w:sz w:val="16"/>
              </w:rPr>
              <w:t>Workstream</w:t>
            </w:r>
          </w:p>
        </w:tc>
        <w:tc>
          <w:tcPr>
            <w:tcW w:type="dxa" w:w="3389"/>
            <w:shd w:fill="173F35"/>
            <w:vAlign w:val="center"/>
          </w:tcPr>
          <w:p>
            <w:r>
              <w:rPr>
                <w:b/>
                <w:color w:val="FFFFFF"/>
                <w:sz w:val="16"/>
              </w:rPr>
              <w:t>Exit condition</w:t>
            </w:r>
          </w:p>
        </w:tc>
      </w:tr>
      <w:tr>
        <w:tc>
          <w:tcPr>
            <w:tcW w:type="dxa" w:w="1584"/>
            <w:vAlign w:val="center"/>
          </w:tcPr>
          <w:p>
            <w:pPr>
              <w:spacing w:after="40" w:before="40"/>
            </w:pPr>
            <w:r>
              <w:rPr>
                <w:sz w:val="16"/>
              </w:rPr>
              <w:t>1 Sovereign infrastructure</w:t>
            </w:r>
          </w:p>
        </w:tc>
        <w:tc>
          <w:tcPr>
            <w:tcW w:type="dxa" w:w="5040"/>
            <w:vAlign w:val="center"/>
          </w:tcPr>
          <w:p>
            <w:pPr>
              <w:spacing w:after="40" w:before="40"/>
            </w:pPr>
            <w:r>
              <w:rPr>
                <w:sz w:val="16"/>
              </w:rPr>
              <w:t>Define and approve the vendor-neutral AAB Country Deployment Standard; establish country-owned infrastructure; prove sovereign database, storage, logs, caches, execution, backup, recovery, keys and provider administration.</w:t>
            </w:r>
          </w:p>
        </w:tc>
        <w:tc>
          <w:tcPr>
            <w:tcW w:type="dxa" w:w="3744"/>
            <w:vAlign w:val="center"/>
          </w:tcPr>
          <w:p>
            <w:pPr>
              <w:spacing w:after="40" w:before="40"/>
            </w:pPr>
            <w:r>
              <w:rPr>
                <w:sz w:val="16"/>
              </w:rPr>
              <w:t>Mandatory infrastructure evidence accepted; no protected workload proceeds while any sovereign-boundary evidence remains unresolved.</w:t>
            </w:r>
          </w:p>
        </w:tc>
      </w:tr>
      <w:tr>
        <w:tc>
          <w:tcPr>
            <w:tcW w:type="dxa" w:w="1584"/>
            <w:vAlign w:val="center"/>
            <w:shd w:fill="F3F7F5"/>
          </w:tcPr>
          <w:p>
            <w:pPr>
              <w:spacing w:after="40" w:before="40"/>
            </w:pPr>
            <w:r>
              <w:rPr>
                <w:sz w:val="16"/>
              </w:rPr>
              <w:t>2 Direct security failures</w:t>
            </w:r>
          </w:p>
        </w:tc>
        <w:tc>
          <w:tcPr>
            <w:tcW w:type="dxa" w:w="5040"/>
            <w:vAlign w:val="center"/>
            <w:shd w:fill="F3F7F5"/>
          </w:tcPr>
          <w:p>
            <w:pPr>
              <w:spacing w:after="40" w:before="40"/>
            </w:pPr>
            <w:r>
              <w:rPr>
                <w:sz w:val="16"/>
              </w:rPr>
              <w:t>Remove public diagnostic/preflight/DB-health exposure; enforce privileged MFA; replace standing non-expiring privileged credentials with scoped lifecycle-controlled access.</w:t>
            </w:r>
          </w:p>
        </w:tc>
        <w:tc>
          <w:tcPr>
            <w:tcW w:type="dxa" w:w="3744"/>
            <w:vAlign w:val="center"/>
            <w:shd w:fill="F3F7F5"/>
          </w:tcPr>
          <w:p>
            <w:pPr>
              <w:spacing w:after="40" w:before="40"/>
            </w:pPr>
            <w:r>
              <w:rPr>
                <w:sz w:val="16"/>
              </w:rPr>
              <w:t>Independent verification shows exposure removed and privileged access controlled.</w:t>
            </w:r>
          </w:p>
        </w:tc>
      </w:tr>
      <w:tr>
        <w:tc>
          <w:tcPr>
            <w:tcW w:type="dxa" w:w="1584"/>
            <w:vAlign w:val="center"/>
          </w:tcPr>
          <w:p>
            <w:pPr>
              <w:spacing w:after="40" w:before="40"/>
            </w:pPr>
            <w:r>
              <w:rPr>
                <w:sz w:val="16"/>
              </w:rPr>
              <w:t>3 Unresolved mandatory evidence</w:t>
            </w:r>
          </w:p>
        </w:tc>
        <w:tc>
          <w:tcPr>
            <w:tcW w:type="dxa" w:w="5040"/>
            <w:vAlign w:val="center"/>
          </w:tcPr>
          <w:p>
            <w:pPr>
              <w:spacing w:after="40" w:before="40"/>
            </w:pPr>
            <w:r>
              <w:rPr>
                <w:sz w:val="16"/>
              </w:rPr>
              <w:t>Close the evidence schedule, including backup/WAL/PITR/DR locality, provider access, logs, CDN, serverless failover, recovery, deletion and key control.</w:t>
            </w:r>
          </w:p>
        </w:tc>
        <w:tc>
          <w:tcPr>
            <w:tcW w:type="dxa" w:w="3744"/>
            <w:vAlign w:val="center"/>
          </w:tcPr>
          <w:p>
            <w:pPr>
              <w:spacing w:after="40" w:before="40"/>
            </w:pPr>
            <w:r>
              <w:rPr>
                <w:sz w:val="16"/>
              </w:rPr>
              <w:t>Every mandatory item has accepted evidence; EVIDENCE REQUIRED is not converted by inference.</w:t>
            </w:r>
          </w:p>
        </w:tc>
      </w:tr>
      <w:tr>
        <w:tc>
          <w:tcPr>
            <w:tcW w:type="dxa" w:w="1584"/>
            <w:vAlign w:val="center"/>
            <w:shd w:fill="F3F7F5"/>
          </w:tcPr>
          <w:p>
            <w:pPr>
              <w:spacing w:after="40" w:before="40"/>
            </w:pPr>
            <w:r>
              <w:rPr>
                <w:sz w:val="16"/>
              </w:rPr>
              <w:t>4 Normal hardening</w:t>
            </w:r>
          </w:p>
        </w:tc>
        <w:tc>
          <w:tcPr>
            <w:tcW w:type="dxa" w:w="5040"/>
            <w:vAlign w:val="center"/>
            <w:shd w:fill="F3F7F5"/>
          </w:tcPr>
          <w:p>
            <w:pPr>
              <w:spacing w:after="40" w:before="40"/>
            </w:pPr>
            <w:r>
              <w:rPr>
                <w:sz w:val="16"/>
              </w:rPr>
              <w:t>Complete remaining security, operational resilience, monitoring and procedure hardening after sovereignty and direct failures are closed.</w:t>
            </w:r>
          </w:p>
        </w:tc>
        <w:tc>
          <w:tcPr>
            <w:tcW w:type="dxa" w:w="3744"/>
            <w:vAlign w:val="center"/>
            <w:shd w:fill="F3F7F5"/>
          </w:tcPr>
          <w:p>
            <w:pPr>
              <w:spacing w:after="40" w:before="40"/>
            </w:pPr>
            <w:r>
              <w:rPr>
                <w:sz w:val="16"/>
              </w:rPr>
              <w:t>Documented risk acceptance and verification under country/governance authority.</w:t>
            </w:r>
          </w:p>
        </w:tc>
      </w:tr>
      <w:tr>
        <w:tc>
          <w:tcPr>
            <w:tcW w:type="dxa" w:w="1584"/>
            <w:vAlign w:val="center"/>
          </w:tcPr>
          <w:p>
            <w:pPr>
              <w:spacing w:after="40" w:before="40"/>
            </w:pPr>
            <w:r>
              <w:rPr>
                <w:sz w:val="16"/>
              </w:rPr>
              <w:t>5 Commissioning verification</w:t>
            </w:r>
          </w:p>
        </w:tc>
        <w:tc>
          <w:tcPr>
            <w:tcW w:type="dxa" w:w="5040"/>
            <w:vAlign w:val="center"/>
          </w:tcPr>
          <w:p>
            <w:pPr>
              <w:spacing w:after="40" w:before="40"/>
            </w:pPr>
            <w:r>
              <w:rPr>
                <w:sz w:val="16"/>
              </w:rPr>
              <w:t>Implement PH2-COM-AUTO-01 and PH2-COM-AUTO-02, test the canonical package in an Australian deployment and produce an immutable evidence pack.</w:t>
            </w:r>
          </w:p>
        </w:tc>
        <w:tc>
          <w:tcPr>
            <w:tcW w:type="dxa" w:w="3744"/>
            <w:vAlign w:val="center"/>
          </w:tcPr>
          <w:p>
            <w:pPr>
              <w:spacing w:after="40" w:before="40"/>
            </w:pPr>
            <w:r>
              <w:rPr>
                <w:sz w:val="16"/>
              </w:rPr>
              <w:t>Automation reports evidence only. Country and governance approval remain separate mandatory gates.</w:t>
            </w:r>
          </w:p>
        </w:tc>
      </w:tr>
      <w:tr>
        <w:tc>
          <w:tcPr>
            <w:tcW w:type="dxa" w:w="1584"/>
            <w:vAlign w:val="center"/>
            <w:shd w:fill="F3F7F5"/>
          </w:tcPr>
          <w:p>
            <w:pPr>
              <w:spacing w:after="40" w:before="40"/>
            </w:pPr>
            <w:r>
              <w:rPr>
                <w:sz w:val="16"/>
              </w:rPr>
              <w:t>6 Rehearsal retirement</w:t>
            </w:r>
          </w:p>
        </w:tc>
        <w:tc>
          <w:tcPr>
            <w:tcW w:type="dxa" w:w="5040"/>
            <w:vAlign w:val="center"/>
            <w:shd w:fill="F3F7F5"/>
          </w:tcPr>
          <w:p>
            <w:pPr>
              <w:spacing w:after="40" w:before="40"/>
            </w:pPr>
            <w:r>
              <w:rPr>
                <w:sz w:val="16"/>
              </w:rPr>
              <w:t>After independent reconstruction and operation are demonstrated without retrieving anything required from Supabase, seek explicit deletion authority for rehearsal retirement.</w:t>
            </w:r>
          </w:p>
        </w:tc>
        <w:tc>
          <w:tcPr>
            <w:tcW w:type="dxa" w:w="3744"/>
            <w:vAlign w:val="center"/>
            <w:shd w:fill="F3F7F5"/>
          </w:tcPr>
          <w:p>
            <w:pPr>
              <w:spacing w:after="40" w:before="40"/>
            </w:pPr>
            <w:r>
              <w:rPr>
                <w:sz w:val="16"/>
              </w:rPr>
              <w:t>Separate authorised deletion plan, retention decision and verified completion evidence.</w:t>
            </w:r>
          </w:p>
        </w:tc>
      </w:tr>
    </w:tbl>
    <w:p>
      <w:pPr>
        <w:pStyle w:val="Heading1"/>
      </w:pPr>
      <w:r>
        <w:t>10 Scaling Decomposition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F35"/>
            <w:vAlign w:val="center"/>
          </w:tcPr>
          <w:p>
            <w:r>
              <w:rPr>
                <w:b/>
                <w:color w:val="FFFFFF"/>
                <w:sz w:val="17"/>
              </w:rPr>
              <w:t>Plane</w:t>
            </w:r>
          </w:p>
        </w:tc>
        <w:tc>
          <w:tcPr>
            <w:tcW w:type="dxa" w:w="3389"/>
            <w:shd w:fill="173F35"/>
            <w:vAlign w:val="center"/>
          </w:tcPr>
          <w:p>
            <w:r>
              <w:rPr>
                <w:b/>
                <w:color w:val="FFFFFF"/>
                <w:sz w:val="17"/>
              </w:rPr>
              <w:t>Purpose</w:t>
            </w:r>
          </w:p>
        </w:tc>
        <w:tc>
          <w:tcPr>
            <w:tcW w:type="dxa" w:w="3389"/>
            <w:shd w:fill="173F35"/>
            <w:vAlign w:val="center"/>
          </w:tcPr>
          <w:p>
            <w:r>
              <w:rPr>
                <w:b/>
                <w:color w:val="FFFFFF"/>
                <w:sz w:val="17"/>
              </w:rPr>
              <w:t>Sovereignty boundary</w:t>
            </w:r>
          </w:p>
        </w:tc>
      </w:tr>
      <w:tr>
        <w:tc>
          <w:tcPr>
            <w:tcW w:type="dxa" w:w="1728"/>
            <w:vAlign w:val="center"/>
          </w:tcPr>
          <w:p>
            <w:pPr>
              <w:spacing w:after="40" w:before="40"/>
            </w:pPr>
            <w:r>
              <w:rPr>
                <w:sz w:val="17"/>
              </w:rPr>
              <w:t>Administration</w:t>
            </w:r>
          </w:p>
        </w:tc>
        <w:tc>
          <w:tcPr>
            <w:tcW w:type="dxa" w:w="4320"/>
            <w:vAlign w:val="center"/>
          </w:tcPr>
          <w:p>
            <w:pPr>
              <w:spacing w:after="40" w:before="40"/>
            </w:pPr>
            <w:r>
              <w:rPr>
                <w:sz w:val="17"/>
              </w:rPr>
              <w:t>Country-owned identity, membership, privileged operations and provider control.</w:t>
            </w:r>
          </w:p>
        </w:tc>
        <w:tc>
          <w:tcPr>
            <w:tcW w:type="dxa" w:w="4320"/>
            <w:vAlign w:val="center"/>
          </w:tcPr>
          <w:p>
            <w:pPr>
              <w:spacing w:after="40" w:before="40"/>
            </w:pPr>
            <w:r>
              <w:rPr>
                <w:sz w:val="17"/>
              </w:rPr>
              <w:t>No inherited access from canonical AAB or another country.</w:t>
            </w:r>
          </w:p>
        </w:tc>
      </w:tr>
      <w:tr>
        <w:tc>
          <w:tcPr>
            <w:tcW w:type="dxa" w:w="1728"/>
            <w:vAlign w:val="center"/>
            <w:shd w:fill="F3F7F5"/>
          </w:tcPr>
          <w:p>
            <w:pPr>
              <w:spacing w:after="40" w:before="40"/>
            </w:pPr>
            <w:r>
              <w:rPr>
                <w:sz w:val="17"/>
              </w:rPr>
              <w:t>Deployment</w:t>
            </w:r>
          </w:p>
        </w:tc>
        <w:tc>
          <w:tcPr>
            <w:tcW w:type="dxa" w:w="4320"/>
            <w:vAlign w:val="center"/>
            <w:shd w:fill="F3F7F5"/>
          </w:tcPr>
          <w:p>
            <w:pPr>
              <w:spacing w:after="40" w:before="40"/>
            </w:pPr>
            <w:r>
              <w:rPr>
                <w:sz w:val="17"/>
              </w:rPr>
              <w:t>Canonical package moves into approved country-owned infrastructure.</w:t>
            </w:r>
          </w:p>
        </w:tc>
        <w:tc>
          <w:tcPr>
            <w:tcW w:type="dxa" w:w="4320"/>
            <w:vAlign w:val="center"/>
            <w:shd w:fill="F3F7F5"/>
          </w:tcPr>
          <w:p>
            <w:pPr>
              <w:spacing w:after="40" w:before="40"/>
            </w:pPr>
            <w:r>
              <w:rPr>
                <w:sz w:val="17"/>
              </w:rPr>
              <w:t>Temporary AAB authority is scoped, audited and revocable.</w:t>
            </w:r>
          </w:p>
        </w:tc>
      </w:tr>
      <w:tr>
        <w:tc>
          <w:tcPr>
            <w:tcW w:type="dxa" w:w="1728"/>
            <w:vAlign w:val="center"/>
          </w:tcPr>
          <w:p>
            <w:pPr>
              <w:spacing w:after="40" w:before="40"/>
            </w:pPr>
            <w:r>
              <w:rPr>
                <w:sz w:val="17"/>
              </w:rPr>
              <w:t>Verification</w:t>
            </w:r>
          </w:p>
        </w:tc>
        <w:tc>
          <w:tcPr>
            <w:tcW w:type="dxa" w:w="4320"/>
            <w:vAlign w:val="center"/>
          </w:tcPr>
          <w:p>
            <w:pPr>
              <w:spacing w:after="40" w:before="40"/>
            </w:pPr>
            <w:r>
              <w:rPr>
                <w:sz w:val="17"/>
              </w:rPr>
              <w:t>Automated, human, provider, country and governance evidence.</w:t>
            </w:r>
          </w:p>
        </w:tc>
        <w:tc>
          <w:tcPr>
            <w:tcW w:type="dxa" w:w="4320"/>
            <w:vAlign w:val="center"/>
          </w:tcPr>
          <w:p>
            <w:pPr>
              <w:spacing w:after="40" w:before="40"/>
            </w:pPr>
            <w:r>
              <w:rPr>
                <w:sz w:val="17"/>
              </w:rPr>
              <w:t>Evidence generation cannot grant production authority.</w:t>
            </w:r>
          </w:p>
        </w:tc>
      </w:tr>
      <w:tr>
        <w:tc>
          <w:tcPr>
            <w:tcW w:type="dxa" w:w="1728"/>
            <w:vAlign w:val="center"/>
            <w:shd w:fill="F3F7F5"/>
          </w:tcPr>
          <w:p>
            <w:pPr>
              <w:spacing w:after="40" w:before="40"/>
            </w:pPr>
            <w:r>
              <w:rPr>
                <w:sz w:val="17"/>
              </w:rPr>
              <w:t>Knowledge</w:t>
            </w:r>
          </w:p>
        </w:tc>
        <w:tc>
          <w:tcPr>
            <w:tcW w:type="dxa" w:w="4320"/>
            <w:vAlign w:val="center"/>
            <w:shd w:fill="F3F7F5"/>
          </w:tcPr>
          <w:p>
            <w:pPr>
              <w:spacing w:after="40" w:before="40"/>
            </w:pPr>
            <w:r>
              <w:rPr>
                <w:sz w:val="17"/>
              </w:rPr>
              <w:t>Country scientific records and all derivatives remain local.</w:t>
            </w:r>
          </w:p>
        </w:tc>
        <w:tc>
          <w:tcPr>
            <w:tcW w:type="dxa" w:w="4320"/>
            <w:vAlign w:val="center"/>
            <w:shd w:fill="F3F7F5"/>
          </w:tcPr>
          <w:p>
            <w:pPr>
              <w:spacing w:after="40" w:before="40"/>
            </w:pPr>
            <w:r>
              <w:rPr>
                <w:sz w:val="17"/>
              </w:rPr>
              <w:t>No automatic return country-to-canonical or country-to-country.</w:t>
            </w:r>
          </w:p>
        </w:tc>
      </w:tr>
    </w:tbl>
    <w:p>
      <w:pPr>
        <w:pStyle w:val="Heading1"/>
      </w:pPr>
      <w:r>
        <w:t>11 Phase 1 Closure Statement</w:t>
      </w:r>
    </w:p>
    <w:p>
      <w:r>
        <w:rPr>
          <w:b/>
        </w:rPr>
        <w:t>Did Phase 1 establish the actual state sufficiently to begin controlled remediation? YES.</w:t>
      </w:r>
    </w:p>
    <w:p>
      <w:r>
        <w:rPr>
          <w:b/>
        </w:rPr>
        <w:t>Is WA authorised for production? NO.</w:t>
      </w:r>
    </w:p>
    <w:p>
      <w:r>
        <w:t>The report remains frozen for David’s review. The control-ID reconciliation is complete on the evidence currently accessible: no unresolved ID ambiguity remains that prevents baseline freeze or publication. Publication itself remains unauthorised until David explicitly authorises it. No production change, remediation action, spending, deletion, access change or governance trade-off is authorised by this document.</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AAB Phase 1 Sovereignty Technical Verification Report | Review draft | Not commissioned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AAB Phase 1 Sovereignty Technical Verification Report and Register</dc:title>
  <dc:subject>Read-only Phase 1 closure and commissioning decision</dc:subject>
  <dc:creator>AAB</dc:creator>
  <cp:keywords/>
  <dc:description>generated by python-docx</dc:description>
  <cp:lastModifiedBy/>
  <cp:revision>1</cp:revision>
  <dcterms:created xsi:type="dcterms:W3CDTF">2013-12-23T23:15:00Z</dcterms:created>
  <dcterms:modified xsi:type="dcterms:W3CDTF">2013-12-23T23:15:00Z</dcterms:modified>
  <cp:category/>
</cp:coreProperties>
</file>