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rFonts w:hint="default"/>
                <w:lang w:val="en-US"/>
              </w:rPr>
            </w:pPr>
            <w:r>
              <w:rPr>
                <w:rFonts w:hint="eastAsia"/>
              </w:rPr>
              <w:t>20</w:t>
            </w:r>
            <w:r>
              <w:rPr>
                <w:rFonts w:hint="eastAsia"/>
                <w:lang w:val="en-US" w:eastAsia="zh-CN"/>
              </w:rPr>
              <w:t>21</w:t>
            </w:r>
            <w:r>
              <w:t>/</w:t>
            </w:r>
            <w:r>
              <w:rPr>
                <w:rFonts w:hint="eastAsia"/>
              </w:rPr>
              <w:t>1</w:t>
            </w:r>
            <w:r>
              <w:t>0/</w:t>
            </w:r>
            <w:r>
              <w:rPr>
                <w:rFonts w:hint="eastAsia"/>
                <w:lang w:val="en-US" w:eastAsia="zh-CN"/>
              </w:rPr>
              <w:t>18</w:t>
            </w:r>
            <w:bookmarkStart w:id="83" w:name="_GoBack"/>
            <w:bookmarkEnd w:id="83"/>
          </w:p>
        </w:tc>
        <w:tc>
          <w:tcPr>
            <w:tcW w:w="1152" w:type="dxa"/>
            <w:vAlign w:val="center"/>
          </w:tcPr>
          <w:p>
            <w:pPr>
              <w:pStyle w:val="37"/>
              <w:jc w:val="center"/>
              <w:rPr>
                <w:rFonts w:hint="default" w:eastAsia="宋体"/>
                <w:lang w:val="en-US" w:eastAsia="zh-CN"/>
              </w:rPr>
            </w:pPr>
            <w:r>
              <w:rPr>
                <w:rFonts w:hint="eastAsia"/>
                <w:lang w:val="en-US" w:eastAsia="zh-CN"/>
              </w:rPr>
              <w:t>1.0</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_Toc25423 </w:instrText>
          </w:r>
          <w:r>
            <w:fldChar w:fldCharType="separate"/>
          </w:r>
          <w:r>
            <w:rPr>
              <w:rFonts w:hint="eastAsia"/>
              <w:lang w:val="en-US" w:eastAsia="zh-CN"/>
            </w:rPr>
            <w:t>软件开发计划</w:t>
          </w:r>
          <w:r>
            <w:tab/>
          </w:r>
          <w:r>
            <w:fldChar w:fldCharType="begin"/>
          </w:r>
          <w:r>
            <w:instrText xml:space="preserve"> PAGEREF _Toc25423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_Toc29189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_Toc29189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_Toc22914 </w:instrText>
          </w:r>
          <w:r>
            <w:fldChar w:fldCharType="separate"/>
          </w:r>
          <w:r>
            <w:rPr>
              <w:rFonts w:hint="default"/>
            </w:rPr>
            <w:t xml:space="preserve">1.1 </w:t>
          </w:r>
          <w:r>
            <w:rPr>
              <w:rFonts w:hint="eastAsia"/>
            </w:rPr>
            <w:t>目的</w:t>
          </w:r>
          <w:r>
            <w:tab/>
          </w:r>
          <w:r>
            <w:fldChar w:fldCharType="begin"/>
          </w:r>
          <w:r>
            <w:instrText xml:space="preserve"> PAGEREF _Toc22914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_Toc16606 </w:instrText>
          </w:r>
          <w:r>
            <w:fldChar w:fldCharType="separate"/>
          </w:r>
          <w:r>
            <w:rPr>
              <w:rFonts w:hint="default"/>
            </w:rPr>
            <w:t xml:space="preserve">1.2 </w:t>
          </w:r>
          <w:r>
            <w:rPr>
              <w:rFonts w:hint="eastAsia"/>
            </w:rPr>
            <w:t>范围</w:t>
          </w:r>
          <w:r>
            <w:tab/>
          </w:r>
          <w:r>
            <w:fldChar w:fldCharType="begin"/>
          </w:r>
          <w:r>
            <w:instrText xml:space="preserve"> PAGEREF _Toc16606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_Toc26428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_Toc26428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_Toc31997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_Toc31997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_Toc1690 </w:instrText>
          </w:r>
          <w:r>
            <w:fldChar w:fldCharType="separate"/>
          </w:r>
          <w:r>
            <w:rPr>
              <w:rFonts w:hint="default"/>
            </w:rPr>
            <w:t xml:space="preserve">1.5 </w:t>
          </w:r>
          <w:r>
            <w:rPr>
              <w:rFonts w:hint="eastAsia"/>
            </w:rPr>
            <w:t>概述</w:t>
          </w:r>
          <w:r>
            <w:tab/>
          </w:r>
          <w:r>
            <w:fldChar w:fldCharType="begin"/>
          </w:r>
          <w:r>
            <w:instrText xml:space="preserve"> PAGEREF _Toc1690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_Toc6354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_Toc6354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_Toc26092 </w:instrText>
          </w:r>
          <w:r>
            <w:fldChar w:fldCharType="separate"/>
          </w:r>
          <w:r>
            <w:rPr>
              <w:rFonts w:hint="default"/>
            </w:rPr>
            <w:t xml:space="preserve">2.1 </w:t>
          </w:r>
          <w:r>
            <w:rPr>
              <w:rFonts w:hint="eastAsia"/>
            </w:rPr>
            <w:t>项目的目的、规模和目标</w:t>
          </w:r>
          <w:r>
            <w:tab/>
          </w:r>
          <w:r>
            <w:fldChar w:fldCharType="begin"/>
          </w:r>
          <w:r>
            <w:instrText xml:space="preserve"> PAGEREF _Toc26092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_Toc139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_Toc139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_Toc17244 </w:instrText>
          </w:r>
          <w:r>
            <w:fldChar w:fldCharType="separate"/>
          </w:r>
          <w:r>
            <w:rPr>
              <w:rFonts w:hint="default"/>
            </w:rPr>
            <w:t xml:space="preserve">2.3 </w:t>
          </w:r>
          <w:r>
            <w:rPr>
              <w:rFonts w:hint="eastAsia"/>
            </w:rPr>
            <w:t>项目的可交付工件</w:t>
          </w:r>
          <w:r>
            <w:tab/>
          </w:r>
          <w:r>
            <w:fldChar w:fldCharType="begin"/>
          </w:r>
          <w:r>
            <w:instrText xml:space="preserve"> PAGEREF _Toc17244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_Toc14736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_Toc14736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_Toc30448 </w:instrText>
          </w:r>
          <w:r>
            <w:fldChar w:fldCharType="separate"/>
          </w:r>
          <w:r>
            <w:rPr>
              <w:rFonts w:hint="default"/>
            </w:rPr>
            <w:t xml:space="preserve">3.1 </w:t>
          </w:r>
          <w:r>
            <w:rPr>
              <w:rFonts w:hint="eastAsia"/>
            </w:rPr>
            <w:t>组织结构</w:t>
          </w:r>
          <w:r>
            <w:tab/>
          </w:r>
          <w:r>
            <w:fldChar w:fldCharType="begin"/>
          </w:r>
          <w:r>
            <w:instrText xml:space="preserve"> PAGEREF _Toc30448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_Toc2824 </w:instrText>
          </w:r>
          <w:r>
            <w:fldChar w:fldCharType="separate"/>
          </w:r>
          <w:r>
            <w:rPr>
              <w:rFonts w:hint="default"/>
            </w:rPr>
            <w:t xml:space="preserve">3.2 </w:t>
          </w:r>
          <w:r>
            <w:rPr>
              <w:rFonts w:hint="eastAsia"/>
            </w:rPr>
            <w:t>对外联系</w:t>
          </w:r>
          <w:r>
            <w:tab/>
          </w:r>
          <w:r>
            <w:fldChar w:fldCharType="begin"/>
          </w:r>
          <w:r>
            <w:instrText xml:space="preserve"> PAGEREF _Toc2824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_Toc9608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_Toc9608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_Toc24417 </w:instrText>
          </w:r>
          <w:r>
            <w:fldChar w:fldCharType="separate"/>
          </w:r>
          <w:r>
            <w:rPr>
              <w:rFonts w:hint="default"/>
            </w:rPr>
            <w:t xml:space="preserve">4.1 </w:t>
          </w:r>
          <w:r>
            <w:rPr>
              <w:rFonts w:hint="eastAsia"/>
            </w:rPr>
            <w:t>项目估计</w:t>
          </w:r>
          <w:r>
            <w:tab/>
          </w:r>
          <w:r>
            <w:fldChar w:fldCharType="begin"/>
          </w:r>
          <w:r>
            <w:instrText xml:space="preserve"> PAGEREF _Toc24417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_Toc11452 </w:instrText>
          </w:r>
          <w:r>
            <w:fldChar w:fldCharType="separate"/>
          </w:r>
          <w:r>
            <w:rPr>
              <w:rFonts w:hint="default"/>
            </w:rPr>
            <w:t xml:space="preserve">4.2 </w:t>
          </w:r>
          <w:r>
            <w:rPr>
              <w:rFonts w:hint="eastAsia"/>
            </w:rPr>
            <w:t>项目计划</w:t>
          </w:r>
          <w:r>
            <w:tab/>
          </w:r>
          <w:r>
            <w:fldChar w:fldCharType="begin"/>
          </w:r>
          <w:r>
            <w:instrText xml:space="preserve"> PAGEREF _Toc11452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_Toc20266 </w:instrText>
          </w:r>
          <w:r>
            <w:fldChar w:fldCharType="separate"/>
          </w:r>
          <w:r>
            <w:rPr>
              <w:rFonts w:hint="default"/>
            </w:rPr>
            <w:t xml:space="preserve">4.2.1 </w:t>
          </w:r>
          <w:r>
            <w:rPr>
              <w:rFonts w:hint="eastAsia"/>
            </w:rPr>
            <w:t>阶段计划</w:t>
          </w:r>
          <w:r>
            <w:tab/>
          </w:r>
          <w:r>
            <w:fldChar w:fldCharType="begin"/>
          </w:r>
          <w:r>
            <w:instrText xml:space="preserve"> PAGEREF _Toc20266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_Toc5837 </w:instrText>
          </w:r>
          <w:r>
            <w:fldChar w:fldCharType="separate"/>
          </w:r>
          <w:r>
            <w:rPr>
              <w:rFonts w:hint="default"/>
            </w:rPr>
            <w:t xml:space="preserve">4.2.2 </w:t>
          </w:r>
          <w:r>
            <w:rPr>
              <w:rFonts w:hint="eastAsia"/>
            </w:rPr>
            <w:t>迭代目标</w:t>
          </w:r>
          <w:r>
            <w:tab/>
          </w:r>
          <w:r>
            <w:fldChar w:fldCharType="begin"/>
          </w:r>
          <w:r>
            <w:instrText xml:space="preserve"> PAGEREF _Toc5837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_Toc1996 </w:instrText>
          </w:r>
          <w:r>
            <w:fldChar w:fldCharType="separate"/>
          </w:r>
          <w:r>
            <w:rPr>
              <w:rFonts w:hint="default"/>
            </w:rPr>
            <w:t xml:space="preserve">4.2.3 </w:t>
          </w:r>
          <w:r>
            <w:rPr>
              <w:rFonts w:hint="eastAsia"/>
            </w:rPr>
            <w:t>发布版</w:t>
          </w:r>
          <w:r>
            <w:tab/>
          </w:r>
          <w:r>
            <w:fldChar w:fldCharType="begin"/>
          </w:r>
          <w:r>
            <w:instrText xml:space="preserve"> PAGEREF _Toc1996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_Toc7945 </w:instrText>
          </w:r>
          <w:r>
            <w:fldChar w:fldCharType="separate"/>
          </w:r>
          <w:r>
            <w:rPr>
              <w:rFonts w:hint="default"/>
            </w:rPr>
            <w:t xml:space="preserve">4.2.4 </w:t>
          </w:r>
          <w:r>
            <w:rPr>
              <w:rFonts w:hint="eastAsia"/>
            </w:rPr>
            <w:t>项目时间表</w:t>
          </w:r>
          <w:r>
            <w:tab/>
          </w:r>
          <w:r>
            <w:fldChar w:fldCharType="begin"/>
          </w:r>
          <w:r>
            <w:instrText xml:space="preserve"> PAGEREF _Toc7945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_Toc5336 </w:instrText>
          </w:r>
          <w:r>
            <w:fldChar w:fldCharType="separate"/>
          </w:r>
          <w:r>
            <w:rPr>
              <w:rFonts w:hint="default"/>
            </w:rPr>
            <w:t xml:space="preserve">4.2.5 </w:t>
          </w:r>
          <w:r>
            <w:rPr>
              <w:rFonts w:hint="eastAsia"/>
            </w:rPr>
            <w:t>项目资源分配</w:t>
          </w:r>
          <w:r>
            <w:tab/>
          </w:r>
          <w:r>
            <w:fldChar w:fldCharType="begin"/>
          </w:r>
          <w:r>
            <w:instrText xml:space="preserve"> PAGEREF _Toc5336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_Toc21064 </w:instrText>
          </w:r>
          <w:r>
            <w:fldChar w:fldCharType="separate"/>
          </w:r>
          <w:r>
            <w:rPr>
              <w:rFonts w:hint="default"/>
            </w:rPr>
            <w:t xml:space="preserve">4.3 </w:t>
          </w:r>
          <w:r>
            <w:rPr>
              <w:rFonts w:hint="eastAsia"/>
            </w:rPr>
            <w:t>项目监测与控制</w:t>
          </w:r>
          <w:r>
            <w:tab/>
          </w:r>
          <w:r>
            <w:fldChar w:fldCharType="begin"/>
          </w:r>
          <w:r>
            <w:instrText xml:space="preserve"> PAGEREF _Toc21064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_Toc2316 </w:instrText>
          </w:r>
          <w:r>
            <w:fldChar w:fldCharType="separate"/>
          </w:r>
          <w:r>
            <w:rPr>
              <w:rFonts w:hint="default"/>
            </w:rPr>
            <w:t xml:space="preserve">4.3.1 </w:t>
          </w:r>
          <w:r>
            <w:rPr>
              <w:rFonts w:hint="eastAsia"/>
            </w:rPr>
            <w:t>进度控制计划</w:t>
          </w:r>
          <w:r>
            <w:tab/>
          </w:r>
          <w:r>
            <w:fldChar w:fldCharType="begin"/>
          </w:r>
          <w:r>
            <w:instrText xml:space="preserve"> PAGEREF _Toc2316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_Toc29815 </w:instrText>
          </w:r>
          <w:r>
            <w:fldChar w:fldCharType="separate"/>
          </w:r>
          <w:r>
            <w:rPr>
              <w:rFonts w:hint="default"/>
            </w:rPr>
            <w:t xml:space="preserve">4.3.2 </w:t>
          </w:r>
          <w:r>
            <w:rPr>
              <w:rFonts w:hint="eastAsia"/>
            </w:rPr>
            <w:t>预算控制计划</w:t>
          </w:r>
          <w:r>
            <w:tab/>
          </w:r>
          <w:r>
            <w:fldChar w:fldCharType="begin"/>
          </w:r>
          <w:r>
            <w:instrText xml:space="preserve"> PAGEREF _Toc29815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_Toc11325 </w:instrText>
          </w:r>
          <w:r>
            <w:fldChar w:fldCharType="separate"/>
          </w:r>
          <w:r>
            <w:rPr>
              <w:rFonts w:hint="default"/>
            </w:rPr>
            <w:t xml:space="preserve">4.3.3 </w:t>
          </w:r>
          <w:r>
            <w:rPr>
              <w:rFonts w:hint="eastAsia"/>
            </w:rPr>
            <w:t>质量控制计划</w:t>
          </w:r>
          <w:r>
            <w:tab/>
          </w:r>
          <w:r>
            <w:fldChar w:fldCharType="begin"/>
          </w:r>
          <w:r>
            <w:instrText xml:space="preserve"> PAGEREF _Toc11325 \h </w:instrText>
          </w:r>
          <w:r>
            <w:fldChar w:fldCharType="separate"/>
          </w:r>
          <w:r>
            <w:t>11</w:t>
          </w:r>
          <w:r>
            <w:fldChar w:fldCharType="end"/>
          </w:r>
          <w:r>
            <w:fldChar w:fldCharType="end"/>
          </w:r>
        </w:p>
        <w:p>
          <w:pPr>
            <w:pStyle w:val="18"/>
            <w:tabs>
              <w:tab w:val="right" w:leader="dot" w:pos="9360"/>
              <w:tab w:val="clear" w:pos="1440"/>
            </w:tabs>
          </w:pPr>
          <w:r>
            <w:fldChar w:fldCharType="begin"/>
          </w:r>
          <w:r>
            <w:instrText xml:space="preserve"> HYPERLINK \l _Toc23368 </w:instrText>
          </w:r>
          <w:r>
            <w:fldChar w:fldCharType="separate"/>
          </w:r>
          <w:r>
            <w:rPr>
              <w:rFonts w:hint="default"/>
            </w:rPr>
            <w:t xml:space="preserve">4.3.4 </w:t>
          </w:r>
          <w:r>
            <w:rPr>
              <w:rFonts w:hint="eastAsia"/>
            </w:rPr>
            <w:t>报告计划</w:t>
          </w:r>
          <w:r>
            <w:tab/>
          </w:r>
          <w:r>
            <w:fldChar w:fldCharType="begin"/>
          </w:r>
          <w:r>
            <w:instrText xml:space="preserve"> PAGEREF _Toc23368 \h </w:instrText>
          </w:r>
          <w:r>
            <w:fldChar w:fldCharType="separate"/>
          </w:r>
          <w:r>
            <w:t>11</w:t>
          </w:r>
          <w:r>
            <w:fldChar w:fldCharType="end"/>
          </w:r>
          <w:r>
            <w:fldChar w:fldCharType="end"/>
          </w:r>
        </w:p>
        <w:p>
          <w:pPr>
            <w:pStyle w:val="18"/>
            <w:tabs>
              <w:tab w:val="right" w:leader="dot" w:pos="9360"/>
              <w:tab w:val="clear" w:pos="1440"/>
            </w:tabs>
          </w:pPr>
          <w:r>
            <w:fldChar w:fldCharType="begin"/>
          </w:r>
          <w:r>
            <w:instrText xml:space="preserve"> HYPERLINK \l _Toc15810 </w:instrText>
          </w:r>
          <w:r>
            <w:fldChar w:fldCharType="separate"/>
          </w:r>
          <w:r>
            <w:rPr>
              <w:rFonts w:hint="default"/>
            </w:rPr>
            <w:t xml:space="preserve">4.3.5 </w:t>
          </w:r>
          <w:r>
            <w:rPr>
              <w:rFonts w:hint="eastAsia"/>
            </w:rPr>
            <w:t>度量计划</w:t>
          </w:r>
          <w:r>
            <w:tab/>
          </w:r>
          <w:r>
            <w:fldChar w:fldCharType="begin"/>
          </w:r>
          <w:r>
            <w:instrText xml:space="preserve"> PAGEREF _Toc15810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_Toc12151 </w:instrText>
          </w:r>
          <w:r>
            <w:fldChar w:fldCharType="separate"/>
          </w:r>
          <w:r>
            <w:rPr>
              <w:rFonts w:hint="default"/>
            </w:rPr>
            <w:t xml:space="preserve">4.4 </w:t>
          </w:r>
          <w:r>
            <w:rPr>
              <w:rFonts w:hint="eastAsia"/>
            </w:rPr>
            <w:t>收尾计划</w:t>
          </w:r>
          <w:r>
            <w:tab/>
          </w:r>
          <w:r>
            <w:fldChar w:fldCharType="begin"/>
          </w:r>
          <w:r>
            <w:instrText xml:space="preserve"> PAGEREF _Toc12151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_Toc5916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_Toc5916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_Toc20820 </w:instrText>
          </w:r>
          <w:r>
            <w:fldChar w:fldCharType="separate"/>
          </w:r>
          <w:r>
            <w:rPr>
              <w:rFonts w:hint="default"/>
            </w:rPr>
            <w:t xml:space="preserve">5.1 </w:t>
          </w:r>
          <w:r>
            <w:rPr>
              <w:rFonts w:hint="eastAsia"/>
            </w:rPr>
            <w:t>方法、工具和技巧</w:t>
          </w:r>
          <w:r>
            <w:tab/>
          </w:r>
          <w:r>
            <w:fldChar w:fldCharType="begin"/>
          </w:r>
          <w:r>
            <w:instrText xml:space="preserve"> PAGEREF _Toc20820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_Toc6376 </w:instrText>
          </w:r>
          <w:r>
            <w:fldChar w:fldCharType="separate"/>
          </w:r>
          <w:r>
            <w:rPr>
              <w:rFonts w:hint="default"/>
            </w:rPr>
            <w:t xml:space="preserve">5.2 </w:t>
          </w:r>
          <w:r>
            <w:rPr>
              <w:rFonts w:hint="eastAsia"/>
            </w:rPr>
            <w:t>基础设施计划</w:t>
          </w:r>
          <w:r>
            <w:tab/>
          </w:r>
          <w:r>
            <w:fldChar w:fldCharType="begin"/>
          </w:r>
          <w:r>
            <w:instrText xml:space="preserve"> PAGEREF _Toc6376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_Toc17000 </w:instrText>
          </w:r>
          <w:r>
            <w:fldChar w:fldCharType="separate"/>
          </w:r>
          <w:r>
            <w:rPr>
              <w:rFonts w:hint="default"/>
            </w:rPr>
            <w:t xml:space="preserve">5.3 </w:t>
          </w:r>
          <w:r>
            <w:rPr>
              <w:rFonts w:hint="eastAsia"/>
            </w:rPr>
            <w:t>产品验收计划</w:t>
          </w:r>
          <w:r>
            <w:tab/>
          </w:r>
          <w:r>
            <w:fldChar w:fldCharType="begin"/>
          </w:r>
          <w:r>
            <w:instrText xml:space="preserve"> PAGEREF _Toc17000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_Toc23651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_Toc23651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_Toc17775 </w:instrText>
          </w:r>
          <w:r>
            <w:fldChar w:fldCharType="separate"/>
          </w:r>
          <w:r>
            <w:rPr>
              <w:rFonts w:hint="default"/>
            </w:rPr>
            <w:t xml:space="preserve">6.1 </w:t>
          </w:r>
          <w:r>
            <w:rPr>
              <w:rFonts w:hint="eastAsia"/>
            </w:rPr>
            <w:t>评估计划</w:t>
          </w:r>
          <w:r>
            <w:tab/>
          </w:r>
          <w:r>
            <w:fldChar w:fldCharType="begin"/>
          </w:r>
          <w:r>
            <w:instrText xml:space="preserve"> PAGEREF _Toc17775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_Toc13830 </w:instrText>
          </w:r>
          <w:r>
            <w:fldChar w:fldCharType="separate"/>
          </w:r>
          <w:r>
            <w:rPr>
              <w:rFonts w:hint="default"/>
            </w:rPr>
            <w:t xml:space="preserve">6.2 </w:t>
          </w:r>
          <w:r>
            <w:rPr>
              <w:rFonts w:hint="eastAsia"/>
            </w:rPr>
            <w:t>文档计划</w:t>
          </w:r>
          <w:r>
            <w:tab/>
          </w:r>
          <w:r>
            <w:fldChar w:fldCharType="begin"/>
          </w:r>
          <w:r>
            <w:instrText xml:space="preserve"> PAGEREF _Toc13830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_Toc12032 </w:instrText>
          </w:r>
          <w:r>
            <w:fldChar w:fldCharType="separate"/>
          </w:r>
          <w:r>
            <w:rPr>
              <w:rFonts w:hint="default"/>
            </w:rPr>
            <w:t xml:space="preserve">6.3 </w:t>
          </w:r>
          <w:r>
            <w:rPr>
              <w:rFonts w:hint="eastAsia"/>
            </w:rPr>
            <w:t>质量保证计划</w:t>
          </w:r>
          <w:r>
            <w:tab/>
          </w:r>
          <w:r>
            <w:fldChar w:fldCharType="begin"/>
          </w:r>
          <w:r>
            <w:instrText xml:space="preserve"> PAGEREF _Toc12032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_Toc14850 </w:instrText>
          </w:r>
          <w:r>
            <w:fldChar w:fldCharType="separate"/>
          </w:r>
          <w:r>
            <w:rPr>
              <w:rFonts w:hint="default"/>
            </w:rPr>
            <w:t xml:space="preserve">6.4 </w:t>
          </w:r>
          <w:r>
            <w:rPr>
              <w:rFonts w:hint="eastAsia"/>
            </w:rPr>
            <w:t>问题解决计划</w:t>
          </w:r>
          <w:r>
            <w:tab/>
          </w:r>
          <w:r>
            <w:fldChar w:fldCharType="begin"/>
          </w:r>
          <w:r>
            <w:instrText xml:space="preserve"> PAGEREF _Toc14850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25423"/>
      <w:r>
        <w:rPr>
          <w:rFonts w:hint="eastAsia"/>
          <w:lang w:val="en-US" w:eastAsia="zh-CN"/>
        </w:rPr>
        <w:t>软件开发计划</w:t>
      </w:r>
      <w:bookmarkEnd w:id="0"/>
    </w:p>
    <w:p>
      <w:pPr>
        <w:pStyle w:val="2"/>
      </w:pPr>
      <w:bookmarkStart w:id="1" w:name="_Toc29189"/>
      <w:bookmarkStart w:id="2" w:name="_Toc122690350"/>
      <w:r>
        <w:rPr>
          <w:rFonts w:hint="eastAsia"/>
        </w:rPr>
        <w:t>简介</w:t>
      </w:r>
      <w:bookmarkEnd w:id="1"/>
      <w:bookmarkEnd w:id="2"/>
    </w:p>
    <w:p>
      <w:pPr>
        <w:pStyle w:val="3"/>
      </w:pPr>
      <w:bookmarkStart w:id="3" w:name="_Toc22914"/>
      <w:bookmarkStart w:id="4" w:name="_Toc472411330"/>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16606"/>
      <w:bookmarkStart w:id="6" w:name="_Toc570180351"/>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949126343"/>
      <w:bookmarkStart w:id="8" w:name="_Toc26428"/>
      <w:r>
        <w:rPr>
          <w:rFonts w:hint="eastAsia"/>
        </w:rPr>
        <w:t>定义、首字母缩写词和缩略语</w:t>
      </w:r>
      <w:bookmarkEnd w:id="7"/>
      <w:bookmarkEnd w:id="8"/>
    </w:p>
    <w:tbl>
      <w:tblPr>
        <w:tblStyle w:val="31"/>
        <w:tblW w:w="9577"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1234"/>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143" w:type="dxa"/>
            <w:shd w:val="clear" w:color="auto" w:fill="BEBEBE" w:themeFill="background1" w:themeFillShade="BF"/>
          </w:tcPr>
          <w:p>
            <w:pPr>
              <w:jc w:val="center"/>
              <w:rPr>
                <w:lang w:val="en"/>
              </w:rPr>
            </w:pPr>
            <w:r>
              <w:rPr>
                <w:lang w:val="en"/>
              </w:rPr>
              <w:t>定义</w:t>
            </w:r>
          </w:p>
        </w:tc>
        <w:tc>
          <w:tcPr>
            <w:tcW w:w="1234" w:type="dxa"/>
            <w:shd w:val="clear" w:color="auto" w:fill="BEBEBE" w:themeFill="background1" w:themeFillShade="BF"/>
          </w:tcPr>
          <w:p>
            <w:pPr>
              <w:jc w:val="center"/>
              <w:rPr>
                <w:lang w:val="en"/>
              </w:rPr>
            </w:pPr>
            <w:r>
              <w:rPr>
                <w:lang w:val="en"/>
              </w:rPr>
              <w:t>缩略语</w:t>
            </w:r>
          </w:p>
        </w:tc>
        <w:tc>
          <w:tcPr>
            <w:tcW w:w="620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rFonts w:hint="default" w:eastAsia="宋体"/>
                <w:sz w:val="21"/>
                <w:szCs w:val="21"/>
                <w:lang w:val="en-US" w:eastAsia="zh-CN"/>
              </w:rPr>
            </w:pPr>
            <w:r>
              <w:rPr>
                <w:rFonts w:hint="eastAsia"/>
                <w:sz w:val="21"/>
                <w:szCs w:val="21"/>
                <w:lang w:val="en-US" w:eastAsia="zh-CN"/>
              </w:rPr>
              <w:t>边缘计算软件系统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ECSS</w:t>
            </w:r>
          </w:p>
        </w:tc>
        <w:tc>
          <w:tcPr>
            <w:tcW w:w="6200" w:type="dxa"/>
          </w:tcPr>
          <w:p>
            <w:pPr>
              <w:rPr>
                <w:rFonts w:hint="default" w:eastAsia="宋体"/>
                <w:sz w:val="21"/>
                <w:szCs w:val="21"/>
                <w:lang w:val="en-US" w:eastAsia="zh-CN"/>
              </w:rPr>
            </w:pPr>
            <w:r>
              <w:rPr>
                <w:rFonts w:hint="eastAsia"/>
                <w:sz w:val="21"/>
                <w:szCs w:val="21"/>
                <w:lang w:val="en-US" w:eastAsia="zh-CN"/>
              </w:rPr>
              <w:t>在靠近数据源（设备端）采用网络、计算、存储、应用核心能力为一体的开发平台，就近提供有限的低延时服务，并接入云平台进行管理和计算的软件系统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业务流程管理标记</w:t>
            </w:r>
          </w:p>
        </w:tc>
        <w:tc>
          <w:tcPr>
            <w:tcW w:w="1234" w:type="dxa"/>
            <w:vAlign w:val="center"/>
          </w:tcPr>
          <w:p>
            <w:pPr>
              <w:jc w:val="center"/>
              <w:rPr>
                <w:sz w:val="21"/>
                <w:szCs w:val="21"/>
                <w:lang w:val="en"/>
              </w:rPr>
            </w:pPr>
            <w:r>
              <w:rPr>
                <w:rFonts w:hint="eastAsia"/>
                <w:sz w:val="21"/>
                <w:szCs w:val="21"/>
                <w:lang w:val="en"/>
              </w:rPr>
              <w:t>BPMN</w:t>
            </w:r>
          </w:p>
        </w:tc>
        <w:tc>
          <w:tcPr>
            <w:tcW w:w="6200" w:type="dxa"/>
          </w:tcPr>
          <w:p>
            <w:pPr>
              <w:rPr>
                <w:sz w:val="21"/>
                <w:szCs w:val="21"/>
                <w:lang w:val="en"/>
              </w:rPr>
            </w:pPr>
            <w:r>
              <w:rPr>
                <w:rFonts w:hint="eastAsia"/>
                <w:sz w:val="21"/>
                <w:szCs w:val="21"/>
                <w:lang w:val="en"/>
              </w:rPr>
              <w:t>一套图形化的流程建模标准，用于以业务流程模型详细说明各种业务流程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协议集成系统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PIS</w:t>
            </w:r>
          </w:p>
        </w:tc>
        <w:tc>
          <w:tcPr>
            <w:tcW w:w="6200" w:type="dxa"/>
          </w:tcPr>
          <w:p>
            <w:pPr>
              <w:rPr>
                <w:sz w:val="21"/>
                <w:szCs w:val="21"/>
                <w:lang w:val="en"/>
              </w:rPr>
            </w:pPr>
            <w:r>
              <w:rPr>
                <w:rFonts w:hint="eastAsia"/>
                <w:sz w:val="21"/>
                <w:szCs w:val="21"/>
                <w:lang w:val="en"/>
              </w:rPr>
              <w:t>将各类协议或规则集成到相互关联的、统一和协调的系统之中，使资源达到充分共享，实现集中、高效、便利的管理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43" w:type="dxa"/>
            <w:vAlign w:val="center"/>
          </w:tcPr>
          <w:p>
            <w:pPr>
              <w:jc w:val="center"/>
              <w:rPr>
                <w:sz w:val="21"/>
                <w:szCs w:val="21"/>
              </w:rPr>
            </w:pPr>
            <w:r>
              <w:rPr>
                <w:rFonts w:hint="eastAsia"/>
                <w:sz w:val="21"/>
                <w:szCs w:val="21"/>
              </w:rPr>
              <w:t>工业异构设备</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IHD</w:t>
            </w:r>
          </w:p>
        </w:tc>
        <w:tc>
          <w:tcPr>
            <w:tcW w:w="6200" w:type="dxa"/>
          </w:tcPr>
          <w:p>
            <w:pPr>
              <w:rPr>
                <w:sz w:val="21"/>
                <w:szCs w:val="21"/>
              </w:rPr>
            </w:pPr>
            <w:r>
              <w:rPr>
                <w:rFonts w:hint="eastAsia"/>
                <w:sz w:val="21"/>
                <w:szCs w:val="21"/>
              </w:rPr>
              <w:t>工业生产场景下应用不同通信协议、使用不同数据解析方法的高度异构化设备</w:t>
            </w:r>
          </w:p>
        </w:tc>
      </w:tr>
    </w:tbl>
    <w:p/>
    <w:p>
      <w:pPr>
        <w:pStyle w:val="3"/>
        <w:rPr>
          <w:rFonts w:hint="eastAsia"/>
          <w:szCs w:val="22"/>
        </w:rPr>
      </w:pPr>
      <w:bookmarkStart w:id="9" w:name="_Toc457916885"/>
      <w:bookmarkStart w:id="10" w:name="_Toc31997"/>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690"/>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443044387"/>
      <w:bookmarkStart w:id="14" w:name="_Toc6354"/>
      <w:r>
        <w:rPr>
          <w:rFonts w:hint="eastAsia"/>
        </w:rPr>
        <w:t>项目概述</w:t>
      </w:r>
      <w:bookmarkEnd w:id="13"/>
      <w:bookmarkEnd w:id="14"/>
    </w:p>
    <w:p>
      <w:pPr>
        <w:pStyle w:val="3"/>
      </w:pPr>
      <w:bookmarkStart w:id="15" w:name="_Toc921208160"/>
      <w:bookmarkStart w:id="16" w:name="_Toc26092"/>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1535933897"/>
      <w:bookmarkStart w:id="18" w:name="_Toc139"/>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17244"/>
      <w:bookmarkStart w:id="20" w:name="_Toc1687569939"/>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1171438844"/>
      <w:bookmarkStart w:id="22" w:name="_Toc14736"/>
      <w:r>
        <w:rPr>
          <w:rFonts w:hint="eastAsia"/>
        </w:rPr>
        <w:t>项目组织</w:t>
      </w:r>
      <w:bookmarkEnd w:id="21"/>
      <w:bookmarkEnd w:id="22"/>
    </w:p>
    <w:p>
      <w:pPr>
        <w:pStyle w:val="3"/>
      </w:pPr>
      <w:bookmarkStart w:id="23" w:name="_Toc242575412"/>
      <w:bookmarkStart w:id="24" w:name="_Toc30448"/>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2824"/>
      <w:bookmarkStart w:id="26" w:name="_Toc1040987478"/>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9608"/>
      <w:bookmarkStart w:id="28" w:name="_Toc327270637"/>
      <w:r>
        <w:rPr>
          <w:rFonts w:hint="eastAsia"/>
        </w:rPr>
        <w:t>管理流程</w:t>
      </w:r>
      <w:bookmarkEnd w:id="27"/>
      <w:bookmarkEnd w:id="28"/>
    </w:p>
    <w:p>
      <w:pPr>
        <w:pStyle w:val="3"/>
      </w:pPr>
      <w:bookmarkStart w:id="29" w:name="_Toc24417"/>
      <w:bookmarkStart w:id="30" w:name="_Toc731976092"/>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11452"/>
      <w:bookmarkStart w:id="32" w:name="_Toc1535848228"/>
      <w:r>
        <w:rPr>
          <w:rFonts w:hint="eastAsia"/>
        </w:rPr>
        <w:t>项目计划</w:t>
      </w:r>
      <w:bookmarkEnd w:id="31"/>
      <w:bookmarkEnd w:id="32"/>
    </w:p>
    <w:p>
      <w:pPr>
        <w:pStyle w:val="4"/>
        <w:tabs>
          <w:tab w:val="left" w:pos="0"/>
        </w:tabs>
      </w:pPr>
      <w:bookmarkStart w:id="33" w:name="_Toc20266"/>
      <w:bookmarkStart w:id="34" w:name="_Toc247731056"/>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5837"/>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1996"/>
      <w:bookmarkStart w:id="38" w:name="_Toc344909179"/>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830208200"/>
      <w:bookmarkStart w:id="40" w:name="_Toc193631239"/>
      <w:bookmarkStart w:id="41" w:name="_Toc7945"/>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p>
      <w:pPr>
        <w:pStyle w:val="4"/>
        <w:tabs>
          <w:tab w:val="left" w:pos="0"/>
        </w:tabs>
      </w:pPr>
      <w:bookmarkStart w:id="42" w:name="_Toc1107962841"/>
      <w:bookmarkStart w:id="43" w:name="_Toc193631240"/>
      <w:bookmarkStart w:id="44" w:name="_Toc5336"/>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700765550"/>
      <w:bookmarkStart w:id="46" w:name="_Toc21064"/>
      <w:r>
        <w:rPr>
          <w:rFonts w:hint="eastAsia"/>
        </w:rPr>
        <w:t>项目监测与控制</w:t>
      </w:r>
      <w:bookmarkEnd w:id="45"/>
      <w:bookmarkEnd w:id="46"/>
    </w:p>
    <w:p>
      <w:pPr>
        <w:pStyle w:val="4"/>
        <w:tabs>
          <w:tab w:val="left" w:pos="0"/>
        </w:tabs>
      </w:pPr>
      <w:bookmarkStart w:id="47" w:name="_Toc966278702"/>
      <w:bookmarkStart w:id="48" w:name="_Toc2316"/>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974805900"/>
      <w:bookmarkStart w:id="50" w:name="_Toc29815"/>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410018337"/>
      <w:bookmarkStart w:id="52" w:name="_Toc11325"/>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23368"/>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315936378"/>
      <w:bookmarkStart w:id="56" w:name="_Toc193631249"/>
      <w:bookmarkStart w:id="57" w:name="_Toc15810"/>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12151"/>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5916"/>
      <w:bookmarkStart w:id="61" w:name="_Toc764683038"/>
      <w:r>
        <w:rPr>
          <w:rFonts w:hint="eastAsia"/>
        </w:rPr>
        <w:t>技术流程计划</w:t>
      </w:r>
      <w:bookmarkEnd w:id="60"/>
      <w:bookmarkEnd w:id="61"/>
    </w:p>
    <w:p>
      <w:pPr>
        <w:pStyle w:val="3"/>
      </w:pPr>
      <w:bookmarkStart w:id="62" w:name="_Toc20820"/>
      <w:bookmarkStart w:id="63" w:name="_Toc1485676018"/>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6376"/>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655126043"/>
      <w:bookmarkStart w:id="67" w:name="_Toc17000"/>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554746532"/>
      <w:bookmarkStart w:id="69" w:name="_Toc527649837"/>
      <w:bookmarkStart w:id="70" w:name="_Toc23651"/>
      <w:r>
        <w:rPr>
          <w:rFonts w:hint="eastAsia"/>
        </w:rPr>
        <w:t>支持流程计划</w:t>
      </w:r>
      <w:bookmarkEnd w:id="68"/>
      <w:bookmarkEnd w:id="69"/>
      <w:bookmarkEnd w:id="70"/>
    </w:p>
    <w:p>
      <w:pPr>
        <w:pStyle w:val="3"/>
      </w:pPr>
      <w:bookmarkStart w:id="71" w:name="_Toc527649839"/>
      <w:bookmarkStart w:id="72" w:name="_Toc1398451697"/>
      <w:bookmarkStart w:id="73" w:name="_Toc17775"/>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1716638711"/>
      <w:bookmarkStart w:id="75" w:name="_Toc193631260"/>
      <w:bookmarkStart w:id="76" w:name="_Toc13830"/>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193631261"/>
      <w:bookmarkStart w:id="78" w:name="_Toc104018332"/>
      <w:bookmarkStart w:id="79" w:name="_Toc12032"/>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84417266"/>
      <w:bookmarkStart w:id="81" w:name="_Toc193631262"/>
      <w:bookmarkStart w:id="82" w:name="_Toc14850"/>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B034C6"/>
    <w:rsid w:val="05E57353"/>
    <w:rsid w:val="05EF1D17"/>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8322A"/>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287417"/>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9D64D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4B233A"/>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6018D6"/>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2604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037B"/>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8C6DC4"/>
    <w:rsid w:val="58AA22DF"/>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C5C50"/>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674C41"/>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E11709"/>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3F5EB4"/>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073C84"/>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253010"/>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0</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2021-10-18T15:26:54Z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