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6" name="图片 6" descr="部署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部署视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54212215"/>
      <w:bookmarkStart w:id="31" w:name="_Toc4499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numId w:val="0"/>
        </w:numPr>
        <w:ind w:leftChars="0"/>
        <w:rPr>
          <w:rFonts w:hint="eastAsia" w:eastAsia="宋体"/>
          <w:lang w:eastAsia="zh-CN"/>
        </w:rPr>
      </w:pPr>
      <w:bookmarkStart w:id="32" w:name="_Toc17287"/>
      <w:bookmarkStart w:id="33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7565" cy="4212590"/>
            <wp:effectExtent l="0" t="0" r="0" b="0"/>
            <wp:docPr id="14" name="图片 14" descr="数据视图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数据视图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从永久性数据储存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的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角度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，可以基本确定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系统数据的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关系型数据库的表结构设计如上图。</w:t>
      </w:r>
    </w:p>
    <w:p>
      <w:pPr>
        <w:pStyle w:val="2"/>
        <w:ind w:left="360" w:hanging="360"/>
      </w:pPr>
      <w:bookmarkStart w:id="34" w:name="_Toc14758"/>
      <w:r>
        <w:rPr>
          <w:rFonts w:hint="eastAsia"/>
        </w:rPr>
        <w:t>质量属</w:t>
      </w:r>
      <w:r>
        <w:t>性的设计</w:t>
      </w:r>
      <w:bookmarkEnd w:id="33"/>
      <w:bookmarkEnd w:id="34"/>
    </w:p>
    <w:p>
      <w:pPr>
        <w:pStyle w:val="3"/>
        <w:ind w:left="720" w:hanging="720"/>
      </w:pPr>
      <w:bookmarkStart w:id="35" w:name="_Toc86168493"/>
      <w:bookmarkStart w:id="36" w:name="_Toc9675"/>
      <w:r>
        <w:rPr>
          <w:rFonts w:hint="eastAsia"/>
        </w:rPr>
        <w:t>易用性</w:t>
      </w:r>
      <w:bookmarkEnd w:id="35"/>
      <w:bookmarkEnd w:id="36"/>
    </w:p>
    <w:p>
      <w:pPr>
        <w:pStyle w:val="4"/>
      </w:pPr>
      <w:bookmarkStart w:id="37" w:name="_Toc86168494"/>
      <w:bookmarkStart w:id="38" w:name="_Toc1974977500"/>
      <w:bookmarkStart w:id="39" w:name="_Toc24196"/>
      <w:r>
        <w:rPr>
          <w:rFonts w:hint="eastAsia"/>
        </w:rPr>
        <w:t>培训时间</w:t>
      </w:r>
      <w:bookmarkEnd w:id="37"/>
      <w:bookmarkEnd w:id="38"/>
      <w:bookmarkEnd w:id="39"/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云端管理人员：要求云端管理人员能够完成部分专业数据库技术操作、流程配置、协议配置和机器学习模型的配置，涉及部分较为复杂的功能模块，其培训时间需要约8小时。</w:t>
      </w:r>
    </w:p>
    <w:p>
      <w:pPr>
        <w:pStyle w:val="22"/>
        <w:bidi w:val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边缘端管理人员：主要负责使用设备端的接入管理和监控，其培训时间需要约3小时。</w:t>
      </w:r>
    </w:p>
    <w:p>
      <w:pPr>
        <w:pStyle w:val="4"/>
      </w:pPr>
      <w:bookmarkStart w:id="40" w:name="_Toc1939594468"/>
      <w:bookmarkStart w:id="41" w:name="_Toc86168495"/>
      <w:bookmarkStart w:id="42" w:name="_Toc17103"/>
      <w:r>
        <w:rPr>
          <w:rFonts w:hint="eastAsia"/>
        </w:rPr>
        <w:t>易用性需求</w:t>
      </w:r>
      <w:bookmarkEnd w:id="40"/>
      <w:bookmarkEnd w:id="41"/>
      <w:bookmarkEnd w:id="42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系统应确定统一的用户界面设计规范和友好的人机交互方式，提供明确、美观、友好的前端用户界面，界面风格一致，控件排列整齐美观，表单配有明显的提示信息。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除此之外，系统应为用户提供易操作的相关功能项，提供易用的协议配置和流程定义API，同时配以用户易于理解的操作文档。</w:t>
      </w:r>
    </w:p>
    <w:p>
      <w:pPr>
        <w:pStyle w:val="3"/>
      </w:pPr>
      <w:bookmarkStart w:id="43" w:name="_Toc86168497"/>
      <w:bookmarkStart w:id="44" w:name="_Toc498836235"/>
      <w:bookmarkStart w:id="45" w:name="_Toc6331"/>
      <w:r>
        <w:rPr>
          <w:rFonts w:hint="eastAsia"/>
        </w:rPr>
        <w:t>可靠性</w:t>
      </w:r>
      <w:bookmarkEnd w:id="43"/>
      <w:bookmarkEnd w:id="44"/>
      <w:bookmarkEnd w:id="45"/>
    </w:p>
    <w:p>
      <w:pPr>
        <w:pStyle w:val="4"/>
      </w:pPr>
      <w:bookmarkStart w:id="46" w:name="_Toc17405"/>
      <w:bookmarkStart w:id="47" w:name="_Toc462656530"/>
      <w:bookmarkStart w:id="48" w:name="_Toc86168498"/>
      <w:r>
        <w:rPr>
          <w:rFonts w:hint="eastAsia"/>
          <w:lang w:val="en-US" w:eastAsia="zh-CN"/>
        </w:rPr>
        <w:t>可用性</w:t>
      </w:r>
      <w:bookmarkEnd w:id="46"/>
    </w:p>
    <w:bookmarkEnd w:id="47"/>
    <w:bookmarkEnd w:id="48"/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为了保证软件系统的无故障执行水平、可恢复性及准确性，本项目要求一年内的平均正常运行时间达到95%。</w:t>
      </w:r>
    </w:p>
    <w:p>
      <w:pPr>
        <w:pStyle w:val="4"/>
      </w:pPr>
      <w:bookmarkStart w:id="49" w:name="_Toc86168499"/>
      <w:bookmarkStart w:id="50" w:name="_Toc1977497570"/>
      <w:bookmarkStart w:id="51" w:name="_Toc23257"/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bookmarkEnd w:id="49"/>
      <w:bookmarkEnd w:id="50"/>
      <w:bookmarkEnd w:id="51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系统的平均故障间隔时间应大于30×24小时。</w:t>
      </w:r>
    </w:p>
    <w:p>
      <w:pPr>
        <w:pStyle w:val="4"/>
      </w:pPr>
      <w:bookmarkStart w:id="52" w:name="_Toc1344738018"/>
      <w:bookmarkStart w:id="53" w:name="_Toc86168500"/>
      <w:bookmarkStart w:id="54" w:name="_Toc11595"/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bookmarkEnd w:id="52"/>
      <w:bookmarkEnd w:id="53"/>
      <w:bookmarkEnd w:id="54"/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数据在处理流程中的故障为严重故障，其修复时间不超过2小时；</w:t>
      </w:r>
    </w:p>
    <w:p>
      <w:pPr>
        <w:bidi w:val="0"/>
        <w:ind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由前端界面引发的用户交互故障为普通故障，其修复时间不超过1小时。</w:t>
      </w:r>
    </w:p>
    <w:p>
      <w:pPr>
        <w:pStyle w:val="4"/>
      </w:pPr>
      <w:bookmarkStart w:id="55" w:name="_Toc86168501"/>
      <w:bookmarkStart w:id="56" w:name="_Toc893967498"/>
      <w:bookmarkStart w:id="57" w:name="_Toc3606"/>
      <w:r>
        <w:rPr>
          <w:rFonts w:hint="eastAsia"/>
        </w:rPr>
        <w:t>最高错误或缺陷率</w:t>
      </w:r>
      <w:bookmarkEnd w:id="55"/>
      <w:bookmarkEnd w:id="56"/>
      <w:bookmarkEnd w:id="57"/>
    </w:p>
    <w:p>
      <w:pPr>
        <w:bidi w:val="0"/>
        <w:ind w:firstLine="420" w:firstLineChars="0"/>
      </w:pPr>
      <w:r>
        <w:rPr>
          <w:rFonts w:hint="eastAsia"/>
          <w:sz w:val="21"/>
          <w:szCs w:val="22"/>
        </w:rPr>
        <w:t>根据能力成熟度模型集成（Capability Maturity Model Integration，CMMI），要求千行代码出错率不超过11.95‰（CMMI 1级）。</w:t>
      </w:r>
    </w:p>
    <w:p>
      <w:pPr>
        <w:pStyle w:val="3"/>
      </w:pPr>
      <w:bookmarkStart w:id="58" w:name="_Toc498836237"/>
      <w:bookmarkStart w:id="59" w:name="_Toc86168502"/>
      <w:bookmarkStart w:id="60" w:name="_Toc19398"/>
      <w:r>
        <w:rPr>
          <w:rFonts w:hint="eastAsia"/>
        </w:rPr>
        <w:t>性能</w:t>
      </w:r>
      <w:bookmarkEnd w:id="58"/>
      <w:bookmarkEnd w:id="59"/>
      <w:bookmarkEnd w:id="60"/>
    </w:p>
    <w:p>
      <w:pPr>
        <w:pStyle w:val="4"/>
      </w:pPr>
      <w:bookmarkStart w:id="61" w:name="_Toc770517973"/>
      <w:bookmarkStart w:id="62" w:name="_Toc86168503"/>
      <w:bookmarkStart w:id="63" w:name="_Toc31023"/>
      <w:r>
        <w:rPr>
          <w:rFonts w:hint="eastAsia"/>
        </w:rPr>
        <w:t>响应时间</w:t>
      </w:r>
      <w:bookmarkEnd w:id="61"/>
      <w:bookmarkEnd w:id="62"/>
      <w:bookmarkEnd w:id="63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为保证系统满足生产需要，边到端的指令下发延迟应小于500毫秒，机器学习模型的应用从开始调用到结果返回的延迟应小于800毫秒。</w:t>
      </w:r>
    </w:p>
    <w:p>
      <w:pPr>
        <w:pStyle w:val="4"/>
      </w:pPr>
      <w:bookmarkStart w:id="64" w:name="_Toc769180801"/>
      <w:bookmarkStart w:id="65" w:name="_Toc86168504"/>
      <w:bookmarkStart w:id="66" w:name="_Toc26998"/>
      <w:r>
        <w:rPr>
          <w:rFonts w:hint="eastAsia"/>
        </w:rPr>
        <w:t>吞吐量</w:t>
      </w:r>
      <w:bookmarkEnd w:id="64"/>
      <w:bookmarkEnd w:id="65"/>
      <w:bookmarkEnd w:id="66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在开发环境和资源的约束下，边缘端最多可接入设备数量为50个，每秒可处理的数据量在1万条以内；云端的可用资源较为丰富，可注册的边缘端数量上限为100个。</w:t>
      </w:r>
    </w:p>
    <w:p>
      <w:pPr>
        <w:pStyle w:val="4"/>
      </w:pPr>
      <w:bookmarkStart w:id="67" w:name="_Toc86168505"/>
      <w:bookmarkStart w:id="68" w:name="_Toc27469"/>
      <w:r>
        <w:rPr>
          <w:rFonts w:hint="eastAsia"/>
        </w:rPr>
        <w:t>数据量</w:t>
      </w:r>
      <w:bookmarkEnd w:id="67"/>
      <w:bookmarkEnd w:id="68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云端存储的数据量可达TB级；边缘端的存储能力受限在500G以内。</w:t>
      </w:r>
    </w:p>
    <w:p/>
    <w:p>
      <w:pPr>
        <w:pStyle w:val="3"/>
      </w:pPr>
      <w:bookmarkStart w:id="69" w:name="_Toc498836239"/>
      <w:bookmarkStart w:id="70" w:name="_Toc86168506"/>
      <w:bookmarkStart w:id="71" w:name="_Toc31028"/>
      <w:r>
        <w:rPr>
          <w:rFonts w:hint="eastAsia"/>
        </w:rPr>
        <w:t>可支持性</w:t>
      </w:r>
      <w:bookmarkEnd w:id="69"/>
      <w:bookmarkEnd w:id="70"/>
      <w:bookmarkEnd w:id="71"/>
    </w:p>
    <w:p>
      <w:pPr>
        <w:pStyle w:val="4"/>
      </w:pPr>
      <w:bookmarkStart w:id="72" w:name="_Toc86168507"/>
      <w:bookmarkStart w:id="73" w:name="_Toc527698822"/>
      <w:bookmarkStart w:id="74" w:name="_Toc13034"/>
      <w:r>
        <w:rPr>
          <w:rFonts w:hint="eastAsia"/>
        </w:rPr>
        <w:t>兼容性</w:t>
      </w:r>
      <w:bookmarkEnd w:id="72"/>
      <w:bookmarkEnd w:id="73"/>
      <w:bookmarkEnd w:id="74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Web前端支持Chrome58、Edge14、Firefox54、safari10、opera58及以上版本的浏览器。前端支持的分辨率：1920*1080，1440*900，1366*768。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可支持的配置数据库包括但不限于MySQL等关系型数据库以及MongoDB等非关系型数据库。</w:t>
      </w:r>
    </w:p>
    <w:p>
      <w:pPr>
        <w:pStyle w:val="4"/>
        <w:ind w:left="720" w:hanging="720"/>
      </w:pPr>
      <w:bookmarkStart w:id="75" w:name="_Toc2074122891"/>
      <w:bookmarkStart w:id="76" w:name="_Toc86168508"/>
      <w:bookmarkStart w:id="77" w:name="_Toc1714959759"/>
      <w:bookmarkStart w:id="78" w:name="_Toc17009"/>
      <w:r>
        <w:rPr>
          <w:rFonts w:hint="eastAsia"/>
        </w:rPr>
        <w:t>可维护性</w:t>
      </w:r>
      <w:bookmarkEnd w:id="75"/>
      <w:bookmarkEnd w:id="76"/>
      <w:bookmarkEnd w:id="77"/>
      <w:bookmarkEnd w:id="78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以基于UML的面向对象方法作为软件开发方法，以实现整个系统的灵活可扩展与高可维护性。</w:t>
      </w:r>
    </w:p>
    <w:p>
      <w:pPr>
        <w:pStyle w:val="4"/>
        <w:ind w:left="720" w:hanging="720"/>
      </w:pPr>
      <w:bookmarkStart w:id="79" w:name="_Toc1828870933"/>
      <w:bookmarkStart w:id="80" w:name="_Toc1950643126"/>
      <w:bookmarkStart w:id="81" w:name="_Toc86168509"/>
      <w:bookmarkStart w:id="82" w:name="_Toc26898"/>
      <w:bookmarkStart w:id="87" w:name="_GoBack"/>
      <w:bookmarkEnd w:id="87"/>
      <w:r>
        <w:rPr>
          <w:rFonts w:hint="eastAsia"/>
        </w:rPr>
        <w:t>编码标准</w:t>
      </w:r>
      <w:bookmarkEnd w:id="79"/>
      <w:bookmarkEnd w:id="80"/>
      <w:bookmarkEnd w:id="81"/>
      <w:bookmarkEnd w:id="8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83" w:name="_Toc86168510"/>
      <w:bookmarkStart w:id="84" w:name="_Toc900331420"/>
      <w:bookmarkStart w:id="85" w:name="_Toc973663580"/>
      <w:bookmarkStart w:id="86" w:name="_Toc5121"/>
      <w:r>
        <w:rPr>
          <w:rFonts w:hint="eastAsia"/>
        </w:rPr>
        <w:t>命名约定</w:t>
      </w:r>
      <w:bookmarkEnd w:id="83"/>
      <w:bookmarkEnd w:id="84"/>
      <w:bookmarkEnd w:id="85"/>
      <w:bookmarkEnd w:id="86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10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5B1DBF"/>
    <w:rsid w:val="1E6745FF"/>
    <w:rsid w:val="1F401FFD"/>
    <w:rsid w:val="1FF97046"/>
    <w:rsid w:val="21DB3A64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4B4FB6"/>
    <w:rsid w:val="576607CD"/>
    <w:rsid w:val="577D6F84"/>
    <w:rsid w:val="5899056B"/>
    <w:rsid w:val="58B9370A"/>
    <w:rsid w:val="592006DD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A861C6"/>
    <w:rsid w:val="6C9B1466"/>
    <w:rsid w:val="6D954657"/>
    <w:rsid w:val="6EDD31F3"/>
    <w:rsid w:val="6F98442A"/>
    <w:rsid w:val="6FB51FA6"/>
    <w:rsid w:val="707E30B8"/>
    <w:rsid w:val="709A4613"/>
    <w:rsid w:val="73742781"/>
    <w:rsid w:val="744D43C7"/>
    <w:rsid w:val="748B609E"/>
    <w:rsid w:val="75E40656"/>
    <w:rsid w:val="75E45B69"/>
    <w:rsid w:val="75F0607A"/>
    <w:rsid w:val="775172A1"/>
    <w:rsid w:val="77C93555"/>
    <w:rsid w:val="7842331E"/>
    <w:rsid w:val="78850E07"/>
    <w:rsid w:val="78866966"/>
    <w:rsid w:val="7916541F"/>
    <w:rsid w:val="796C7926"/>
    <w:rsid w:val="79DB1327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2021-11-03T14:30:11Z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