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面向工业应用的柔性可扩展的边缘计算软件系统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9"/>
        <w:jc w:val="right"/>
      </w:pPr>
    </w:p>
    <w:p>
      <w:pPr>
        <w:pStyle w:val="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14"/>
      </w:pPr>
    </w:p>
    <w:p>
      <w:pPr>
        <w:pStyle w:val="14"/>
      </w:pPr>
    </w:p>
    <w:p>
      <w:pPr>
        <w:pStyle w:val="14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>
      <w:pPr>
        <w:pStyle w:val="14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>
      <w:pPr>
        <w:pStyle w:val="9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9"/>
      </w:pPr>
      <w:r>
        <w:rPr>
          <w:rFonts w:hint="eastAsia"/>
        </w:rPr>
        <w:t>修订历史记录</w:t>
      </w:r>
    </w:p>
    <w:tbl>
      <w:tblPr>
        <w:tblStyle w:val="10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5"/>
            </w:pPr>
            <w:r>
              <w:rPr>
                <w:rFonts w:hint="eastAsia" w:ascii="Times New Roman"/>
                <w:lang w:val="en-US" w:eastAsia="zh-CN"/>
              </w:rPr>
              <w:t>15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10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2021</w:t>
            </w:r>
          </w:p>
        </w:tc>
        <w:tc>
          <w:tcPr>
            <w:tcW w:w="1152" w:type="dxa"/>
          </w:tcPr>
          <w:p>
            <w:pPr>
              <w:pStyle w:val="15"/>
            </w:pPr>
            <w:r>
              <w:rPr>
                <w:rFonts w:hint="eastAsia" w:ascii="Times New Roman"/>
                <w:lang w:val="en-US" w:eastAsia="zh-CN"/>
              </w:rPr>
              <w:t>0.1</w:t>
            </w:r>
          </w:p>
        </w:tc>
        <w:tc>
          <w:tcPr>
            <w:tcW w:w="3744" w:type="dxa"/>
          </w:tcPr>
          <w:p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软件开发计划</w:t>
            </w:r>
            <w:r>
              <w:rPr>
                <w:rFonts w:hint="eastAsia"/>
                <w:lang w:val="en-US" w:eastAsia="zh-CN"/>
              </w:rPr>
              <w:t>初稿</w:t>
            </w:r>
          </w:p>
        </w:tc>
        <w:tc>
          <w:tcPr>
            <w:tcW w:w="2304" w:type="dxa"/>
          </w:tcPr>
          <w:p>
            <w:pPr>
              <w:pStyle w:val="15"/>
            </w:pPr>
            <w:r>
              <w:rPr>
                <w:rFonts w:hint="eastAsia" w:ascii="Times New Roman"/>
                <w:lang w:val="en-US" w:eastAsia="zh-CN"/>
              </w:rPr>
              <w:t>董彦君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5"/>
            </w:pPr>
          </w:p>
        </w:tc>
        <w:tc>
          <w:tcPr>
            <w:tcW w:w="1152" w:type="dxa"/>
          </w:tcPr>
          <w:p>
            <w:pPr>
              <w:pStyle w:val="15"/>
            </w:pPr>
          </w:p>
        </w:tc>
        <w:tc>
          <w:tcPr>
            <w:tcW w:w="3744" w:type="dxa"/>
          </w:tcPr>
          <w:p>
            <w:pPr>
              <w:pStyle w:val="15"/>
            </w:pPr>
          </w:p>
        </w:tc>
        <w:tc>
          <w:tcPr>
            <w:tcW w:w="2304" w:type="dxa"/>
          </w:tcPr>
          <w:p>
            <w:pPr>
              <w:pStyle w:val="15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5"/>
            </w:pPr>
          </w:p>
        </w:tc>
        <w:tc>
          <w:tcPr>
            <w:tcW w:w="1152" w:type="dxa"/>
          </w:tcPr>
          <w:p>
            <w:pPr>
              <w:pStyle w:val="15"/>
            </w:pPr>
          </w:p>
        </w:tc>
        <w:tc>
          <w:tcPr>
            <w:tcW w:w="3744" w:type="dxa"/>
          </w:tcPr>
          <w:p>
            <w:pPr>
              <w:pStyle w:val="15"/>
            </w:pPr>
          </w:p>
        </w:tc>
        <w:tc>
          <w:tcPr>
            <w:tcW w:w="2304" w:type="dxa"/>
          </w:tcPr>
          <w:p>
            <w:pPr>
              <w:pStyle w:val="15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5"/>
            </w:pPr>
          </w:p>
        </w:tc>
        <w:tc>
          <w:tcPr>
            <w:tcW w:w="1152" w:type="dxa"/>
          </w:tcPr>
          <w:p>
            <w:pPr>
              <w:pStyle w:val="15"/>
            </w:pPr>
          </w:p>
        </w:tc>
        <w:tc>
          <w:tcPr>
            <w:tcW w:w="3744" w:type="dxa"/>
          </w:tcPr>
          <w:p>
            <w:pPr>
              <w:pStyle w:val="15"/>
            </w:pPr>
          </w:p>
        </w:tc>
        <w:tc>
          <w:tcPr>
            <w:tcW w:w="2304" w:type="dxa"/>
          </w:tcPr>
          <w:p>
            <w:pPr>
              <w:pStyle w:val="15"/>
            </w:pPr>
          </w:p>
        </w:tc>
      </w:tr>
    </w:tbl>
    <w:p/>
    <w:p>
      <w:pPr>
        <w:pStyle w:val="9"/>
      </w:pPr>
      <w:r>
        <w:br w:type="page"/>
      </w:r>
      <w:r>
        <w:rPr>
          <w:rFonts w:hint="eastAsia"/>
        </w:rPr>
        <w:t>目录</w:t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_Toc54270023 \h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_Toc54270024 \h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_Toc54270025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_Toc54270026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_Toc54270027 \h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_Toc54270028 \h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_Toc54270029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_Toc54270030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_Toc54270031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_Toc54270032 \h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7.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技术视图</w:t>
      </w:r>
      <w:r>
        <w:tab/>
      </w:r>
      <w:r>
        <w:fldChar w:fldCharType="begin"/>
      </w:r>
      <w:r>
        <w:instrText xml:space="preserve"> PAGEREF _Toc54270033 \h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8.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_Toc54270034 \h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9.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_Toc54270035 \h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left" w:pos="864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10.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质量属性的设计</w:t>
      </w:r>
      <w:r>
        <w:tab/>
      </w:r>
      <w:r>
        <w:fldChar w:fldCharType="begin"/>
      </w:r>
      <w:r>
        <w:instrText xml:space="preserve"> PAGEREF _Toc54270036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</w:pPr>
      <w:r>
        <w:rPr>
          <w:rFonts w:ascii="Times New Roman"/>
        </w:rPr>
        <w:fldChar w:fldCharType="end"/>
      </w:r>
    </w:p>
    <w:p/>
    <w:p/>
    <w:p/>
    <w:p/>
    <w:p/>
    <w:p/>
    <w:p>
      <w:pPr>
        <w:pStyle w:val="9"/>
        <w:tabs>
          <w:tab w:val="left" w:pos="5340"/>
        </w:tabs>
        <w:jc w:val="left"/>
      </w:pPr>
      <w:r>
        <w:tab/>
      </w:r>
    </w:p>
    <w:p>
      <w:pPr>
        <w:pStyle w:val="9"/>
        <w:rPr>
          <w:rFonts w:ascii="Arial" w:hAnsi="Arial"/>
        </w:rPr>
      </w:pP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ind w:left="360" w:hanging="360"/>
      </w:pPr>
      <w:bookmarkStart w:id="0" w:name="_Toc54270023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54270024"/>
      <w:r>
        <w:rPr>
          <w:rFonts w:hint="eastAsia"/>
        </w:rPr>
        <w:t>目的</w:t>
      </w:r>
      <w:bookmarkEnd w:id="1"/>
    </w:p>
    <w:p>
      <w:pPr>
        <w:ind w:firstLine="420" w:firstLineChars="0"/>
        <w:rPr>
          <w:rFonts w:hint="eastAsia" w:ascii="Times New Roman" w:hAnsi="Times New Roman"/>
        </w:rPr>
      </w:pPr>
      <w:bookmarkStart w:id="2" w:name="_Toc54270025"/>
      <w:r>
        <w:rPr>
          <w:rFonts w:hint="eastAsia" w:ascii="Times New Roman" w:hAnsi="Times New Roman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pStyle w:val="3"/>
      </w:pPr>
      <w:r>
        <w:rPr>
          <w:rFonts w:hint="eastAsia"/>
          <w:lang w:val="en-US" w:eastAsia="zh-CN"/>
        </w:rPr>
        <w:t>范围</w:t>
      </w:r>
    </w:p>
    <w:p>
      <w:pPr>
        <w:ind w:left="0" w:leftChars="0" w:firstLine="420" w:firstLineChars="0"/>
        <w:rPr>
          <w:rFonts w:hint="default" w:ascii="Times New Roman" w:hAnsi="Times New Roman"/>
          <w:lang w:val="en"/>
        </w:rPr>
      </w:pPr>
      <w:r>
        <w:rPr>
          <w:rFonts w:hint="default" w:ascii="Times New Roman" w:hAnsi="Times New Roman"/>
          <w:lang w:val="en"/>
        </w:rPr>
        <w:t>本文档适用于</w:t>
      </w:r>
      <w:r>
        <w:rPr>
          <w:rFonts w:hint="eastAsia" w:ascii="Times New Roman" w:hAnsi="Times New Roman"/>
        </w:rPr>
        <w:t>高级软件开发与管理课程</w:t>
      </w:r>
      <w:r>
        <w:rPr>
          <w:rFonts w:hint="default" w:ascii="Times New Roman" w:hAnsi="Times New Roman"/>
          <w:lang w:val="en"/>
        </w:rPr>
        <w:t>第一小组正在开发的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default" w:ascii="Times New Roman" w:hAnsi="Times New Roman"/>
          <w:lang w:val="en"/>
        </w:rPr>
        <w:t>，将影响和指导该系统的开发过程。</w:t>
      </w:r>
    </w:p>
    <w:p>
      <w:pPr>
        <w:pStyle w:val="3"/>
      </w:pPr>
      <w:r>
        <w:rPr>
          <w:rFonts w:hint="eastAsia"/>
          <w:lang w:val="en-US" w:eastAsia="zh-CN"/>
        </w:rPr>
        <w:t>定义、首字母缩写词和缩略语</w:t>
      </w:r>
    </w:p>
    <w:tbl>
      <w:tblPr>
        <w:tblStyle w:val="11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168"/>
        <w:gridCol w:w="6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定义</w:t>
            </w:r>
          </w:p>
        </w:tc>
        <w:tc>
          <w:tcPr>
            <w:tcW w:w="1168" w:type="dxa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缩略语</w:t>
            </w:r>
          </w:p>
        </w:tc>
        <w:tc>
          <w:tcPr>
            <w:tcW w:w="6503" w:type="dxa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边缘计算软件系统</w:t>
            </w:r>
          </w:p>
        </w:tc>
        <w:tc>
          <w:tcPr>
            <w:tcW w:w="1168" w:type="dxa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ECSS</w:t>
            </w:r>
          </w:p>
        </w:tc>
        <w:tc>
          <w:tcPr>
            <w:tcW w:w="6503" w:type="dxa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在靠近数据源（设备端）采用网络、计算、存储、应用核心能力为一体的开放平台，就近提供有限的低时延服务，并接入云平台进行管理和计算的软件系统。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业务流程管理标记</w:t>
            </w:r>
          </w:p>
        </w:tc>
        <w:tc>
          <w:tcPr>
            <w:tcW w:w="1168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BPMN</w:t>
            </w:r>
          </w:p>
        </w:tc>
        <w:tc>
          <w:tcPr>
            <w:tcW w:w="6503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 xml:space="preserve">一套图形化的流程建模标准，用于以业务流程模型详细说明各种业务流程。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协议集成系统</w:t>
            </w:r>
          </w:p>
        </w:tc>
        <w:tc>
          <w:tcPr>
            <w:tcW w:w="1168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PIS</w:t>
            </w:r>
          </w:p>
        </w:tc>
        <w:tc>
          <w:tcPr>
            <w:tcW w:w="6503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将各类协议或规则集成到相互关联的、统一和协调的系统之中，使资源达到充分共享，实现集中、高效、便利的管理。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工业异构设备</w:t>
            </w:r>
          </w:p>
        </w:tc>
        <w:tc>
          <w:tcPr>
            <w:tcW w:w="1168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IHD</w:t>
            </w:r>
          </w:p>
        </w:tc>
        <w:tc>
          <w:tcPr>
            <w:tcW w:w="6503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 xml:space="preserve">工业生产场景下应用不同通信协议、使用不同数据解析方法的高度异构化设备。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容器</w:t>
            </w:r>
          </w:p>
        </w:tc>
        <w:tc>
          <w:tcPr>
            <w:tcW w:w="1168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bookmarkStart w:id="17" w:name="_GoBack"/>
            <w:bookmarkEnd w:id="17"/>
          </w:p>
        </w:tc>
        <w:tc>
          <w:tcPr>
            <w:tcW w:w="6503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一种运行于独立命名空间的进程，为应用提供隔离的环境</w:t>
            </w:r>
          </w:p>
        </w:tc>
      </w:tr>
    </w:tbl>
    <w:p>
      <w:pPr>
        <w:pStyle w:val="3"/>
      </w:pPr>
      <w:r>
        <w:rPr>
          <w:rFonts w:hint="eastAsia"/>
        </w:rPr>
        <w:t>参考资料</w:t>
      </w:r>
      <w:bookmarkEnd w:id="2"/>
    </w:p>
    <w:p>
      <w:pPr>
        <w:pStyle w:val="14"/>
        <w:rPr>
          <w:rFonts w:ascii="Times New Roman"/>
        </w:rPr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面向工业应用的柔性可扩展的边缘计算软件系统立项建议书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面向工业应用的柔性可扩展的边缘计算软件系统需求规约文档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RUP的软件结构文档模板</w:t>
      </w:r>
    </w:p>
    <w:p>
      <w:pPr>
        <w:pStyle w:val="3"/>
      </w:pPr>
      <w:r>
        <w:rPr>
          <w:rFonts w:hint="eastAsia"/>
          <w:lang w:val="en-US" w:eastAsia="zh-CN"/>
        </w:rPr>
        <w:t>概述</w:t>
      </w:r>
    </w:p>
    <w:p>
      <w:pPr>
        <w:numPr>
          <w:ilvl w:val="-2"/>
          <w:numId w:val="0"/>
        </w:numPr>
        <w:ind w:left="0" w:leftChars="0" w:firstLine="420" w:firstLineChars="0"/>
      </w:pPr>
      <w:r>
        <w:rPr>
          <w:rFonts w:hint="default" w:ascii="Times New Roman" w:hAnsi="Times New Roman"/>
          <w:lang w:val="en"/>
        </w:rPr>
        <w:t>本文档将明确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default" w:ascii="Times New Roman" w:hAnsi="Times New Roman"/>
          <w:lang w:val="en"/>
        </w:rPr>
        <w:t>的架构表示方式、架构的模板和约束、大小和性能、并通过以下一系列视图来表示平台的软件架构：用例视图、逻辑视图、进程视图、部署视图</w:t>
      </w:r>
      <w:r>
        <w:rPr>
          <w:rFonts w:hint="eastAsia" w:ascii="Times New Roman"/>
          <w:lang w:val="en" w:eastAsia="zh-CN"/>
        </w:rPr>
        <w:t>、</w:t>
      </w:r>
      <w:r>
        <w:rPr>
          <w:rFonts w:hint="eastAsia" w:ascii="Times New Roman"/>
          <w:lang w:val="en-US" w:eastAsia="zh-CN"/>
        </w:rPr>
        <w:t>实现视图、技术视图</w:t>
      </w:r>
      <w:r>
        <w:rPr>
          <w:rFonts w:hint="default" w:ascii="Times New Roman" w:hAnsi="Times New Roman"/>
          <w:lang w:val="en"/>
        </w:rPr>
        <w:t>和数据视图。</w:t>
      </w:r>
    </w:p>
    <w:p>
      <w:pPr>
        <w:pStyle w:val="2"/>
        <w:ind w:left="360" w:hanging="360"/>
      </w:pPr>
      <w:bookmarkStart w:id="3" w:name="_Toc54270026"/>
      <w:r>
        <w:rPr>
          <w:rFonts w:hint="eastAsia"/>
        </w:rPr>
        <w:t>用例视图</w:t>
      </w:r>
      <w:bookmarkEnd w:id="3"/>
    </w:p>
    <w:p>
      <w:pPr>
        <w:pStyle w:val="14"/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>
      <w:r>
        <w:drawing>
          <wp:inline distT="0" distB="0" distL="114300" distR="114300">
            <wp:extent cx="5880735" cy="3340735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360" w:hanging="360"/>
      </w:pPr>
      <w:bookmarkStart w:id="4" w:name="_Toc54270027"/>
      <w:r>
        <w:rPr>
          <w:rFonts w:hint="eastAsia"/>
        </w:rPr>
        <w:t>逻辑视图</w:t>
      </w:r>
      <w:bookmarkEnd w:id="4"/>
    </w:p>
    <w:p>
      <w:pPr>
        <w:pStyle w:val="14"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>
      <w:pPr>
        <w:pStyle w:val="3"/>
      </w:pPr>
      <w:bookmarkStart w:id="5" w:name="_Toc54270028"/>
      <w:r>
        <w:rPr>
          <w:rFonts w:hint="eastAsia"/>
        </w:rPr>
        <w:t>概述</w:t>
      </w:r>
      <w:bookmarkEnd w:id="5"/>
    </w:p>
    <w:p>
      <w:pPr>
        <w:pStyle w:val="14"/>
      </w:pPr>
      <w:r>
        <w:t>[</w:t>
      </w:r>
      <w:r>
        <w:rPr>
          <w:rFonts w:hint="eastAsia"/>
        </w:rPr>
        <w:t>本节说明所采</w:t>
      </w:r>
      <w:r>
        <w:t>用</w:t>
      </w:r>
      <w:r>
        <w:rPr>
          <w:rFonts w:hint="eastAsia"/>
        </w:rPr>
        <w:t>的架</w:t>
      </w:r>
      <w:r>
        <w:t>构风</w:t>
      </w:r>
      <w:r>
        <w:rPr>
          <w:rFonts w:hint="eastAsia"/>
        </w:rPr>
        <w:t>格</w:t>
      </w:r>
      <w:r>
        <w:t>以及</w:t>
      </w:r>
      <w:r>
        <w:rPr>
          <w:rFonts w:hint="eastAsia"/>
        </w:rPr>
        <w:t>整</w:t>
      </w:r>
      <w:r>
        <w:t>个软件的模</w:t>
      </w:r>
      <w:r>
        <w:rPr>
          <w:rFonts w:hint="eastAsia"/>
        </w:rPr>
        <w:t>块分解和</w:t>
      </w:r>
      <w:r>
        <w:t>协同</w:t>
      </w:r>
      <w:r>
        <w:rPr>
          <w:rFonts w:hint="eastAsia"/>
        </w:rPr>
        <w:t>情况，</w:t>
      </w:r>
      <w:r>
        <w:t>画出逻辑架构图</w:t>
      </w:r>
      <w:r>
        <w:rPr>
          <w:rFonts w:hint="eastAsia"/>
        </w:rPr>
        <w:t>，</w:t>
      </w:r>
      <w:r>
        <w:t>并进行</w:t>
      </w:r>
      <w:r>
        <w:rPr>
          <w:rFonts w:hint="eastAsia"/>
        </w:rPr>
        <w:t>文</w:t>
      </w:r>
      <w:r>
        <w:t>字描述</w:t>
      </w:r>
      <w:r>
        <w:rPr>
          <w:rFonts w:hint="eastAsia"/>
        </w:rPr>
        <w:t>。</w:t>
      </w:r>
      <w:r>
        <w:t>]</w:t>
      </w:r>
    </w:p>
    <w:p>
      <w:pPr>
        <w:pStyle w:val="3"/>
      </w:pPr>
      <w:bookmarkStart w:id="6" w:name="_Toc54270029"/>
      <w:r>
        <w:rPr>
          <w:rFonts w:hint="eastAsia"/>
        </w:rPr>
        <w:t>在构架方面具有重要意义的设计包</w:t>
      </w:r>
      <w:bookmarkEnd w:id="6"/>
    </w:p>
    <w:p>
      <w:pPr>
        <w:pStyle w:val="14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>
      <w:pPr>
        <w:pStyle w:val="14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>
      <w:pPr>
        <w:pStyle w:val="2"/>
        <w:ind w:left="360" w:hanging="360"/>
      </w:pPr>
      <w:bookmarkStart w:id="7" w:name="_Toc54270030"/>
      <w:r>
        <w:rPr>
          <w:rFonts w:hint="eastAsia"/>
        </w:rPr>
        <w:t>进程视图</w:t>
      </w:r>
      <w:bookmarkEnd w:id="7"/>
    </w:p>
    <w:p>
      <w:pPr>
        <w:pStyle w:val="14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>
      <w:pPr>
        <w:pStyle w:val="2"/>
        <w:ind w:left="360" w:hanging="360"/>
      </w:pPr>
      <w:bookmarkStart w:id="8" w:name="_Toc54270031"/>
      <w:r>
        <w:rPr>
          <w:rFonts w:hint="eastAsia"/>
        </w:rPr>
        <w:t>部署视图</w:t>
      </w:r>
      <w:bookmarkEnd w:id="8"/>
    </w:p>
    <w:p>
      <w:pPr>
        <w:pStyle w:val="14"/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中的各进程到物理节点的映射。</w:t>
      </w:r>
      <w:r>
        <w:rPr>
          <w:rFonts w:ascii="Times New Roman"/>
        </w:rPr>
        <w:t>]</w:t>
      </w:r>
    </w:p>
    <w:p>
      <w:pPr>
        <w:pStyle w:val="2"/>
        <w:ind w:left="360" w:hanging="360"/>
      </w:pPr>
      <w:bookmarkStart w:id="9" w:name="_Toc54270032"/>
      <w:r>
        <w:rPr>
          <w:rFonts w:hint="eastAsia"/>
        </w:rPr>
        <w:t>实现视图</w:t>
      </w:r>
      <w:bookmarkEnd w:id="9"/>
    </w:p>
    <w:p>
      <w:pPr>
        <w:pStyle w:val="14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>
      <w:pPr>
        <w:pStyle w:val="4"/>
      </w:pPr>
    </w:p>
    <w:p>
      <w:pPr>
        <w:pStyle w:val="2"/>
        <w:ind w:left="360" w:hanging="360"/>
      </w:pPr>
      <w:bookmarkStart w:id="10" w:name="_Toc54270033"/>
      <w:bookmarkStart w:id="11" w:name="_Toc54212214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10"/>
      <w:bookmarkEnd w:id="11"/>
    </w:p>
    <w:p>
      <w:pPr>
        <w:pStyle w:val="14"/>
      </w:pPr>
      <w:r>
        <w:t>[</w:t>
      </w:r>
      <w:r>
        <w:rPr>
          <w:rFonts w:hint="eastAsia"/>
        </w:rPr>
        <w:t>技</w:t>
      </w:r>
      <w:r>
        <w:t>术栈的选型</w:t>
      </w:r>
      <w:r>
        <w:rPr>
          <w:rFonts w:hint="eastAsia"/>
        </w:rPr>
        <w:t>，</w:t>
      </w:r>
      <w:r>
        <w:t>包括编程语言、开发工具、框架、数据库、中间件等</w:t>
      </w:r>
      <w:r>
        <w:rPr>
          <w:rFonts w:hint="eastAsia"/>
        </w:rPr>
        <w:t>。</w:t>
      </w:r>
      <w:r>
        <w:t>]</w:t>
      </w:r>
    </w:p>
    <w:p>
      <w:pPr>
        <w:pStyle w:val="4"/>
      </w:pPr>
    </w:p>
    <w:p>
      <w:pPr>
        <w:pStyle w:val="2"/>
        <w:ind w:left="360" w:hanging="360"/>
      </w:pPr>
      <w:bookmarkStart w:id="12" w:name="_Toc54212215"/>
      <w:bookmarkStart w:id="13" w:name="_Toc54270034"/>
      <w:r>
        <w:rPr>
          <w:rFonts w:hint="eastAsia"/>
        </w:rPr>
        <w:t>数据视图（可选）</w:t>
      </w:r>
      <w:bookmarkEnd w:id="12"/>
      <w:bookmarkEnd w:id="13"/>
    </w:p>
    <w:p>
      <w:pPr>
        <w:pStyle w:val="14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>
      <w:pPr>
        <w:pStyle w:val="14"/>
      </w:pPr>
      <w:r>
        <w:t>[</w:t>
      </w:r>
      <w:r>
        <w:rPr>
          <w:rFonts w:hint="eastAsia"/>
        </w:rPr>
        <w:t>如</w:t>
      </w:r>
      <w:r>
        <w:t>果需要，可增加</w:t>
      </w:r>
      <w:r>
        <w:rPr>
          <w:rFonts w:hint="eastAsia"/>
        </w:rPr>
        <w:t>其</w:t>
      </w:r>
      <w:r>
        <w:t>他视图</w:t>
      </w:r>
      <w:r>
        <w:rPr>
          <w:rFonts w:hint="eastAsia"/>
        </w:rPr>
        <w:t>。</w:t>
      </w:r>
      <w:r>
        <w:t>]</w:t>
      </w:r>
    </w:p>
    <w:p>
      <w:pPr>
        <w:pStyle w:val="4"/>
      </w:pPr>
    </w:p>
    <w:p>
      <w:pPr>
        <w:pStyle w:val="2"/>
        <w:ind w:left="360" w:hanging="360"/>
      </w:pPr>
      <w:bookmarkStart w:id="14" w:name="_Toc54270035"/>
      <w:bookmarkStart w:id="15" w:name="_Toc54212216"/>
      <w:r>
        <w:rPr>
          <w:rFonts w:hint="eastAsia"/>
        </w:rPr>
        <w:t>核心算法设计（可选）</w:t>
      </w:r>
      <w:bookmarkEnd w:id="14"/>
    </w:p>
    <w:p>
      <w:pPr>
        <w:pStyle w:val="14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>
      <w:pPr>
        <w:pStyle w:val="4"/>
      </w:pPr>
    </w:p>
    <w:p>
      <w:pPr>
        <w:pStyle w:val="2"/>
        <w:ind w:left="360" w:hanging="360"/>
      </w:pPr>
      <w:bookmarkStart w:id="16" w:name="_Toc54270036"/>
      <w:r>
        <w:rPr>
          <w:rFonts w:hint="eastAsia"/>
        </w:rPr>
        <w:t>质量属</w:t>
      </w:r>
      <w:r>
        <w:t>性的设计</w:t>
      </w:r>
      <w:bookmarkEnd w:id="15"/>
      <w:bookmarkEnd w:id="16"/>
    </w:p>
    <w:p>
      <w:pPr>
        <w:pStyle w:val="14"/>
      </w:pPr>
      <w:r>
        <w:t>[</w:t>
      </w:r>
      <w:r>
        <w:rPr>
          <w:rFonts w:hint="eastAsia"/>
        </w:rPr>
        <w:t>说明软件架构如何促成诸如性</w:t>
      </w:r>
      <w:r>
        <w:t>能、</w:t>
      </w:r>
      <w:r>
        <w:rPr>
          <w:rFonts w:hint="eastAsia"/>
        </w:rPr>
        <w:t>可扩展性、可靠性、易</w:t>
      </w:r>
      <w:r>
        <w:t>用性、</w:t>
      </w:r>
      <w:r>
        <w:rPr>
          <w:rFonts w:hint="eastAsia"/>
        </w:rPr>
        <w:t>可移植性等所有系统能力（而非功能）的实现。如果这些特征具有特殊的意义（例如在安全性或保密性方面的意义），则应该对它们进行详细的说明。</w:t>
      </w:r>
      <w:r>
        <w:t>]</w:t>
      </w:r>
    </w:p>
    <w:p>
      <w:pPr>
        <w:pStyle w:val="4"/>
      </w:pPr>
    </w:p>
    <w:p/>
    <w:p>
      <w:pPr>
        <w:pStyle w:val="4"/>
      </w:pPr>
    </w:p>
    <w:p/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13"/>
              <w:rFonts w:ascii="Times New Roman"/>
            </w:rPr>
            <w:fldChar w:fldCharType="begin"/>
          </w:r>
          <w:r>
            <w:rPr>
              <w:rStyle w:val="13"/>
              <w:rFonts w:ascii="Times New Roman"/>
            </w:rPr>
            <w:instrText xml:space="preserve"> PAGE </w:instrText>
          </w:r>
          <w:r>
            <w:rPr>
              <w:rStyle w:val="13"/>
              <w:rFonts w:ascii="Times New Roman"/>
            </w:rPr>
            <w:fldChar w:fldCharType="separate"/>
          </w:r>
          <w:r>
            <w:rPr>
              <w:rStyle w:val="13"/>
              <w:rFonts w:ascii="Times New Roman"/>
            </w:rPr>
            <w:t>5</w:t>
          </w:r>
          <w:r>
            <w:rPr>
              <w:rStyle w:val="13"/>
              <w:rFonts w:ascii="Times New Roman"/>
            </w:rPr>
            <w:fldChar w:fldCharType="end"/>
          </w:r>
          <w:r>
            <w:rPr>
              <w:rStyle w:val="13"/>
              <w:rFonts w:ascii="Times New Roman"/>
            </w:rPr>
            <w:t xml:space="preserve"> of </w:t>
          </w:r>
          <w:r>
            <w:rPr>
              <w:rStyle w:val="13"/>
              <w:rFonts w:ascii="Times New Roman"/>
            </w:rPr>
            <w:fldChar w:fldCharType="begin"/>
          </w:r>
          <w:r>
            <w:rPr>
              <w:rStyle w:val="13"/>
              <w:rFonts w:ascii="Times New Roman"/>
            </w:rPr>
            <w:instrText xml:space="preserve"> NUMPAGES  \* MERGEFORMAT </w:instrText>
          </w:r>
          <w:r>
            <w:rPr>
              <w:rStyle w:val="13"/>
              <w:rFonts w:ascii="Times New Roman"/>
            </w:rPr>
            <w:fldChar w:fldCharType="separate"/>
          </w:r>
          <w:r>
            <w:rPr>
              <w:rStyle w:val="13"/>
            </w:rPr>
            <w:t>5</w:t>
          </w:r>
          <w:r>
            <w:rPr>
              <w:rStyle w:val="13"/>
              <w:rFonts w:ascii="Times New Roman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lvlText w:val="%1.%2.%3"/>
      <w:lvlJc w:val="left"/>
    </w:lvl>
    <w:lvl w:ilvl="3" w:tentative="0">
      <w:start w:val="1"/>
      <w:numFmt w:val="decimal"/>
      <w:lvlText w:val="%1.%2.%3.%4"/>
      <w:lvlJc w:val="left"/>
    </w:lvl>
    <w:lvl w:ilvl="4" w:tentative="0">
      <w:start w:val="1"/>
      <w:numFmt w:val="decimal"/>
      <w:lvlText w:val="%1.%2.%3.%4.%5"/>
      <w:lvlJc w:val="left"/>
    </w:lvl>
    <w:lvl w:ilvl="5" w:tentative="0">
      <w:start w:val="1"/>
      <w:numFmt w:val="decimal"/>
      <w:lvlText w:val="%1.%2.%3.%4.%5.%6"/>
      <w:lvlJc w:val="left"/>
    </w:lvl>
    <w:lvl w:ilvl="6" w:tentative="0">
      <w:start w:val="1"/>
      <w:numFmt w:val="decimal"/>
      <w:lvlText w:val="%1.%2.%3.%4.%5.%6.%7"/>
      <w:lvlJc w:val="left"/>
    </w:lvl>
    <w:lvl w:ilvl="7" w:tentative="0">
      <w:start w:val="1"/>
      <w:numFmt w:val="decimal"/>
      <w:lvlText w:val="%1.%2.%3.%4.%5.%6.%7.%8"/>
      <w:lvlJc w:val="left"/>
    </w:lvl>
    <w:lvl w:ilvl="8" w:tentative="0">
      <w:start w:val="1"/>
      <w:numFmt w:val="decimal"/>
      <w:lvlText w:val="%1.%2.%3.%4.%5.%6.%7.%8.%9"/>
      <w:lvlJc w:val="left"/>
    </w:lvl>
  </w:abstractNum>
  <w:abstractNum w:abstractNumId="1">
    <w:nsid w:val="3C2BB590"/>
    <w:multiLevelType w:val="singleLevel"/>
    <w:tmpl w:val="3C2BB5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62C25"/>
    <w:rsid w:val="055D59EF"/>
    <w:rsid w:val="12CE53D1"/>
    <w:rsid w:val="18D25628"/>
    <w:rsid w:val="21DB3A64"/>
    <w:rsid w:val="269C3702"/>
    <w:rsid w:val="2A0D7F38"/>
    <w:rsid w:val="2AE9198A"/>
    <w:rsid w:val="324463FF"/>
    <w:rsid w:val="495C1F1A"/>
    <w:rsid w:val="4FBF5ADA"/>
    <w:rsid w:val="574B4FB6"/>
    <w:rsid w:val="5F8B2ABE"/>
    <w:rsid w:val="60EE3376"/>
    <w:rsid w:val="62117737"/>
    <w:rsid w:val="62DE772F"/>
    <w:rsid w:val="641C01ED"/>
    <w:rsid w:val="65350C8F"/>
    <w:rsid w:val="674B365A"/>
    <w:rsid w:val="67DE5061"/>
    <w:rsid w:val="6D954657"/>
    <w:rsid w:val="709A4613"/>
    <w:rsid w:val="77C93555"/>
    <w:rsid w:val="7C11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keepLines/>
      <w:spacing w:after="120"/>
      <w:ind w:left="720"/>
    </w:p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7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8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page number"/>
    <w:basedOn w:val="12"/>
    <w:qFormat/>
    <w:uiPriority w:val="0"/>
  </w:style>
  <w:style w:type="paragraph" w:customStyle="1" w:styleId="14">
    <w:name w:val="InfoBlue"/>
    <w:basedOn w:val="1"/>
    <w:next w:val="4"/>
    <w:qFormat/>
    <w:uiPriority w:val="0"/>
    <w:pPr>
      <w:spacing w:after="120"/>
      <w:ind w:left="720"/>
    </w:pPr>
    <w:rPr>
      <w:i/>
      <w:color w:val="0000FF"/>
    </w:rPr>
  </w:style>
  <w:style w:type="paragraph" w:customStyle="1" w:styleId="15">
    <w:name w:val="Tabletext"/>
    <w:basedOn w:val="1"/>
    <w:qFormat/>
    <w:uiPriority w:val="0"/>
    <w:pPr>
      <w:keepLines/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2021-10-11T12:08:00Z</dcterms:created>
  <dc:creator>29472</dc:creator>
  <cp:lastModifiedBy>董彦君</cp:lastModifiedBy>
  <dcterms:modified xsi:type="dcterms:W3CDTF">2021-10-15T15:37:09Z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