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b/>
          <w:bCs/>
          <w:color w:val="1F4E79"/>
          <w:sz w:val="56"/>
          <w:szCs w:val="56"/>
        </w:rPr>
        <w:t xml:space="preserve">AHCS PATIENT PORTAL</w:t>
      </w:r>
    </w:p>
    <w:p>
      <w:pPr>
        <w:spacing w:before="200"/>
        <w:jc w:val="center"/>
      </w:pPr>
      <w:r>
        <w:rPr>
          <w:color w:val="595959"/>
          <w:sz w:val="32"/>
          <w:szCs w:val="32"/>
        </w:rPr>
        <w:t xml:space="preserve">Backend System — Project Documentation</w:t>
      </w:r>
    </w:p>
    <w:p>
      <w:pPr>
        <w:spacing w:after="2400"/>
      </w:pPr>
    </w:p>
    <w:p>
      <w:pPr>
        <w:jc w:val="center"/>
      </w:pPr>
      <w:r>
        <w:rPr>
          <w:i/>
          <w:iCs/>
          <w:color w:val="595959"/>
          <w:sz w:val="22"/>
          <w:szCs w:val="22"/>
        </w:rPr>
        <w:t xml:space="preserve">Laravel 10 · PHP 8.1 · JWT API + Admin Panel</w:t>
      </w:r>
    </w:p>
    <w:p>
      <w:pPr>
        <w:spacing w:before="120"/>
        <w:jc w:val="center"/>
      </w:pPr>
      <w:r>
        <w:rPr>
          <w:color w:val="595959"/>
          <w:sz w:val="22"/>
          <w:szCs w:val="22"/>
        </w:rPr>
        <w:t xml:space="preserve">Repository: backend-pp</w:t>
      </w:r>
    </w:p>
    <w:p>
      <w:pPr>
        <w:spacing w:before="800"/>
        <w:jc w:val="center"/>
      </w:pPr>
      <w:r>
        <w:rPr>
          <w:color w:val="595959"/>
          <w:sz w:val="20"/>
          <w:szCs w:val="20"/>
        </w:rPr>
        <w:t xml:space="preserve">Prepared: August 6, 2026</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350" w:bottom="1440" w:left="1350" w:header="708" w:footer="708" w:gutter="0"/>
          <w:pgNumType/>
          <w:docGrid w:linePitch="360"/>
        </w:sectPr>
      </w:pPr>
    </w:p>
    <w:p>
      <w:pPr>
        <w:pStyle w:val="Heading1"/>
        <w:spacing w:after="160" w:before="360"/>
      </w:pPr>
      <w:r>
        <w:t xml:space="preserve">1. Project Overview</w:t>
      </w:r>
    </w:p>
    <w:p>
      <w:pPr>
        <w:spacing w:after="140"/>
      </w:pPr>
      <w:r>
        <w:t xml:space="preserve">The AHCS Patient Portal backend ("backend-pp") is a Laravel 10 / PHP 8.1 application that acts as the portal layer in front of an existing clinical / EHR system, rather than owning the clinical record itself. It serves two distinct audiences from a single codebase:</w:t>
      </w:r>
    </w:p>
    <w:p>
      <w:pPr>
        <w:pStyle w:val="ListParagraph"/>
        <w:numPr>
          <w:ilvl w:val="0"/>
          <w:numId w:val="1"/>
        </w:numPr>
        <w:spacing w:after="80"/>
      </w:pPr>
      <w:r>
        <w:rPr>
          <w:b/>
          <w:bCs/>
        </w:rPr>
        <w:t xml:space="preserve">Patients and their proxies (caregivers/family)</w:t>
      </w:r>
      <w:r>
        <w:rPr>
          <w:b w:val="false"/>
          <w:bCs w:val="false"/>
        </w:rPr>
        <w:t xml:space="preserve"> — through a stateless, JWT-secured REST API consumed by a separate front-end Patient Portal application.</w:t>
      </w:r>
    </w:p>
    <w:p>
      <w:pPr>
        <w:pStyle w:val="ListParagraph"/>
        <w:numPr>
          <w:ilvl w:val="0"/>
          <w:numId w:val="1"/>
        </w:numPr>
        <w:spacing w:after="80"/>
      </w:pPr>
      <w:r>
        <w:rPr>
          <w:b/>
          <w:bCs/>
        </w:rPr>
        <w:t xml:space="preserve">Internal clinic staff / administrators</w:t>
      </w:r>
      <w:r>
        <w:rPr>
          <w:b w:val="false"/>
          <w:bCs w:val="false"/>
        </w:rPr>
        <w:t xml:space="preserve"> — through a traditional session-authenticated Blade admin panel for building intake forms, assembling multi-step "funnels," assigning them to patients, messaging, and reviewing analytics.</w:t>
      </w:r>
    </w:p>
    <w:p>
      <w:pPr>
        <w:spacing w:after="140"/>
      </w:pPr>
      <w:r>
        <w:t xml:space="preserve">The application does not store the clinical record of truth. Instead it reads and selectively writes against several external systems and their databases, joining that data with its own domain model for forms, funnels, submissions, messaging, and proxy access.</w:t>
      </w:r>
    </w:p>
    <w:p>
      <w:pPr>
        <w:pStyle w:val="Heading2"/>
        <w:spacing w:after="120" w:before="260"/>
      </w:pPr>
      <w:r>
        <w:t xml:space="preserve">1.1 External Systems Integrated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val="clear"/>
            <w:tcMar>
              <w:top w:type="dxa" w:w="80"/>
              <w:left w:type="dxa" w:w="100"/>
              <w:bottom w:type="dxa" w:w="80"/>
              <w:right w:type="dxa" w:w="100"/>
            </w:tcMar>
          </w:tcPr>
          <w:p>
            <w:r>
              <w:rPr>
                <w:b/>
                <w:bCs/>
                <w:color w:val="FFFFFF"/>
                <w:sz w:val="20"/>
                <w:szCs w:val="20"/>
              </w:rPr>
              <w:t xml:space="preserve">System</w:t>
            </w:r>
          </w:p>
        </w:tc>
        <w:tc>
          <w:tcPr>
            <w:tcW w:type="dxa" w:w="6300"/>
            <w:shd w:fill="1F4E79" w:val="clear"/>
            <w:tcMar>
              <w:top w:type="dxa" w:w="80"/>
              <w:left w:type="dxa" w:w="100"/>
              <w:bottom w:type="dxa" w:w="80"/>
              <w:right w:type="dxa" w:w="100"/>
            </w:tcMar>
          </w:tcPr>
          <w:p>
            <w:r>
              <w:rPr>
                <w:b/>
                <w:bCs/>
                <w:color w:val="FFFFFF"/>
                <w:sz w:val="20"/>
                <w:szCs w:val="20"/>
              </w:rPr>
              <w:t xml:space="preserve">Role</w:t>
            </w:r>
          </w:p>
        </w:tc>
      </w:tr>
      <w:tr>
        <w:tc>
          <w:tcPr>
            <w:tcW w:type="dxa" w:w="3200"/>
            <w:tcMar>
              <w:top w:type="dxa" w:w="80"/>
              <w:left w:type="dxa" w:w="100"/>
              <w:bottom w:type="dxa" w:w="80"/>
              <w:right w:type="dxa" w:w="100"/>
            </w:tcMar>
          </w:tcPr>
          <w:p>
            <w:r>
              <w:rPr>
                <w:b w:val="false"/>
                <w:bCs w:val="false"/>
                <w:sz w:val="20"/>
                <w:szCs w:val="20"/>
              </w:rPr>
              <w:t xml:space="preserve">AHCS (connection: ahcs)</w:t>
            </w:r>
          </w:p>
        </w:tc>
        <w:tc>
          <w:tcPr>
            <w:tcW w:type="dxa" w:w="6300"/>
            <w:tcMar>
              <w:top w:type="dxa" w:w="80"/>
              <w:left w:type="dxa" w:w="100"/>
              <w:bottom w:type="dxa" w:w="80"/>
              <w:right w:type="dxa" w:w="100"/>
            </w:tcMar>
          </w:tcPr>
          <w:p>
            <w:r>
              <w:rPr>
                <w:b w:val="false"/>
                <w:bCs w:val="false"/>
                <w:sz w:val="20"/>
                <w:szCs w:val="20"/>
              </w:rPr>
              <w:t xml:space="preserve">Core clinic/EHR database — patients, cases, medical authorizations, intake, workers-comp claims, attendances/appointments. The system of record for clinical data.</w:t>
            </w:r>
          </w:p>
        </w:tc>
      </w:tr>
      <w:tr>
        <w:tc>
          <w:tcPr>
            <w:tcW w:type="dxa" w:w="3200"/>
            <w:shd w:fill="F2F2F2" w:val="clear"/>
            <w:tcMar>
              <w:top w:type="dxa" w:w="80"/>
              <w:left w:type="dxa" w:w="100"/>
              <w:bottom w:type="dxa" w:w="80"/>
              <w:right w:type="dxa" w:w="100"/>
            </w:tcMar>
          </w:tcPr>
          <w:p>
            <w:r>
              <w:rPr>
                <w:b w:val="false"/>
                <w:bCs w:val="false"/>
                <w:sz w:val="20"/>
                <w:szCs w:val="20"/>
              </w:rPr>
              <w:t xml:space="preserve">Medhiwa (connection: medhiwa_ahcs)</w:t>
            </w:r>
          </w:p>
        </w:tc>
        <w:tc>
          <w:tcPr>
            <w:tcW w:type="dxa" w:w="6300"/>
            <w:shd w:fill="F2F2F2" w:val="clear"/>
            <w:tcMar>
              <w:top w:type="dxa" w:w="80"/>
              <w:left w:type="dxa" w:w="100"/>
              <w:bottom w:type="dxa" w:w="80"/>
              <w:right w:type="dxa" w:w="100"/>
            </w:tcMar>
          </w:tcPr>
          <w:p>
            <w:r>
              <w:rPr>
                <w:b w:val="false"/>
                <w:bCs w:val="false"/>
                <w:sz w:val="20"/>
                <w:szCs w:val="20"/>
              </w:rPr>
              <w:t xml:space="preserve">Companion clinic-operations database — specialities, visit types, locations, provider/company mappings, appointment durations.</w:t>
            </w:r>
          </w:p>
        </w:tc>
      </w:tr>
      <w:tr>
        <w:tc>
          <w:tcPr>
            <w:tcW w:type="dxa" w:w="3200"/>
            <w:tcMar>
              <w:top w:type="dxa" w:w="80"/>
              <w:left w:type="dxa" w:w="100"/>
              <w:bottom w:type="dxa" w:w="80"/>
              <w:right w:type="dxa" w:w="100"/>
            </w:tcMar>
          </w:tcPr>
          <w:p>
            <w:r>
              <w:rPr>
                <w:b w:val="false"/>
                <w:bCs w:val="false"/>
                <w:sz w:val="20"/>
                <w:szCs w:val="20"/>
              </w:rPr>
              <w:t xml:space="preserve">Physician (connection: physician)</w:t>
            </w:r>
          </w:p>
        </w:tc>
        <w:tc>
          <w:tcPr>
            <w:tcW w:type="dxa" w:w="6300"/>
            <w:tcMar>
              <w:top w:type="dxa" w:w="80"/>
              <w:left w:type="dxa" w:w="100"/>
              <w:bottom w:type="dxa" w:w="80"/>
              <w:right w:type="dxa" w:w="100"/>
            </w:tcMar>
          </w:tcPr>
          <w:p>
            <w:r>
              <w:rPr>
                <w:b w:val="false"/>
                <w:bCs w:val="false"/>
                <w:sz w:val="20"/>
                <w:szCs w:val="20"/>
              </w:rPr>
              <w:t xml:space="preserve">Provider directory and scheduling database — physicians, office addresses, weekly/monthly availability, lunch windows, specialities.</w:t>
            </w:r>
          </w:p>
        </w:tc>
      </w:tr>
      <w:tr>
        <w:tc>
          <w:tcPr>
            <w:tcW w:type="dxa" w:w="3200"/>
            <w:shd w:fill="F2F2F2" w:val="clear"/>
            <w:tcMar>
              <w:top w:type="dxa" w:w="80"/>
              <w:left w:type="dxa" w:w="100"/>
              <w:bottom w:type="dxa" w:w="80"/>
              <w:right w:type="dxa" w:w="100"/>
            </w:tcMar>
          </w:tcPr>
          <w:p>
            <w:r>
              <w:rPr>
                <w:b w:val="false"/>
                <w:bCs w:val="false"/>
                <w:sz w:val="20"/>
                <w:szCs w:val="20"/>
              </w:rPr>
              <w:t xml:space="preserve">Patient Portal — legacy (connection: patient_portal)</w:t>
            </w:r>
          </w:p>
        </w:tc>
        <w:tc>
          <w:tcPr>
            <w:tcW w:type="dxa" w:w="6300"/>
            <w:shd w:fill="F2F2F2" w:val="clear"/>
            <w:tcMar>
              <w:top w:type="dxa" w:w="80"/>
              <w:left w:type="dxa" w:w="100"/>
              <w:bottom w:type="dxa" w:w="80"/>
              <w:right w:type="dxa" w:w="100"/>
            </w:tcMar>
          </w:tcPr>
          <w:p>
            <w:r>
              <w:rPr>
                <w:b w:val="false"/>
                <w:bCs w:val="false"/>
                <w:sz w:val="20"/>
                <w:szCs w:val="20"/>
              </w:rPr>
              <w:t xml:space="preserve">The prior patient-portal system's database, used one-way for migrating legacy users and forms into the current platform.</w:t>
            </w:r>
          </w:p>
        </w:tc>
      </w:tr>
      <w:tr>
        <w:tc>
          <w:tcPr>
            <w:tcW w:type="dxa" w:w="3200"/>
            <w:tcMar>
              <w:top w:type="dxa" w:w="80"/>
              <w:left w:type="dxa" w:w="100"/>
              <w:bottom w:type="dxa" w:w="80"/>
              <w:right w:type="dxa" w:w="100"/>
            </w:tcMar>
          </w:tcPr>
          <w:p>
            <w:r>
              <w:rPr>
                <w:b w:val="false"/>
                <w:bCs w:val="false"/>
                <w:sz w:val="20"/>
                <w:szCs w:val="20"/>
              </w:rPr>
              <w:t xml:space="preserve">AdvancedMD (AMD)</w:t>
            </w:r>
          </w:p>
        </w:tc>
        <w:tc>
          <w:tcPr>
            <w:tcW w:type="dxa" w:w="6300"/>
            <w:tcMar>
              <w:top w:type="dxa" w:w="80"/>
              <w:left w:type="dxa" w:w="100"/>
              <w:bottom w:type="dxa" w:w="80"/>
              <w:right w:type="dxa" w:w="100"/>
            </w:tcMar>
          </w:tcPr>
          <w:p>
            <w:r>
              <w:rPr>
                <w:b w:val="false"/>
                <w:bCs w:val="false"/>
                <w:sz w:val="20"/>
                <w:szCs w:val="20"/>
              </w:rPr>
              <w:t xml:space="preserve">External practice-management/EHR system reached over HTTP with token auth — used to sync clinical notes and patient demographics.</w:t>
            </w:r>
          </w:p>
        </w:tc>
      </w:tr>
      <w:tr>
        <w:tc>
          <w:tcPr>
            <w:tcW w:type="dxa" w:w="3200"/>
            <w:shd w:fill="F2F2F2" w:val="clear"/>
            <w:tcMar>
              <w:top w:type="dxa" w:w="80"/>
              <w:left w:type="dxa" w:w="100"/>
              <w:bottom w:type="dxa" w:w="80"/>
              <w:right w:type="dxa" w:w="100"/>
            </w:tcMar>
          </w:tcPr>
          <w:p>
            <w:r>
              <w:rPr>
                <w:b w:val="false"/>
                <w:bCs w:val="false"/>
                <w:sz w:val="20"/>
                <w:szCs w:val="20"/>
              </w:rPr>
              <w:t xml:space="preserve">"App Server" (LAN)</w:t>
            </w:r>
          </w:p>
        </w:tc>
        <w:tc>
          <w:tcPr>
            <w:tcW w:type="dxa" w:w="6300"/>
            <w:shd w:fill="F2F2F2" w:val="clear"/>
            <w:tcMar>
              <w:top w:type="dxa" w:w="80"/>
              <w:left w:type="dxa" w:w="100"/>
              <w:bottom w:type="dxa" w:w="80"/>
              <w:right w:type="dxa" w:w="100"/>
            </w:tcMar>
          </w:tcPr>
          <w:p>
            <w:r>
              <w:rPr>
                <w:b w:val="false"/>
                <w:bCs w:val="false"/>
                <w:sz w:val="20"/>
                <w:szCs w:val="20"/>
              </w:rPr>
              <w:t xml:space="preserve">An internal clinical application server, proxied for appointment scheduling, transport, pre-authorization, clinical documents, and file/WebDAV storage.</w:t>
            </w:r>
          </w:p>
        </w:tc>
      </w:tr>
      <w:tr>
        <w:tc>
          <w:tcPr>
            <w:tcW w:type="dxa" w:w="3200"/>
            <w:tcMar>
              <w:top w:type="dxa" w:w="80"/>
              <w:left w:type="dxa" w:w="100"/>
              <w:bottom w:type="dxa" w:w="80"/>
              <w:right w:type="dxa" w:w="100"/>
            </w:tcMar>
          </w:tcPr>
          <w:p>
            <w:r>
              <w:rPr>
                <w:b w:val="false"/>
                <w:bCs w:val="false"/>
                <w:sz w:val="20"/>
                <w:szCs w:val="20"/>
              </w:rPr>
              <w:t xml:space="preserve">Twilio</w:t>
            </w:r>
          </w:p>
        </w:tc>
        <w:tc>
          <w:tcPr>
            <w:tcW w:type="dxa" w:w="6300"/>
            <w:tcMar>
              <w:top w:type="dxa" w:w="80"/>
              <w:left w:type="dxa" w:w="100"/>
              <w:bottom w:type="dxa" w:w="80"/>
              <w:right w:type="dxa" w:w="100"/>
            </w:tcMar>
          </w:tcPr>
          <w:p>
            <w:r>
              <w:rPr>
                <w:b w:val="false"/>
                <w:bCs w:val="false"/>
                <w:sz w:val="20"/>
                <w:szCs w:val="20"/>
              </w:rPr>
              <w:t xml:space="preserve">SMS delivery for password-reset codes and funnel-assignment text messages.</w:t>
            </w:r>
          </w:p>
        </w:tc>
      </w:tr>
      <w:tr>
        <w:tc>
          <w:tcPr>
            <w:tcW w:type="dxa" w:w="3200"/>
            <w:shd w:fill="F2F2F2" w:val="clear"/>
            <w:tcMar>
              <w:top w:type="dxa" w:w="80"/>
              <w:left w:type="dxa" w:w="100"/>
              <w:bottom w:type="dxa" w:w="80"/>
              <w:right w:type="dxa" w:w="100"/>
            </w:tcMar>
          </w:tcPr>
          <w:p>
            <w:r>
              <w:rPr>
                <w:b w:val="false"/>
                <w:bCs w:val="false"/>
                <w:sz w:val="20"/>
                <w:szCs w:val="20"/>
              </w:rPr>
              <w:t xml:space="preserve">SMTP / Mailgun / Postmark / SES</w:t>
            </w:r>
          </w:p>
        </w:tc>
        <w:tc>
          <w:tcPr>
            <w:tcW w:type="dxa" w:w="6300"/>
            <w:shd w:fill="F2F2F2" w:val="clear"/>
            <w:tcMar>
              <w:top w:type="dxa" w:w="80"/>
              <w:left w:type="dxa" w:w="100"/>
              <w:bottom w:type="dxa" w:w="80"/>
              <w:right w:type="dxa" w:w="100"/>
            </w:tcMar>
          </w:tcPr>
          <w:p>
            <w:r>
              <w:rPr>
                <w:b w:val="false"/>
                <w:bCs w:val="false"/>
                <w:sz w:val="20"/>
                <w:szCs w:val="20"/>
              </w:rPr>
              <w:t xml:space="preserve">Outbound transactional email (password reset, funnel assignment, proxy invitations).</w:t>
            </w:r>
          </w:p>
        </w:tc>
      </w:tr>
    </w:tbl>
    <w:p>
      <w:pPr>
        <w:spacing w:after="120"/>
      </w:pPr>
    </w:p>
    <w:p>
      <w:pPr>
        <w:pStyle w:val="Heading2"/>
        <w:spacing w:after="120" w:before="260"/>
      </w:pPr>
      <w:r>
        <w:t xml:space="preserve">1.2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val="clear"/>
            <w:tcMar>
              <w:top w:type="dxa" w:w="80"/>
              <w:left w:type="dxa" w:w="100"/>
              <w:bottom w:type="dxa" w:w="80"/>
              <w:right w:type="dxa" w:w="100"/>
            </w:tcMar>
          </w:tcPr>
          <w:p>
            <w:r>
              <w:rPr>
                <w:b/>
                <w:bCs/>
                <w:color w:val="FFFFFF"/>
                <w:sz w:val="20"/>
                <w:szCs w:val="20"/>
              </w:rPr>
              <w:t xml:space="preserve">Component</w:t>
            </w:r>
          </w:p>
        </w:tc>
        <w:tc>
          <w:tcPr>
            <w:tcW w:type="dxa" w:w="6300"/>
            <w:shd w:fill="1F4E79" w:val="clear"/>
            <w:tcMar>
              <w:top w:type="dxa" w:w="80"/>
              <w:left w:type="dxa" w:w="100"/>
              <w:bottom w:type="dxa" w:w="80"/>
              <w:right w:type="dxa" w:w="100"/>
            </w:tcMar>
          </w:tcPr>
          <w:p>
            <w:r>
              <w:rPr>
                <w:b/>
                <w:bCs/>
                <w:color w:val="FFFFFF"/>
                <w:sz w:val="20"/>
                <w:szCs w:val="20"/>
              </w:rPr>
              <w:t xml:space="preserve">Technology</w:t>
            </w:r>
          </w:p>
        </w:tc>
      </w:tr>
      <w:tr>
        <w:tc>
          <w:tcPr>
            <w:tcW w:type="dxa" w:w="3200"/>
            <w:tcMar>
              <w:top w:type="dxa" w:w="80"/>
              <w:left w:type="dxa" w:w="100"/>
              <w:bottom w:type="dxa" w:w="80"/>
              <w:right w:type="dxa" w:w="100"/>
            </w:tcMar>
          </w:tcPr>
          <w:p>
            <w:r>
              <w:rPr>
                <w:b w:val="false"/>
                <w:bCs w:val="false"/>
                <w:sz w:val="20"/>
                <w:szCs w:val="20"/>
              </w:rPr>
              <w:t xml:space="preserve">Framework</w:t>
            </w:r>
          </w:p>
        </w:tc>
        <w:tc>
          <w:tcPr>
            <w:tcW w:type="dxa" w:w="6300"/>
            <w:tcMar>
              <w:top w:type="dxa" w:w="80"/>
              <w:left w:type="dxa" w:w="100"/>
              <w:bottom w:type="dxa" w:w="80"/>
              <w:right w:type="dxa" w:w="100"/>
            </w:tcMar>
          </w:tcPr>
          <w:p>
            <w:r>
              <w:rPr>
                <w:b w:val="false"/>
                <w:bCs w:val="false"/>
                <w:sz w:val="20"/>
                <w:szCs w:val="20"/>
              </w:rPr>
              <w:t xml:space="preserve">Laravel 10 (PHP ^8.1)</w:t>
            </w:r>
          </w:p>
        </w:tc>
      </w:tr>
      <w:tr>
        <w:tc>
          <w:tcPr>
            <w:tcW w:type="dxa" w:w="3200"/>
            <w:shd w:fill="F2F2F2" w:val="clear"/>
            <w:tcMar>
              <w:top w:type="dxa" w:w="80"/>
              <w:left w:type="dxa" w:w="100"/>
              <w:bottom w:type="dxa" w:w="80"/>
              <w:right w:type="dxa" w:w="100"/>
            </w:tcMar>
          </w:tcPr>
          <w:p>
            <w:r>
              <w:rPr>
                <w:b w:val="false"/>
                <w:bCs w:val="false"/>
                <w:sz w:val="20"/>
                <w:szCs w:val="20"/>
              </w:rPr>
              <w:t xml:space="preserve">Patient-facing API auth</w:t>
            </w:r>
          </w:p>
        </w:tc>
        <w:tc>
          <w:tcPr>
            <w:tcW w:type="dxa" w:w="6300"/>
            <w:shd w:fill="F2F2F2" w:val="clear"/>
            <w:tcMar>
              <w:top w:type="dxa" w:w="80"/>
              <w:left w:type="dxa" w:w="100"/>
              <w:bottom w:type="dxa" w:w="80"/>
              <w:right w:type="dxa" w:w="100"/>
            </w:tcMar>
          </w:tcPr>
          <w:p>
            <w:r>
              <w:rPr>
                <w:b w:val="false"/>
                <w:bCs w:val="false"/>
                <w:sz w:val="20"/>
                <w:szCs w:val="20"/>
              </w:rPr>
              <w:t xml:space="preserve">tymon/jwt-auth (JWT bearer tokens)</w:t>
            </w:r>
          </w:p>
        </w:tc>
      </w:tr>
      <w:tr>
        <w:tc>
          <w:tcPr>
            <w:tcW w:type="dxa" w:w="3200"/>
            <w:tcMar>
              <w:top w:type="dxa" w:w="80"/>
              <w:left w:type="dxa" w:w="100"/>
              <w:bottom w:type="dxa" w:w="80"/>
              <w:right w:type="dxa" w:w="100"/>
            </w:tcMar>
          </w:tcPr>
          <w:p>
            <w:r>
              <w:rPr>
                <w:b w:val="false"/>
                <w:bCs w:val="false"/>
                <w:sz w:val="20"/>
                <w:szCs w:val="20"/>
              </w:rPr>
              <w:t xml:space="preserve">Admin panel auth</w:t>
            </w:r>
          </w:p>
        </w:tc>
        <w:tc>
          <w:tcPr>
            <w:tcW w:type="dxa" w:w="6300"/>
            <w:tcMar>
              <w:top w:type="dxa" w:w="80"/>
              <w:left w:type="dxa" w:w="100"/>
              <w:bottom w:type="dxa" w:w="80"/>
              <w:right w:type="dxa" w:w="100"/>
            </w:tcMar>
          </w:tcPr>
          <w:p>
            <w:r>
              <w:rPr>
                <w:b w:val="false"/>
                <w:bCs w:val="false"/>
                <w:sz w:val="20"/>
                <w:szCs w:val="20"/>
              </w:rPr>
              <w:t xml:space="preserve">Laravel session auth (Auth::attempt), Blade views</w:t>
            </w:r>
          </w:p>
        </w:tc>
      </w:tr>
      <w:tr>
        <w:tc>
          <w:tcPr>
            <w:tcW w:type="dxa" w:w="3200"/>
            <w:shd w:fill="F2F2F2" w:val="clear"/>
            <w:tcMar>
              <w:top w:type="dxa" w:w="80"/>
              <w:left w:type="dxa" w:w="100"/>
              <w:bottom w:type="dxa" w:w="80"/>
              <w:right w:type="dxa" w:w="100"/>
            </w:tcMar>
          </w:tcPr>
          <w:p>
            <w:r>
              <w:rPr>
                <w:b w:val="false"/>
                <w:bCs w:val="false"/>
                <w:sz w:val="20"/>
                <w:szCs w:val="20"/>
              </w:rPr>
              <w:t xml:space="preserve">PDF generation</w:t>
            </w:r>
          </w:p>
        </w:tc>
        <w:tc>
          <w:tcPr>
            <w:tcW w:type="dxa" w:w="6300"/>
            <w:shd w:fill="F2F2F2" w:val="clear"/>
            <w:tcMar>
              <w:top w:type="dxa" w:w="80"/>
              <w:left w:type="dxa" w:w="100"/>
              <w:bottom w:type="dxa" w:w="80"/>
              <w:right w:type="dxa" w:w="100"/>
            </w:tcMar>
          </w:tcPr>
          <w:p>
            <w:r>
              <w:rPr>
                <w:b w:val="false"/>
                <w:bCs w:val="false"/>
                <w:sz w:val="20"/>
                <w:szCs w:val="20"/>
              </w:rPr>
              <w:t xml:space="preserve">dompdf/dompdf (form-submission PDFs, clinical note summaries)</w:t>
            </w:r>
          </w:p>
        </w:tc>
      </w:tr>
      <w:tr>
        <w:tc>
          <w:tcPr>
            <w:tcW w:type="dxa" w:w="3200"/>
            <w:tcMar>
              <w:top w:type="dxa" w:w="80"/>
              <w:left w:type="dxa" w:w="100"/>
              <w:bottom w:type="dxa" w:w="80"/>
              <w:right w:type="dxa" w:w="100"/>
            </w:tcMar>
          </w:tcPr>
          <w:p>
            <w:r>
              <w:rPr>
                <w:b w:val="false"/>
                <w:bCs w:val="false"/>
                <w:sz w:val="20"/>
                <w:szCs w:val="20"/>
              </w:rPr>
              <w:t xml:space="preserve">HTTP client</w:t>
            </w:r>
          </w:p>
        </w:tc>
        <w:tc>
          <w:tcPr>
            <w:tcW w:type="dxa" w:w="6300"/>
            <w:tcMar>
              <w:top w:type="dxa" w:w="80"/>
              <w:left w:type="dxa" w:w="100"/>
              <w:bottom w:type="dxa" w:w="80"/>
              <w:right w:type="dxa" w:w="100"/>
            </w:tcMar>
          </w:tcPr>
          <w:p>
            <w:r>
              <w:rPr>
                <w:b w:val="false"/>
                <w:bCs w:val="false"/>
                <w:sz w:val="20"/>
                <w:szCs w:val="20"/>
              </w:rPr>
              <w:t xml:space="preserve">guzzlehttp/guzzle / Laravel HTTP facade (AMD, App Server, Twilio calls)</w:t>
            </w:r>
          </w:p>
        </w:tc>
      </w:tr>
      <w:tr>
        <w:tc>
          <w:tcPr>
            <w:tcW w:type="dxa" w:w="3200"/>
            <w:shd w:fill="F2F2F2" w:val="clear"/>
            <w:tcMar>
              <w:top w:type="dxa" w:w="80"/>
              <w:left w:type="dxa" w:w="100"/>
              <w:bottom w:type="dxa" w:w="80"/>
              <w:right w:type="dxa" w:w="100"/>
            </w:tcMar>
          </w:tcPr>
          <w:p>
            <w:r>
              <w:rPr>
                <w:b w:val="false"/>
                <w:bCs w:val="false"/>
                <w:sz w:val="20"/>
                <w:szCs w:val="20"/>
              </w:rPr>
              <w:t xml:space="preserve">Databases</w:t>
            </w:r>
          </w:p>
        </w:tc>
        <w:tc>
          <w:tcPr>
            <w:tcW w:type="dxa" w:w="6300"/>
            <w:shd w:fill="F2F2F2" w:val="clear"/>
            <w:tcMar>
              <w:top w:type="dxa" w:w="80"/>
              <w:left w:type="dxa" w:w="100"/>
              <w:bottom w:type="dxa" w:w="80"/>
              <w:right w:type="dxa" w:w="100"/>
            </w:tcMar>
          </w:tcPr>
          <w:p>
            <w:r>
              <w:rPr>
                <w:b w:val="false"/>
                <w:bCs w:val="false"/>
                <w:sz w:val="20"/>
                <w:szCs w:val="20"/>
              </w:rPr>
              <w:t xml:space="preserve">MySQL — default app connection + ahcs, medhiwa_ahcs, physician, patient_portal connections</w:t>
            </w:r>
          </w:p>
        </w:tc>
      </w:tr>
    </w:tbl>
    <w:p>
      <w:pPr>
        <w:pStyle w:val="Heading1"/>
        <w:spacing w:after="160" w:before="360"/>
      </w:pPr>
      <w:r>
        <w:t xml:space="preserve">2. Authentication &amp; User Management</w:t>
      </w:r>
    </w:p>
    <w:p>
      <w:pPr>
        <w:spacing w:after="140"/>
      </w:pPr>
      <w:r>
        <w:t xml:space="preserve">Three separate authentication surfaces exist side by side, reflecting the app's dual admin-panel / patient-API nature.</w:t>
      </w:r>
    </w:p>
    <w:p>
      <w:pPr>
        <w:pStyle w:val="Heading2"/>
        <w:spacing w:after="120" w:before="260"/>
      </w:pPr>
      <w:r>
        <w:t xml:space="preserve">2.1 Web / Session Authentication (Admin Panel)</w:t>
      </w:r>
    </w:p>
    <w:p>
      <w:pPr>
        <w:spacing w:after="140"/>
      </w:pPr>
      <w:r>
        <w:t xml:space="preserve">Handled by app/Http/Controllers/Auth/LoginController.php and RegisterController.php using standard Laravel session auth.</w:t>
      </w:r>
    </w:p>
    <w:p>
      <w:pPr>
        <w:pStyle w:val="ListParagraph"/>
        <w:numPr>
          <w:ilvl w:val="0"/>
          <w:numId w:val="1"/>
        </w:numPr>
        <w:spacing w:after="80"/>
      </w:pPr>
      <w:r>
        <w:t xml:space="preserve">Pending funnel resolution — if a visitor clicked a public funnel share-link before logging in, the funnel slug is stashed in session and automatically assigned to the user right after login.</w:t>
      </w:r>
    </w:p>
    <w:p>
      <w:pPr>
        <w:pStyle w:val="ListParagraph"/>
        <w:numPr>
          <w:ilvl w:val="0"/>
          <w:numId w:val="1"/>
        </w:numPr>
        <w:spacing w:after="80"/>
      </w:pPr>
      <w:r>
        <w:t xml:space="preserve">Passwordless SSO (directLogin) — finds or creates a User (role forced to Admin), then issues a temporary signed URL (1-minute expiry) that logs the browser into the web session without a password.</w:t>
      </w:r>
    </w:p>
    <w:p>
      <w:pPr>
        <w:pStyle w:val="ListParagraph"/>
        <w:numPr>
          <w:ilvl w:val="0"/>
          <w:numId w:val="1"/>
        </w:numPr>
        <w:spacing w:after="80"/>
      </w:pPr>
      <w:r>
        <w:t xml:space="preserve">Self-registration always creates the admin role.</w:t>
      </w:r>
    </w:p>
    <w:p>
      <w:pPr>
        <w:pStyle w:val="Heading2"/>
        <w:spacing w:after="120" w:before="260"/>
      </w:pPr>
      <w:r>
        <w:t xml:space="preserve">2.2 JWT API Authentication (Patient-Facing)</w:t>
      </w:r>
    </w:p>
    <w:p>
      <w:pPr>
        <w:spacing w:after="140"/>
      </w:pPr>
      <w:r>
        <w:t xml:space="preserve">Handled by app/Http/Controllers/Api/Auth/AuthApiController.php, DirectEmailLoginController.php and PasswordResetApiController.php.</w:t>
      </w:r>
    </w:p>
    <w:p>
      <w:pPr>
        <w:pStyle w:val="Heading3"/>
        <w:spacing w:after="100" w:before="200"/>
      </w:pPr>
      <w:r>
        <w:t xml:space="preserve">Login (POST /api/login)</w:t>
      </w:r>
    </w:p>
    <w:p>
      <w:pPr>
        <w:pStyle w:val="ListParagraph"/>
        <w:numPr>
          <w:ilvl w:val="0"/>
          <w:numId w:val="1"/>
        </w:numPr>
        <w:spacing w:after="80"/>
      </w:pPr>
      <w:r>
        <w:t xml:space="preserve">Blocks login for a proxy account that has no active ProxyAccess grant.</w:t>
      </w:r>
    </w:p>
    <w:p>
      <w:pPr>
        <w:pStyle w:val="ListParagraph"/>
        <w:numPr>
          <w:ilvl w:val="0"/>
          <w:numId w:val="1"/>
        </w:numPr>
        <w:spacing w:after="80"/>
      </w:pPr>
      <w:r>
        <w:t xml:space="preserve">Blocks login if every AHCS patient record linked to the user is soft-deleted.</w:t>
      </w:r>
    </w:p>
    <w:p>
      <w:pPr>
        <w:pStyle w:val="ListParagraph"/>
        <w:numPr>
          <w:ilvl w:val="0"/>
          <w:numId w:val="1"/>
        </w:numPr>
        <w:spacing w:after="80"/>
      </w:pPr>
      <w:r>
        <w:t xml:space="preserve">Enforces email/patient ownership — a non-proxy user may only log in if their login email matches the linked AhcsPatient record's email, preventing cross-patient data exposure from bad patient_id mappings.</w:t>
      </w:r>
    </w:p>
    <w:p>
      <w:pPr>
        <w:pStyle w:val="ListParagraph"/>
        <w:numPr>
          <w:ilvl w:val="0"/>
          <w:numId w:val="1"/>
        </w:numPr>
        <w:spacing w:after="80"/>
      </w:pPr>
      <w:r>
        <w:t xml:space="preserve">Creates a UserSession row (JWT id, token, IP, user agent, active flag). Multiple simultaneous device sessions are intentionally allowed.</w:t>
      </w:r>
    </w:p>
    <w:p>
      <w:pPr>
        <w:pStyle w:val="ListParagraph"/>
        <w:numPr>
          <w:ilvl w:val="0"/>
          <w:numId w:val="1"/>
        </w:numPr>
        <w:spacing w:after="80"/>
      </w:pPr>
      <w:r>
        <w:t xml:space="preserve">refreshToken reissues a JWT scoped to a specific case_id, embedding fresh AhcsPatient details into custom JWT claims.</w:t>
      </w:r>
    </w:p>
    <w:p>
      <w:pPr>
        <w:pStyle w:val="Heading3"/>
        <w:spacing w:after="100" w:before="200"/>
      </w:pPr>
      <w:r>
        <w:t xml:space="preserve">Passwordless internal login (POST /api/login-by-email)</w:t>
      </w:r>
    </w:p>
    <w:p>
      <w:pPr>
        <w:spacing w:after="140"/>
      </w:pPr>
      <w:r>
        <w:t xml:space="preserve">Gated by a shared-secret header (VerifyInternalApiKey middleware) for server-to-server SSO scenarios; issues the same JWT + UserSession flow as normal login.</w:t>
      </w:r>
    </w:p>
    <w:p>
      <w:pPr>
        <w:pStyle w:val="Heading3"/>
        <w:spacing w:after="100" w:before="200"/>
      </w:pPr>
      <w:r>
        <w:t xml:space="preserve">Password reset</w:t>
      </w:r>
    </w:p>
    <w:p>
      <w:pPr>
        <w:pStyle w:val="ListParagraph"/>
        <w:numPr>
          <w:ilvl w:val="0"/>
          <w:numId w:val="1"/>
        </w:numPr>
        <w:spacing w:after="80"/>
      </w:pPr>
      <w:r>
        <w:t xml:space="preserve">Two channels: email (/password/forgot) and SMS via Twilio (/password/forgot-phone).</w:t>
      </w:r>
    </w:p>
    <w:p>
      <w:pPr>
        <w:pStyle w:val="ListParagraph"/>
        <w:numPr>
          <w:ilvl w:val="0"/>
          <w:numId w:val="1"/>
        </w:numPr>
        <w:spacing w:after="80"/>
      </w:pPr>
      <w:r>
        <w:t xml:space="preserve">Anti-enumeration — identical response whether or not the email/phone matches an account.</w:t>
      </w:r>
    </w:p>
    <w:p>
      <w:pPr>
        <w:pStyle w:val="ListParagraph"/>
        <w:numPr>
          <w:ilvl w:val="0"/>
          <w:numId w:val="1"/>
        </w:numPr>
        <w:spacing w:after="80"/>
      </w:pPr>
      <w:r>
        <w:t xml:space="preserve">Rate limited (3 attempts / 90s for the forgot step, 5 attempts / 90s for reset/validate).</w:t>
      </w:r>
    </w:p>
    <w:p>
      <w:pPr>
        <w:pStyle w:val="ListParagraph"/>
        <w:numPr>
          <w:ilvl w:val="0"/>
          <w:numId w:val="1"/>
        </w:numPr>
        <w:spacing w:after="80"/>
      </w:pPr>
      <w:r>
        <w:t xml:space="preserve">Reset tokens are 64-byte random strings, stored bcrypt-hashed, single use, and time-limited.</w:t>
      </w:r>
    </w:p>
    <w:p>
      <w:pPr>
        <w:pStyle w:val="ListParagraph"/>
        <w:numPr>
          <w:ilvl w:val="0"/>
          <w:numId w:val="1"/>
        </w:numPr>
        <w:spacing w:after="80"/>
      </w:pPr>
      <w:r>
        <w:t xml:space="preserve">A successful reset deactivates every active UserSession for that user, forcing re-login on all devices, and blocks re-using the previous password.</w:t>
      </w:r>
    </w:p>
    <w:p>
      <w:pPr>
        <w:pStyle w:val="Heading2"/>
        <w:spacing w:after="120" w:before="260"/>
      </w:pPr>
      <w:r>
        <w:t xml:space="preserve">2.3 User Model &amp; Roles</w:t>
      </w:r>
    </w:p>
    <w:p>
      <w:pPr>
        <w:pStyle w:val="ListParagraph"/>
        <w:numPr>
          <w:ilvl w:val="0"/>
          <w:numId w:val="1"/>
        </w:numPr>
        <w:spacing w:after="80"/>
      </w:pPr>
      <w:r>
        <w:t xml:space="preserve">Roles: admin / Admin, super_admin, User / user (patient), plus a boolean is_proxy_account flag for caregiver logins.</w:t>
      </w:r>
    </w:p>
    <w:p>
      <w:pPr>
        <w:pStyle w:val="ListParagraph"/>
        <w:numPr>
          <w:ilvl w:val="0"/>
          <w:numId w:val="1"/>
        </w:numPr>
        <w:spacing w:after="80"/>
      </w:pPr>
      <w:r>
        <w:t xml:space="preserve">patient_id is stored as a JSON array of AHCS patient IDs, so one login can represent multiple linked patient records (e.g. a parent managing several children's accounts), with legacy support for the older single-integer format.</w:t>
      </w:r>
    </w:p>
    <w:p>
      <w:pPr>
        <w:pStyle w:val="ListParagraph"/>
        <w:numPr>
          <w:ilvl w:val="0"/>
          <w:numId w:val="1"/>
        </w:numPr>
        <w:spacing w:after="80"/>
      </w:pPr>
      <w:r>
        <w:t xml:space="preserve">Implements JWTSubject — the JWT carries id, resolved name/email/phone, role, primary and full patient_id list, the active case_id, is_proxy_account, and (for an active proxy session) a proxy_context claim.</w:t>
      </w:r>
    </w:p>
    <w:p>
      <w:pPr>
        <w:spacing w:after="140"/>
      </w:pPr>
      <w:r>
        <w:t xml:space="preserve">UserManagementController (admin panel) provides full CRUD over User records — paginated/searchable/sortable listing with AJAX live search, create/update with role normalization, active/inactive toggle, admin-triggered password-reset email, and soft delete (an admin cannot delete their own account).</w:t>
      </w:r>
    </w:p>
    <w:p>
      <w:pPr>
        <w:pStyle w:val="Heading1"/>
        <w:spacing w:after="160" w:before="360"/>
      </w:pPr>
      <w:r>
        <w:t xml:space="preserve">3. Patient &amp; Clinical Data Integration</w:t>
      </w:r>
    </w:p>
    <w:p>
      <w:pPr>
        <w:spacing w:after="140"/>
      </w:pPr>
      <w:r>
        <w:t xml:space="preserve">Almost all clinical data is read — and selectively written back — from the external AHCS / Medhiwa / Physician databases and AdvancedMD, rather than being owned by this application's own schema.</w:t>
      </w:r>
    </w:p>
    <w:p>
      <w:pPr>
        <w:pStyle w:val="Heading2"/>
        <w:spacing w:after="120" w:before="260"/>
      </w:pPr>
      <w:r>
        <w:t xml:space="preserve">3.1 Key External Models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400"/>
      </w:tblGrid>
      <w:tr>
        <w:trPr>
          <w:tblHeader/>
        </w:trPr>
        <w:tc>
          <w:tcPr>
            <w:tcW w:type="dxa" w:w="2600"/>
            <w:shd w:fill="1F4E79" w:val="clear"/>
            <w:tcMar>
              <w:top w:type="dxa" w:w="80"/>
              <w:left w:type="dxa" w:w="100"/>
              <w:bottom w:type="dxa" w:w="80"/>
              <w:right w:type="dxa" w:w="100"/>
            </w:tcMar>
          </w:tcPr>
          <w:p>
            <w:r>
              <w:rPr>
                <w:b/>
                <w:bCs/>
                <w:color w:val="FFFFFF"/>
                <w:sz w:val="20"/>
                <w:szCs w:val="20"/>
              </w:rPr>
              <w:t xml:space="preserve">Model</w:t>
            </w:r>
          </w:p>
        </w:tc>
        <w:tc>
          <w:tcPr>
            <w:tcW w:type="dxa" w:w="1500"/>
            <w:shd w:fill="1F4E79" w:val="clear"/>
            <w:tcMar>
              <w:top w:type="dxa" w:w="80"/>
              <w:left w:type="dxa" w:w="100"/>
              <w:bottom w:type="dxa" w:w="80"/>
              <w:right w:type="dxa" w:w="100"/>
            </w:tcMar>
          </w:tcPr>
          <w:p>
            <w:r>
              <w:rPr>
                <w:b/>
                <w:bCs/>
                <w:color w:val="FFFFFF"/>
                <w:sz w:val="20"/>
                <w:szCs w:val="20"/>
              </w:rPr>
              <w:t xml:space="preserve">Connection</w:t>
            </w:r>
          </w:p>
        </w:tc>
        <w:tc>
          <w:tcPr>
            <w:tcW w:type="dxa" w:w="5400"/>
            <w:shd w:fill="1F4E79" w:val="clear"/>
            <w:tcMar>
              <w:top w:type="dxa" w:w="80"/>
              <w:left w:type="dxa" w:w="100"/>
              <w:bottom w:type="dxa" w:w="80"/>
              <w:right w:type="dxa" w:w="100"/>
            </w:tcMar>
          </w:tcPr>
          <w:p>
            <w:r>
              <w:rPr>
                <w:b/>
                <w:bCs/>
                <w:color w:val="FFFFFF"/>
                <w:sz w:val="20"/>
                <w:szCs w:val="20"/>
              </w:rPr>
              <w:t xml:space="preserve">Purpose</w:t>
            </w:r>
          </w:p>
        </w:tc>
      </w:tr>
      <w:tr>
        <w:tc>
          <w:tcPr>
            <w:tcW w:type="dxa" w:w="2600"/>
            <w:tcMar>
              <w:top w:type="dxa" w:w="80"/>
              <w:left w:type="dxa" w:w="100"/>
              <w:bottom w:type="dxa" w:w="80"/>
              <w:right w:type="dxa" w:w="100"/>
            </w:tcMar>
          </w:tcPr>
          <w:p>
            <w:r>
              <w:rPr>
                <w:b w:val="false"/>
                <w:bCs w:val="false"/>
                <w:sz w:val="20"/>
                <w:szCs w:val="20"/>
              </w:rPr>
              <w:t xml:space="preserve">AhcsPatient</w:t>
            </w:r>
          </w:p>
        </w:tc>
        <w:tc>
          <w:tcPr>
            <w:tcW w:type="dxa" w:w="1500"/>
            <w:tcMar>
              <w:top w:type="dxa" w:w="80"/>
              <w:left w:type="dxa" w:w="100"/>
              <w:bottom w:type="dxa" w:w="80"/>
              <w:right w:type="dxa" w:w="100"/>
            </w:tcMar>
          </w:tcPr>
          <w:p>
            <w:r>
              <w:rPr>
                <w:b w:val="false"/>
                <w:bCs w:val="false"/>
                <w:sz w:val="20"/>
                <w:szCs w:val="20"/>
              </w:rPr>
              <w:t xml:space="preserve">ahcs</w:t>
            </w:r>
          </w:p>
        </w:tc>
        <w:tc>
          <w:tcPr>
            <w:tcW w:type="dxa" w:w="5400"/>
            <w:tcMar>
              <w:top w:type="dxa" w:w="80"/>
              <w:left w:type="dxa" w:w="100"/>
              <w:bottom w:type="dxa" w:w="80"/>
              <w:right w:type="dxa" w:w="100"/>
            </w:tcMar>
          </w:tcPr>
          <w:p>
            <w:r>
              <w:rPr>
                <w:b w:val="false"/>
                <w:bCs w:val="false"/>
                <w:sz w:val="20"/>
                <w:szCs w:val="20"/>
              </w:rPr>
              <w:t xml:space="preserve">Patient demographics (name, DOB, email, address, phone). Soft-deletable.</w:t>
            </w:r>
          </w:p>
        </w:tc>
      </w:tr>
      <w:tr>
        <w:tc>
          <w:tcPr>
            <w:tcW w:type="dxa" w:w="2600"/>
            <w:shd w:fill="F2F2F2" w:val="clear"/>
            <w:tcMar>
              <w:top w:type="dxa" w:w="80"/>
              <w:left w:type="dxa" w:w="100"/>
              <w:bottom w:type="dxa" w:w="80"/>
              <w:right w:type="dxa" w:w="100"/>
            </w:tcMar>
          </w:tcPr>
          <w:p>
            <w:r>
              <w:rPr>
                <w:b w:val="false"/>
                <w:bCs w:val="false"/>
                <w:sz w:val="20"/>
                <w:szCs w:val="20"/>
              </w:rPr>
              <w:t xml:space="preserve">AhcsCase</w:t>
            </w:r>
          </w:p>
        </w:tc>
        <w:tc>
          <w:tcPr>
            <w:tcW w:type="dxa" w:w="1500"/>
            <w:shd w:fill="F2F2F2" w:val="clear"/>
            <w:tcMar>
              <w:top w:type="dxa" w:w="80"/>
              <w:left w:type="dxa" w:w="100"/>
              <w:bottom w:type="dxa" w:w="80"/>
              <w:right w:type="dxa" w:w="100"/>
            </w:tcMar>
          </w:tcPr>
          <w:p>
            <w:r>
              <w:rPr>
                <w:b w:val="false"/>
                <w:bCs w:val="false"/>
                <w:sz w:val="20"/>
                <w:szCs w:val="20"/>
              </w:rPr>
              <w:t xml:space="preserve">ahcs</w:t>
            </w:r>
          </w:p>
        </w:tc>
        <w:tc>
          <w:tcPr>
            <w:tcW w:type="dxa" w:w="5400"/>
            <w:shd w:fill="F2F2F2" w:val="clear"/>
            <w:tcMar>
              <w:top w:type="dxa" w:w="80"/>
              <w:left w:type="dxa" w:w="100"/>
              <w:bottom w:type="dxa" w:w="80"/>
              <w:right w:type="dxa" w:w="100"/>
            </w:tcMar>
          </w:tcPr>
          <w:p>
            <w:r>
              <w:rPr>
                <w:b w:val="false"/>
                <w:bCs w:val="false"/>
                <w:sz w:val="20"/>
                <w:szCs w:val="20"/>
              </w:rPr>
              <w:t xml:space="preserve">A patient's case/claim — the central authorization anchor. Nearly every API call validates the requested case_id belongs to the caller before returning any data.</w:t>
            </w:r>
          </w:p>
        </w:tc>
      </w:tr>
      <w:tr>
        <w:tc>
          <w:tcPr>
            <w:tcW w:type="dxa" w:w="2600"/>
            <w:tcMar>
              <w:top w:type="dxa" w:w="80"/>
              <w:left w:type="dxa" w:w="100"/>
              <w:bottom w:type="dxa" w:w="80"/>
              <w:right w:type="dxa" w:w="100"/>
            </w:tcMar>
          </w:tcPr>
          <w:p>
            <w:r>
              <w:rPr>
                <w:b w:val="false"/>
                <w:bCs w:val="false"/>
                <w:sz w:val="20"/>
                <w:szCs w:val="20"/>
              </w:rPr>
              <w:t xml:space="preserve">AhcsIntake</w:t>
            </w:r>
          </w:p>
        </w:tc>
        <w:tc>
          <w:tcPr>
            <w:tcW w:type="dxa" w:w="1500"/>
            <w:tcMar>
              <w:top w:type="dxa" w:w="80"/>
              <w:left w:type="dxa" w:w="100"/>
              <w:bottom w:type="dxa" w:w="80"/>
              <w:right w:type="dxa" w:w="100"/>
            </w:tcMar>
          </w:tcPr>
          <w:p>
            <w:r>
              <w:rPr>
                <w:b w:val="false"/>
                <w:bCs w:val="false"/>
                <w:sz w:val="20"/>
                <w:szCs w:val="20"/>
              </w:rPr>
              <w:t xml:space="preserve">ahcs</w:t>
            </w:r>
          </w:p>
        </w:tc>
        <w:tc>
          <w:tcPr>
            <w:tcW w:type="dxa" w:w="5400"/>
            <w:tcMar>
              <w:top w:type="dxa" w:w="80"/>
              <w:left w:type="dxa" w:w="100"/>
              <w:bottom w:type="dxa" w:w="80"/>
              <w:right w:type="dxa" w:w="100"/>
            </w:tcMar>
          </w:tcPr>
          <w:p>
            <w:r>
              <w:rPr>
                <w:b w:val="false"/>
                <w:bCs w:val="false"/>
                <w:sz w:val="20"/>
                <w:szCs w:val="20"/>
              </w:rPr>
              <w:t xml:space="preserve">Intake/referral information, including insurance-type fallback.</w:t>
            </w:r>
          </w:p>
        </w:tc>
      </w:tr>
      <w:tr>
        <w:tc>
          <w:tcPr>
            <w:tcW w:type="dxa" w:w="2600"/>
            <w:shd w:fill="F2F2F2" w:val="clear"/>
            <w:tcMar>
              <w:top w:type="dxa" w:w="80"/>
              <w:left w:type="dxa" w:w="100"/>
              <w:bottom w:type="dxa" w:w="80"/>
              <w:right w:type="dxa" w:w="100"/>
            </w:tcMar>
          </w:tcPr>
          <w:p>
            <w:r>
              <w:rPr>
                <w:b w:val="false"/>
                <w:bCs w:val="false"/>
                <w:sz w:val="20"/>
                <w:szCs w:val="20"/>
              </w:rPr>
              <w:t xml:space="preserve">AhcsMedAuth</w:t>
            </w:r>
          </w:p>
        </w:tc>
        <w:tc>
          <w:tcPr>
            <w:tcW w:type="dxa" w:w="1500"/>
            <w:shd w:fill="F2F2F2" w:val="clear"/>
            <w:tcMar>
              <w:top w:type="dxa" w:w="80"/>
              <w:left w:type="dxa" w:w="100"/>
              <w:bottom w:type="dxa" w:w="80"/>
              <w:right w:type="dxa" w:w="100"/>
            </w:tcMar>
          </w:tcPr>
          <w:p>
            <w:r>
              <w:rPr>
                <w:b w:val="false"/>
                <w:bCs w:val="false"/>
                <w:sz w:val="20"/>
                <w:szCs w:val="20"/>
              </w:rPr>
              <w:t xml:space="preserve">ahcs</w:t>
            </w:r>
          </w:p>
        </w:tc>
        <w:tc>
          <w:tcPr>
            <w:tcW w:type="dxa" w:w="5400"/>
            <w:shd w:fill="F2F2F2" w:val="clear"/>
            <w:tcMar>
              <w:top w:type="dxa" w:w="80"/>
              <w:left w:type="dxa" w:w="100"/>
              <w:bottom w:type="dxa" w:w="80"/>
              <w:right w:type="dxa" w:w="100"/>
            </w:tcMar>
          </w:tcPr>
          <w:p>
            <w:r>
              <w:rPr>
                <w:b w:val="false"/>
                <w:bCs w:val="false"/>
                <w:sz w:val="20"/>
                <w:szCs w:val="20"/>
              </w:rPr>
              <w:t xml:space="preserve">Medical authorization records — approved session counts, service date range, status. Appointment booking is gated on an approved, non-exhausted authorization.</w:t>
            </w:r>
          </w:p>
        </w:tc>
      </w:tr>
      <w:tr>
        <w:tc>
          <w:tcPr>
            <w:tcW w:type="dxa" w:w="2600"/>
            <w:tcMar>
              <w:top w:type="dxa" w:w="80"/>
              <w:left w:type="dxa" w:w="100"/>
              <w:bottom w:type="dxa" w:w="80"/>
              <w:right w:type="dxa" w:w="100"/>
            </w:tcMar>
          </w:tcPr>
          <w:p>
            <w:r>
              <w:rPr>
                <w:b w:val="false"/>
                <w:bCs w:val="false"/>
                <w:sz w:val="20"/>
                <w:szCs w:val="20"/>
              </w:rPr>
              <w:t xml:space="preserve">AhcsWorkComp</w:t>
            </w:r>
          </w:p>
        </w:tc>
        <w:tc>
          <w:tcPr>
            <w:tcW w:type="dxa" w:w="1500"/>
            <w:tcMar>
              <w:top w:type="dxa" w:w="80"/>
              <w:left w:type="dxa" w:w="100"/>
              <w:bottom w:type="dxa" w:w="80"/>
              <w:right w:type="dxa" w:w="100"/>
            </w:tcMar>
          </w:tcPr>
          <w:p>
            <w:r>
              <w:rPr>
                <w:b w:val="false"/>
                <w:bCs w:val="false"/>
                <w:sz w:val="20"/>
                <w:szCs w:val="20"/>
              </w:rPr>
              <w:t xml:space="preserve">ahcs</w:t>
            </w:r>
          </w:p>
        </w:tc>
        <w:tc>
          <w:tcPr>
            <w:tcW w:type="dxa" w:w="5400"/>
            <w:tcMar>
              <w:top w:type="dxa" w:w="80"/>
              <w:left w:type="dxa" w:w="100"/>
              <w:bottom w:type="dxa" w:w="80"/>
              <w:right w:type="dxa" w:w="100"/>
            </w:tcMar>
          </w:tcPr>
          <w:p>
            <w:r>
              <w:rPr>
                <w:b w:val="false"/>
                <w:bCs w:val="false"/>
                <w:sz w:val="20"/>
                <w:szCs w:val="20"/>
              </w:rPr>
              <w:t xml:space="preserve">Workers' compensation case data.</w:t>
            </w:r>
          </w:p>
        </w:tc>
      </w:tr>
      <w:tr>
        <w:tc>
          <w:tcPr>
            <w:tcW w:type="dxa" w:w="2600"/>
            <w:shd w:fill="F2F2F2" w:val="clear"/>
            <w:tcMar>
              <w:top w:type="dxa" w:w="80"/>
              <w:left w:type="dxa" w:w="100"/>
              <w:bottom w:type="dxa" w:w="80"/>
              <w:right w:type="dxa" w:w="100"/>
            </w:tcMar>
          </w:tcPr>
          <w:p>
            <w:r>
              <w:rPr>
                <w:b w:val="false"/>
                <w:bCs w:val="false"/>
                <w:sz w:val="20"/>
                <w:szCs w:val="20"/>
              </w:rPr>
              <w:t xml:space="preserve">AhcsAttendance</w:t>
            </w:r>
          </w:p>
        </w:tc>
        <w:tc>
          <w:tcPr>
            <w:tcW w:type="dxa" w:w="1500"/>
            <w:shd w:fill="F2F2F2" w:val="clear"/>
            <w:tcMar>
              <w:top w:type="dxa" w:w="80"/>
              <w:left w:type="dxa" w:w="100"/>
              <w:bottom w:type="dxa" w:w="80"/>
              <w:right w:type="dxa" w:w="100"/>
            </w:tcMar>
          </w:tcPr>
          <w:p>
            <w:r>
              <w:rPr>
                <w:b w:val="false"/>
                <w:bCs w:val="false"/>
                <w:sz w:val="20"/>
                <w:szCs w:val="20"/>
              </w:rPr>
              <w:t xml:space="preserve">ahcs</w:t>
            </w:r>
          </w:p>
        </w:tc>
        <w:tc>
          <w:tcPr>
            <w:tcW w:type="dxa" w:w="5400"/>
            <w:shd w:fill="F2F2F2" w:val="clear"/>
            <w:tcMar>
              <w:top w:type="dxa" w:w="80"/>
              <w:left w:type="dxa" w:w="100"/>
              <w:bottom w:type="dxa" w:w="80"/>
              <w:right w:type="dxa" w:w="100"/>
            </w:tcMar>
          </w:tcPr>
          <w:p>
            <w:r>
              <w:rPr>
                <w:b w:val="false"/>
                <w:bCs w:val="false"/>
                <w:sz w:val="20"/>
                <w:szCs w:val="20"/>
              </w:rPr>
              <w:t xml:space="preserve">Individual appointment/attendance records, linked to a medical authorization.</w:t>
            </w:r>
          </w:p>
        </w:tc>
      </w:tr>
      <w:tr>
        <w:tc>
          <w:tcPr>
            <w:tcW w:type="dxa" w:w="2600"/>
            <w:tcMar>
              <w:top w:type="dxa" w:w="80"/>
              <w:left w:type="dxa" w:w="100"/>
              <w:bottom w:type="dxa" w:w="80"/>
              <w:right w:type="dxa" w:w="100"/>
            </w:tcMar>
          </w:tcPr>
          <w:p>
            <w:r>
              <w:rPr>
                <w:b w:val="false"/>
                <w:bCs w:val="false"/>
                <w:sz w:val="20"/>
                <w:szCs w:val="20"/>
              </w:rPr>
              <w:t xml:space="preserve">AdvancedmdToken</w:t>
            </w:r>
          </w:p>
        </w:tc>
        <w:tc>
          <w:tcPr>
            <w:tcW w:type="dxa" w:w="1500"/>
            <w:tcMar>
              <w:top w:type="dxa" w:w="80"/>
              <w:left w:type="dxa" w:w="100"/>
              <w:bottom w:type="dxa" w:w="80"/>
              <w:right w:type="dxa" w:w="100"/>
            </w:tcMar>
          </w:tcPr>
          <w:p>
            <w:r>
              <w:rPr>
                <w:b w:val="false"/>
                <w:bCs w:val="false"/>
                <w:sz w:val="20"/>
                <w:szCs w:val="20"/>
              </w:rPr>
              <w:t xml:space="preserve">ahcs</w:t>
            </w:r>
          </w:p>
        </w:tc>
        <w:tc>
          <w:tcPr>
            <w:tcW w:type="dxa" w:w="5400"/>
            <w:tcMar>
              <w:top w:type="dxa" w:w="80"/>
              <w:left w:type="dxa" w:w="100"/>
              <w:bottom w:type="dxa" w:w="80"/>
              <w:right w:type="dxa" w:w="100"/>
            </w:tcMar>
          </w:tcPr>
          <w:p>
            <w:r>
              <w:rPr>
                <w:b w:val="false"/>
                <w:bCs w:val="false"/>
                <w:sz w:val="20"/>
                <w:szCs w:val="20"/>
              </w:rPr>
              <w:t xml:space="preserve">Cached AdvancedMD auth token with expiry/validity logic.</w:t>
            </w:r>
          </w:p>
        </w:tc>
      </w:tr>
      <w:tr>
        <w:tc>
          <w:tcPr>
            <w:tcW w:type="dxa" w:w="2600"/>
            <w:shd w:fill="F2F2F2" w:val="clear"/>
            <w:tcMar>
              <w:top w:type="dxa" w:w="80"/>
              <w:left w:type="dxa" w:w="100"/>
              <w:bottom w:type="dxa" w:w="80"/>
              <w:right w:type="dxa" w:w="100"/>
            </w:tcMar>
          </w:tcPr>
          <w:p>
            <w:r>
              <w:rPr>
                <w:b w:val="false"/>
                <w:bCs w:val="false"/>
                <w:sz w:val="20"/>
                <w:szCs w:val="20"/>
              </w:rPr>
              <w:t xml:space="preserve">Physician, PhysicianAddress, PhysicianSpeciality, …</w:t>
            </w:r>
          </w:p>
        </w:tc>
        <w:tc>
          <w:tcPr>
            <w:tcW w:type="dxa" w:w="1500"/>
            <w:shd w:fill="F2F2F2" w:val="clear"/>
            <w:tcMar>
              <w:top w:type="dxa" w:w="80"/>
              <w:left w:type="dxa" w:w="100"/>
              <w:bottom w:type="dxa" w:w="80"/>
              <w:right w:type="dxa" w:w="100"/>
            </w:tcMar>
          </w:tcPr>
          <w:p>
            <w:r>
              <w:rPr>
                <w:b w:val="false"/>
                <w:bCs w:val="false"/>
                <w:sz w:val="20"/>
                <w:szCs w:val="20"/>
              </w:rPr>
              <w:t xml:space="preserve">physician</w:t>
            </w:r>
          </w:p>
        </w:tc>
        <w:tc>
          <w:tcPr>
            <w:tcW w:type="dxa" w:w="5400"/>
            <w:shd w:fill="F2F2F2" w:val="clear"/>
            <w:tcMar>
              <w:top w:type="dxa" w:w="80"/>
              <w:left w:type="dxa" w:w="100"/>
              <w:bottom w:type="dxa" w:w="80"/>
              <w:right w:type="dxa" w:w="100"/>
            </w:tcMar>
          </w:tcPr>
          <w:p>
            <w:r>
              <w:rPr>
                <w:b w:val="false"/>
                <w:bCs w:val="false"/>
                <w:sz w:val="20"/>
                <w:szCs w:val="20"/>
              </w:rPr>
              <w:t xml:space="preserve">Provider directory: locations, weekly hours, telehealth flags, lunch windows, monthly availability overrides.</w:t>
            </w:r>
          </w:p>
        </w:tc>
      </w:tr>
      <w:tr>
        <w:tc>
          <w:tcPr>
            <w:tcW w:type="dxa" w:w="2600"/>
            <w:tcMar>
              <w:top w:type="dxa" w:w="80"/>
              <w:left w:type="dxa" w:w="100"/>
              <w:bottom w:type="dxa" w:w="80"/>
              <w:right w:type="dxa" w:w="100"/>
            </w:tcMar>
          </w:tcPr>
          <w:p>
            <w:r>
              <w:rPr>
                <w:b w:val="false"/>
                <w:bCs w:val="false"/>
                <w:sz w:val="20"/>
                <w:szCs w:val="20"/>
              </w:rPr>
              <w:t xml:space="preserve">MedhiwaSpeciality, MedhiwaSpecialityLocation, MedhiwaCareNewOrderType, …</w:t>
            </w:r>
          </w:p>
        </w:tc>
        <w:tc>
          <w:tcPr>
            <w:tcW w:type="dxa" w:w="1500"/>
            <w:tcMar>
              <w:top w:type="dxa" w:w="80"/>
              <w:left w:type="dxa" w:w="100"/>
              <w:bottom w:type="dxa" w:w="80"/>
              <w:right w:type="dxa" w:w="100"/>
            </w:tcMar>
          </w:tcPr>
          <w:p>
            <w:r>
              <w:rPr>
                <w:b w:val="false"/>
                <w:bCs w:val="false"/>
                <w:sz w:val="20"/>
                <w:szCs w:val="20"/>
              </w:rPr>
              <w:t xml:space="preserve">medhiwa_ahcs</w:t>
            </w:r>
          </w:p>
        </w:tc>
        <w:tc>
          <w:tcPr>
            <w:tcW w:type="dxa" w:w="5400"/>
            <w:tcMar>
              <w:top w:type="dxa" w:w="80"/>
              <w:left w:type="dxa" w:w="100"/>
              <w:bottom w:type="dxa" w:w="80"/>
              <w:right w:type="dxa" w:w="100"/>
            </w:tcMar>
          </w:tcPr>
          <w:p>
            <w:r>
              <w:rPr>
                <w:b w:val="false"/>
                <w:bCs w:val="false"/>
                <w:sz w:val="20"/>
                <w:szCs w:val="20"/>
              </w:rPr>
              <w:t xml:space="preserve">Speciality catalog, clinic locations, appointment/visit type catalog (with a patient-portal visibility flag), AMD provider/company mapping.</w:t>
            </w:r>
          </w:p>
        </w:tc>
      </w:tr>
    </w:tbl>
    <w:p>
      <w:pPr>
        <w:spacing w:after="120"/>
      </w:pPr>
    </w:p>
    <w:p>
      <w:pPr>
        <w:pStyle w:val="Heading2"/>
        <w:spacing w:after="120" w:before="260"/>
      </w:pPr>
      <w:r>
        <w:t xml:space="preserve">3.2 Controllers</w:t>
      </w:r>
    </w:p>
    <w:p>
      <w:pPr>
        <w:pStyle w:val="ListParagraph"/>
        <w:numPr>
          <w:ilvl w:val="0"/>
          <w:numId w:val="1"/>
        </w:numPr>
        <w:spacing w:after="80"/>
      </w:pPr>
      <w:r>
        <w:rPr>
          <w:b/>
          <w:bCs/>
        </w:rPr>
        <w:t xml:space="preserve">Api/PatientController.php — </w:t>
      </w:r>
      <w:r>
        <w:t xml:space="preserve">patient profile lookup, proxied "patient info" call to the LAN app server, case-ID enumeration for the logged-in user (including proxy accounts using their JWT proxy context), and switching the active case (re-issues a scoped JWT).</w:t>
      </w:r>
    </w:p>
    <w:p>
      <w:pPr>
        <w:pStyle w:val="ListParagraph"/>
        <w:numPr>
          <w:ilvl w:val="0"/>
          <w:numId w:val="1"/>
        </w:numPr>
        <w:spacing w:after="80"/>
      </w:pPr>
      <w:r>
        <w:rPr>
          <w:b/>
          <w:bCs/>
        </w:rPr>
        <w:t xml:space="preserve">Api/PatientAppointmentController.php — </w:t>
      </w:r>
      <w:r>
        <w:t xml:space="preserve">the largest clinical controller: upcoming/past appointments, department and speciality-physician availability matrices (merging physician hours, per-location overrides, monthly availability and lunch times), available time slots, sessions-completed checks, approved-preauth checks, appointment rescheduling (enforces authorization status, remaining sessions, and a 24-hour cutoff), and transport pickup/dropoff updates. Most read operations proxy through the LAN "App Server."</w:t>
      </w:r>
    </w:p>
    <w:p>
      <w:pPr>
        <w:pStyle w:val="ListParagraph"/>
        <w:numPr>
          <w:ilvl w:val="0"/>
          <w:numId w:val="1"/>
        </w:numPr>
        <w:spacing w:after="80"/>
      </w:pPr>
      <w:r>
        <w:rPr>
          <w:b/>
          <w:bCs/>
        </w:rPr>
        <w:t xml:space="preserve">Api/ClinicalController.php — </w:t>
      </w:r>
      <w:r>
        <w:t xml:space="preserve">legacy submitted-form retrieval and PDF/ZIP export, plus the equivalent for the new platform's forms.</w:t>
      </w:r>
    </w:p>
    <w:p>
      <w:pPr>
        <w:pStyle w:val="ListParagraph"/>
        <w:numPr>
          <w:ilvl w:val="0"/>
          <w:numId w:val="1"/>
        </w:numPr>
        <w:spacing w:after="80"/>
      </w:pPr>
      <w:r>
        <w:rPr>
          <w:b/>
          <w:bCs/>
        </w:rPr>
        <w:t xml:space="preserve">Api/ClinicalNoteController.php — </w:t>
      </w:r>
      <w:r>
        <w:t xml:space="preserve">clinical notes list/view/download via AdvancedMD, a document/attachment preview system that tries several storage locations (direct storage, local WebDAV, remote WebDAV) to resolve a file, and a Dompdf-generated fallback summary PDF when the source document can't be fetched.</w:t>
      </w:r>
    </w:p>
    <w:p>
      <w:pPr>
        <w:pStyle w:val="ListParagraph"/>
        <w:numPr>
          <w:ilvl w:val="0"/>
          <w:numId w:val="1"/>
        </w:numPr>
        <w:spacing w:after="80"/>
      </w:pPr>
      <w:r>
        <w:rPr>
          <w:b/>
          <w:bCs/>
        </w:rPr>
        <w:t xml:space="preserve">app/Services/AmdClinicalNoteService.php, app/Services/PatientFormAmdSyncService.php — </w:t>
      </w:r>
      <w:r>
        <w:t xml:space="preserve">service classes wrapping AdvancedMD token/auth handling and syncing patient-submitted intake data back into AdvancedMD.</w:t>
      </w:r>
    </w:p>
    <w:p>
      <w:pPr>
        <w:pStyle w:val="Heading2"/>
        <w:spacing w:after="120" w:before="260"/>
      </w:pPr>
      <w:r>
        <w:t xml:space="preserve">3.3 Authorization Pattern</w:t>
      </w:r>
    </w:p>
    <w:p>
      <w:pPr>
        <w:spacing w:after="140"/>
      </w:pPr>
      <w:r>
        <w:t xml:space="preserve">A patient logs in and receives a JWT carrying their patient_id(s) and an active case_id. Virtually every subsequent endpoint re-derives the patient from the requested case_id server-side via AhcsCase, rather than trusting any client-supplied patient identifier — this is the core security control protecting one patient's data from another's requests.</w:t>
      </w:r>
    </w:p>
    <w:p>
      <w:pPr>
        <w:pStyle w:val="Heading1"/>
        <w:spacing w:after="160" w:before="360"/>
      </w:pPr>
      <w:r>
        <w:t xml:space="preserve">4. Forms &amp; Funnels System</w:t>
      </w:r>
    </w:p>
    <w:p>
      <w:pPr>
        <w:spacing w:after="140"/>
      </w:pPr>
      <w:r>
        <w:t xml:space="preserve">This is the application's own domain model — a drag-and-drop form builder plus a "funnel" (ordered multi-step form sequence) assignment and completion-tracking workflow layered on top of the external clinical data.</w:t>
      </w:r>
    </w:p>
    <w:p>
      <w:pPr>
        <w:pStyle w:val="Heading2"/>
        <w:spacing w:after="120" w:before="260"/>
      </w:pPr>
      <w:r>
        <w:t xml:space="preserve">4.1 Core Models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4E79" w:val="clear"/>
            <w:tcMar>
              <w:top w:type="dxa" w:w="80"/>
              <w:left w:type="dxa" w:w="100"/>
              <w:bottom w:type="dxa" w:w="80"/>
              <w:right w:type="dxa" w:w="100"/>
            </w:tcMar>
          </w:tcPr>
          <w:p>
            <w:r>
              <w:rPr>
                <w:b/>
                <w:bCs/>
                <w:color w:val="FFFFFF"/>
                <w:sz w:val="20"/>
                <w:szCs w:val="20"/>
              </w:rPr>
              <w:t xml:space="preserve">Model</w:t>
            </w:r>
          </w:p>
        </w:tc>
        <w:tc>
          <w:tcPr>
            <w:tcW w:type="dxa" w:w="6900"/>
            <w:shd w:fill="1F4E79" w:val="clear"/>
            <w:tcMar>
              <w:top w:type="dxa" w:w="80"/>
              <w:left w:type="dxa" w:w="100"/>
              <w:bottom w:type="dxa" w:w="80"/>
              <w:right w:type="dxa" w:w="100"/>
            </w:tcMar>
          </w:tcPr>
          <w:p>
            <w:r>
              <w:rPr>
                <w:b/>
                <w:bCs/>
                <w:color w:val="FFFFFF"/>
                <w:sz w:val="20"/>
                <w:szCs w:val="20"/>
              </w:rPr>
              <w:t xml:space="preserve">Purpose</w:t>
            </w:r>
          </w:p>
        </w:tc>
      </w:tr>
      <w:tr>
        <w:tc>
          <w:tcPr>
            <w:tcW w:type="dxa" w:w="2600"/>
            <w:tcMar>
              <w:top w:type="dxa" w:w="80"/>
              <w:left w:type="dxa" w:w="100"/>
              <w:bottom w:type="dxa" w:w="80"/>
              <w:right w:type="dxa" w:w="100"/>
            </w:tcMar>
          </w:tcPr>
          <w:p>
            <w:r>
              <w:rPr>
                <w:b w:val="false"/>
                <w:bCs w:val="false"/>
                <w:sz w:val="20"/>
                <w:szCs w:val="20"/>
              </w:rPr>
              <w:t xml:space="preserve">Form</w:t>
            </w:r>
          </w:p>
        </w:tc>
        <w:tc>
          <w:tcPr>
            <w:tcW w:type="dxa" w:w="6900"/>
            <w:tcMar>
              <w:top w:type="dxa" w:w="80"/>
              <w:left w:type="dxa" w:w="100"/>
              <w:bottom w:type="dxa" w:w="80"/>
              <w:right w:type="dxa" w:w="100"/>
            </w:tcMar>
          </w:tcPr>
          <w:p>
            <w:r>
              <w:rPr>
                <w:b w:val="false"/>
                <w:bCs w:val="false"/>
                <w:sz w:val="20"/>
                <w:szCs w:val="20"/>
              </w:rPr>
              <w:t xml:space="preserve">A single form definition — fields stored as a JSON rows→cols→fields schema from the builder, public slug (/f/{slug}), assignment settings, notification email addresses, success/thank-you messages. Soft-deletable.</w:t>
            </w:r>
          </w:p>
        </w:tc>
      </w:tr>
      <w:tr>
        <w:tc>
          <w:tcPr>
            <w:tcW w:type="dxa" w:w="2600"/>
            <w:shd w:fill="F2F2F2" w:val="clear"/>
            <w:tcMar>
              <w:top w:type="dxa" w:w="80"/>
              <w:left w:type="dxa" w:w="100"/>
              <w:bottom w:type="dxa" w:w="80"/>
              <w:right w:type="dxa" w:w="100"/>
            </w:tcMar>
          </w:tcPr>
          <w:p>
            <w:r>
              <w:rPr>
                <w:b w:val="false"/>
                <w:bCs w:val="false"/>
                <w:sz w:val="20"/>
                <w:szCs w:val="20"/>
              </w:rPr>
              <w:t xml:space="preserve">Funnel</w:t>
            </w:r>
          </w:p>
        </w:tc>
        <w:tc>
          <w:tcPr>
            <w:tcW w:type="dxa" w:w="6900"/>
            <w:shd w:fill="F2F2F2" w:val="clear"/>
            <w:tcMar>
              <w:top w:type="dxa" w:w="80"/>
              <w:left w:type="dxa" w:w="100"/>
              <w:bottom w:type="dxa" w:w="80"/>
              <w:right w:type="dxa" w:w="100"/>
            </w:tcMar>
          </w:tcPr>
          <w:p>
            <w:r>
              <w:rPr>
                <w:b w:val="false"/>
                <w:bCs w:val="false"/>
                <w:sz w:val="20"/>
                <w:szCs w:val="20"/>
              </w:rPr>
              <w:t xml:space="preserve">An ordered sequence of forms (form_ids JSON array + derived steps JSON), insurance-type targeting (PI, CASH, WC, DOL, COMM, MC, TriWest, ALL), status (draft/active/archived), public slug (/funnel/{slug}), visit/completion counters.</w:t>
            </w:r>
          </w:p>
        </w:tc>
      </w:tr>
      <w:tr>
        <w:tc>
          <w:tcPr>
            <w:tcW w:type="dxa" w:w="2600"/>
            <w:tcMar>
              <w:top w:type="dxa" w:w="80"/>
              <w:left w:type="dxa" w:w="100"/>
              <w:bottom w:type="dxa" w:w="80"/>
              <w:right w:type="dxa" w:w="100"/>
            </w:tcMar>
          </w:tcPr>
          <w:p>
            <w:r>
              <w:rPr>
                <w:b w:val="false"/>
                <w:bCs w:val="false"/>
                <w:sz w:val="20"/>
                <w:szCs w:val="20"/>
              </w:rPr>
              <w:t xml:space="preserve">FormSubmission</w:t>
            </w:r>
          </w:p>
        </w:tc>
        <w:tc>
          <w:tcPr>
            <w:tcW w:type="dxa" w:w="6900"/>
            <w:tcMar>
              <w:top w:type="dxa" w:w="80"/>
              <w:left w:type="dxa" w:w="100"/>
              <w:bottom w:type="dxa" w:w="80"/>
              <w:right w:type="dxa" w:w="100"/>
            </w:tcMar>
          </w:tcPr>
          <w:p>
            <w:r>
              <w:rPr>
                <w:b w:val="false"/>
                <w:bCs w:val="false"/>
                <w:sz w:val="20"/>
                <w:szCs w:val="20"/>
              </w:rPr>
              <w:t xml:space="preserve">One row per submitted form instance — submitted data (JSON), status (draft/completed/pending), generated PDF URL, links back to form/funnel/assignment/user.</w:t>
            </w:r>
          </w:p>
        </w:tc>
      </w:tr>
      <w:tr>
        <w:tc>
          <w:tcPr>
            <w:tcW w:type="dxa" w:w="2600"/>
            <w:shd w:fill="F2F2F2" w:val="clear"/>
            <w:tcMar>
              <w:top w:type="dxa" w:w="80"/>
              <w:left w:type="dxa" w:w="100"/>
              <w:bottom w:type="dxa" w:w="80"/>
              <w:right w:type="dxa" w:w="100"/>
            </w:tcMar>
          </w:tcPr>
          <w:p>
            <w:r>
              <w:rPr>
                <w:b w:val="false"/>
                <w:bCs w:val="false"/>
                <w:sz w:val="20"/>
                <w:szCs w:val="20"/>
              </w:rPr>
              <w:t xml:space="preserve">FormSubmissionNote</w:t>
            </w:r>
          </w:p>
        </w:tc>
        <w:tc>
          <w:tcPr>
            <w:tcW w:type="dxa" w:w="6900"/>
            <w:shd w:fill="F2F2F2" w:val="clear"/>
            <w:tcMar>
              <w:top w:type="dxa" w:w="80"/>
              <w:left w:type="dxa" w:w="100"/>
              <w:bottom w:type="dxa" w:w="80"/>
              <w:right w:type="dxa" w:w="100"/>
            </w:tcMar>
          </w:tcPr>
          <w:p>
            <w:r>
              <w:rPr>
                <w:b w:val="false"/>
                <w:bCs w:val="false"/>
                <w:sz w:val="20"/>
                <w:szCs w:val="20"/>
              </w:rPr>
              <w:t xml:space="preserve">Staff notes attached to a specific submission.</w:t>
            </w:r>
          </w:p>
        </w:tc>
      </w:tr>
      <w:tr>
        <w:tc>
          <w:tcPr>
            <w:tcW w:type="dxa" w:w="2600"/>
            <w:tcMar>
              <w:top w:type="dxa" w:w="80"/>
              <w:left w:type="dxa" w:w="100"/>
              <w:bottom w:type="dxa" w:w="80"/>
              <w:right w:type="dxa" w:w="100"/>
            </w:tcMar>
          </w:tcPr>
          <w:p>
            <w:r>
              <w:rPr>
                <w:b w:val="false"/>
                <w:bCs w:val="false"/>
                <w:sz w:val="20"/>
                <w:szCs w:val="20"/>
              </w:rPr>
              <w:t xml:space="preserve">UserFunnel</w:t>
            </w:r>
          </w:p>
        </w:tc>
        <w:tc>
          <w:tcPr>
            <w:tcW w:type="dxa" w:w="6900"/>
            <w:tcMar>
              <w:top w:type="dxa" w:w="80"/>
              <w:left w:type="dxa" w:w="100"/>
              <w:bottom w:type="dxa" w:w="80"/>
              <w:right w:type="dxa" w:w="100"/>
            </w:tcMar>
          </w:tcPr>
          <w:p>
            <w:r>
              <w:rPr>
                <w:b w:val="false"/>
                <w:bCs w:val="false"/>
                <w:sz w:val="20"/>
                <w:szCs w:val="20"/>
              </w:rPr>
              <w:t xml:space="preserve">The active assignment record linking a patient login + funnel + patient/case pair, including how it was assigned (email, SMS, share link).</w:t>
            </w:r>
          </w:p>
        </w:tc>
      </w:tr>
      <w:tr>
        <w:tc>
          <w:tcPr>
            <w:tcW w:type="dxa" w:w="2600"/>
            <w:shd w:fill="F2F2F2" w:val="clear"/>
            <w:tcMar>
              <w:top w:type="dxa" w:w="80"/>
              <w:left w:type="dxa" w:w="100"/>
              <w:bottom w:type="dxa" w:w="80"/>
              <w:right w:type="dxa" w:w="100"/>
            </w:tcMar>
          </w:tcPr>
          <w:p>
            <w:r>
              <w:rPr>
                <w:b w:val="false"/>
                <w:bCs w:val="false"/>
                <w:sz w:val="20"/>
                <w:szCs w:val="20"/>
              </w:rPr>
              <w:t xml:space="preserve">PatientCase</w:t>
            </w:r>
          </w:p>
        </w:tc>
        <w:tc>
          <w:tcPr>
            <w:tcW w:type="dxa" w:w="6900"/>
            <w:shd w:fill="F2F2F2" w:val="clear"/>
            <w:tcMar>
              <w:top w:type="dxa" w:w="80"/>
              <w:left w:type="dxa" w:w="100"/>
              <w:bottom w:type="dxa" w:w="80"/>
              <w:right w:type="dxa" w:w="100"/>
            </w:tcMar>
          </w:tcPr>
          <w:p>
            <w:r>
              <w:rPr>
                <w:b w:val="false"/>
                <w:bCs w:val="false"/>
                <w:sz w:val="20"/>
                <w:szCs w:val="20"/>
              </w:rPr>
              <w:t xml:space="preserve">Join entity between an AHCS patient_id and case_id, created on demand when a funnel is first assigned.</w:t>
            </w:r>
          </w:p>
        </w:tc>
      </w:tr>
      <w:tr>
        <w:tc>
          <w:tcPr>
            <w:tcW w:type="dxa" w:w="2600"/>
            <w:tcMar>
              <w:top w:type="dxa" w:w="80"/>
              <w:left w:type="dxa" w:w="100"/>
              <w:bottom w:type="dxa" w:w="80"/>
              <w:right w:type="dxa" w:w="100"/>
            </w:tcMar>
          </w:tcPr>
          <w:p>
            <w:r>
              <w:rPr>
                <w:b w:val="false"/>
                <w:bCs w:val="false"/>
                <w:sz w:val="20"/>
                <w:szCs w:val="20"/>
              </w:rPr>
              <w:t xml:space="preserve">PatientFunnelAssignment / FunnelProgress</w:t>
            </w:r>
          </w:p>
        </w:tc>
        <w:tc>
          <w:tcPr>
            <w:tcW w:type="dxa" w:w="6900"/>
            <w:tcMar>
              <w:top w:type="dxa" w:w="80"/>
              <w:left w:type="dxa" w:w="100"/>
              <w:bottom w:type="dxa" w:w="80"/>
              <w:right w:type="dxa" w:w="100"/>
            </w:tcMar>
          </w:tcPr>
          <w:p>
            <w:r>
              <w:rPr>
                <w:b w:val="false"/>
                <w:bCs w:val="false"/>
                <w:sz w:val="20"/>
                <w:szCs w:val="20"/>
              </w:rPr>
              <w:t xml:space="preserve">An alternate token-based assignment/progress schema present in the models but not currently wired into the live controllers — the active flow uses UserFunnel + FormSubmission.</w:t>
            </w:r>
          </w:p>
        </w:tc>
      </w:tr>
    </w:tbl>
    <w:p>
      <w:pPr>
        <w:spacing w:after="120"/>
      </w:pPr>
    </w:p>
    <w:p>
      <w:pPr>
        <w:pStyle w:val="Heading2"/>
        <w:spacing w:after="120" w:before="260"/>
      </w:pPr>
      <w:r>
        <w:t xml:space="preserve">4.2 Admin Panel (Blade) — FormController, FunnelController</w:t>
      </w:r>
    </w:p>
    <w:p>
      <w:pPr>
        <w:pStyle w:val="ListParagraph"/>
        <w:numPr>
          <w:ilvl w:val="0"/>
          <w:numId w:val="1"/>
        </w:numPr>
        <w:spacing w:after="80"/>
      </w:pPr>
      <w:r>
        <w:t xml:space="preserve">Full CRUD with searchable, sortable, paginated listings (AJAX live search).</w:t>
      </w:r>
    </w:p>
    <w:p>
      <w:pPr>
        <w:pStyle w:val="ListParagraph"/>
        <w:numPr>
          <w:ilvl w:val="0"/>
          <w:numId w:val="1"/>
        </w:numPr>
        <w:spacing w:after="80"/>
      </w:pPr>
      <w:r>
        <w:t xml:space="preserve">Drag-and-drop builder pages with auto-saving schema, publish / toggle-active, duplicate, and bulk delete.</w:t>
      </w:r>
    </w:p>
    <w:p>
      <w:pPr>
        <w:pStyle w:val="ListParagraph"/>
        <w:numPr>
          <w:ilvl w:val="0"/>
          <w:numId w:val="1"/>
        </w:numPr>
        <w:spacing w:after="80"/>
      </w:pPr>
      <w:r>
        <w:t xml:space="preserve">Public, unauthenticated pages at /f/{slug} and /funnel/{slug} — anyone with the link can view and submit.</w:t>
      </w:r>
    </w:p>
    <w:p>
      <w:pPr>
        <w:pStyle w:val="ListParagraph"/>
        <w:numPr>
          <w:ilvl w:val="0"/>
          <w:numId w:val="1"/>
        </w:numPr>
        <w:spacing w:after="80"/>
      </w:pPr>
      <w:r>
        <w:t xml:space="preserve">Visiting a public funnel link auto-assigns it: if the visitor is logged in, an assignment (UserFunnel) is created immediately; if not, the slug is remembered in session and completed automatically right after they log in.</w:t>
      </w:r>
    </w:p>
    <w:p>
      <w:pPr>
        <w:pStyle w:val="Heading2"/>
        <w:spacing w:after="120" w:before="260"/>
      </w:pPr>
      <w:r>
        <w:t xml:space="preserve">4.3 Patient-Facing API — Api/FunnelApiController.php</w:t>
      </w:r>
    </w:p>
    <w:p>
      <w:pPr>
        <w:spacing w:after="140"/>
      </w:pPr>
      <w:r>
        <w:t xml:space="preserve">The largest controller in the codebase (~2,700 lines), covering the full patient-side funnel lifecycle:</w:t>
      </w:r>
    </w:p>
    <w:p>
      <w:pPr>
        <w:pStyle w:val="ListParagraph"/>
        <w:numPr>
          <w:ilvl w:val="0"/>
          <w:numId w:val="1"/>
        </w:numPr>
        <w:spacing w:after="80"/>
      </w:pPr>
      <w:r>
        <w:rPr>
          <w:b/>
          <w:bCs/>
        </w:rPr>
        <w:t xml:space="preserve">getPatientFunnels</w:t>
      </w:r>
      <w:r>
        <w:t xml:space="preserve"> — funnels assigned to the authenticated patient for the active case, with pending/completed form counts.</w:t>
      </w:r>
    </w:p>
    <w:p>
      <w:pPr>
        <w:pStyle w:val="ListParagraph"/>
        <w:numPr>
          <w:ilvl w:val="0"/>
          <w:numId w:val="1"/>
        </w:numPr>
        <w:spacing w:after="80"/>
      </w:pPr>
      <w:r>
        <w:rPr>
          <w:b/>
          <w:bCs/>
        </w:rPr>
        <w:t xml:space="preserve">getPatientFunnelSubmissionDetails</w:t>
      </w:r>
      <w:r>
        <w:t xml:space="preserve"> — returns a funnel's forms with per-form completion status, pre-filling known patient demographics into the form schema. Supports bilingual (English/Spanish) intake forms via an extensive field-label mapping.</w:t>
      </w:r>
    </w:p>
    <w:p>
      <w:pPr>
        <w:pStyle w:val="ListParagraph"/>
        <w:numPr>
          <w:ilvl w:val="0"/>
          <w:numId w:val="1"/>
        </w:numPr>
        <w:spacing w:after="80"/>
      </w:pPr>
      <w:r>
        <w:rPr>
          <w:b/>
          <w:bCs/>
        </w:rPr>
        <w:t xml:space="preserve">patientSubmitForm</w:t>
      </w:r>
      <w:r>
        <w:t xml:space="preserve"> — the core submission endpoint: verifies funnel/case ownership, blocks duplicate submissions, handles file uploads, maps submitted fields back onto the patient's AHCS record and local user profile inside a database transaction, generates a PDF, and triggers an AdvancedMD demographic sync (sync failures are logged but do not fail the submission).</w:t>
      </w:r>
    </w:p>
    <w:p>
      <w:pPr>
        <w:pStyle w:val="ListParagraph"/>
        <w:numPr>
          <w:ilvl w:val="0"/>
          <w:numId w:val="1"/>
        </w:numPr>
        <w:spacing w:after="80"/>
      </w:pPr>
      <w:r>
        <w:rPr>
          <w:b/>
          <w:bCs/>
        </w:rPr>
        <w:t xml:space="preserve">assignFunnel / assignFunnelSms</w:t>
      </w:r>
      <w:r>
        <w:t xml:space="preserve"> — the assignment workflow used by staff-facing systems: finds or creates the patient's user login, creates/reuses the case link, guards against re-assigning an already-completed funnel, and sends an email or SMS with a deep link into the patient app.</w:t>
      </w:r>
    </w:p>
    <w:p>
      <w:pPr>
        <w:pStyle w:val="ListParagraph"/>
        <w:numPr>
          <w:ilvl w:val="0"/>
          <w:numId w:val="1"/>
        </w:numPr>
        <w:spacing w:after="80"/>
      </w:pPr>
      <w:r>
        <w:rPr>
          <w:b/>
          <w:bCs/>
        </w:rPr>
        <w:t xml:space="preserve">checkAssignFunnel / checkMultipleAssignFunnel</w:t>
      </w:r>
      <w:r>
        <w:t xml:space="preserve"> — look up existing assignment state for a patient/case.</w:t>
      </w:r>
    </w:p>
    <w:p>
      <w:pPr>
        <w:pStyle w:val="ListParagraph"/>
        <w:numPr>
          <w:ilvl w:val="0"/>
          <w:numId w:val="1"/>
        </w:numPr>
        <w:spacing w:after="80"/>
      </w:pPr>
      <w:r>
        <w:rPr>
          <w:b/>
          <w:bCs/>
        </w:rPr>
        <w:t xml:space="preserve">getAllOldForms</w:t>
      </w:r>
      <w:r>
        <w:t xml:space="preserve"> — legacy forms pulled from the old patient-portal database, feeding the migration tooling below.</w:t>
      </w:r>
    </w:p>
    <w:p>
      <w:pPr>
        <w:pStyle w:val="Heading3"/>
        <w:spacing w:after="100" w:before="200"/>
      </w:pPr>
      <w:r>
        <w:t xml:space="preserve">Consent-form expiry rule</w:t>
      </w:r>
    </w:p>
    <w:p>
      <w:pPr>
        <w:spacing w:after="140"/>
      </w:pPr>
      <w:r>
        <w:t xml:space="preserve">Funnels whose name contains "consent" expire one year after completion and are automatically re-assigned for re-signing; every other funnel type is treated as permanently complete once finished.</w:t>
      </w:r>
    </w:p>
    <w:p>
      <w:pPr>
        <w:pStyle w:val="Heading2"/>
        <w:spacing w:after="120" w:before="260"/>
      </w:pPr>
      <w:r>
        <w:t xml:space="preserve">4.4 Legacy Migration Tooling</w:t>
      </w:r>
    </w:p>
    <w:p>
      <w:pPr>
        <w:spacing w:after="140"/>
      </w:pPr>
      <w:r>
        <w:t xml:space="preserve">OldFormController.php and OldUserController.php provide one-way migration from the legacy patient-portal database: they list not-yet-synced legacy forms/users and a per-record sync action. Old flat-array form JSON is transformed into the new rows/cols/fields builder schema; old users are synced with patient_id normalization across the legacy formats (JSON array, comma-separated, or plain integer) and are restored if previously soft-deleted.</w:t>
      </w:r>
    </w:p>
    <w:p>
      <w:pPr>
        <w:pStyle w:val="Heading1"/>
        <w:spacing w:after="160" w:before="360"/>
      </w:pPr>
      <w:r>
        <w:t xml:space="preserve">5. Admin Panel Modules</w:t>
      </w:r>
    </w:p>
    <w:p>
      <w:pPr>
        <w:pStyle w:val="Heading2"/>
        <w:spacing w:after="120" w:before="260"/>
      </w:pPr>
      <w:r>
        <w:t xml:space="preserve">5.1 Messaging</w:t>
      </w:r>
    </w:p>
    <w:p>
      <w:pPr>
        <w:spacing w:after="140"/>
      </w:pPr>
      <w:r>
        <w:t xml:space="preserve">MessageController.php implements simple threaded admin↔patient messaging — searchable/paginated list, compose, view (marks patient-sent messages read), and reply (creates a child message). The Message model supports self-referencing replies, a read flag, category, and status.</w:t>
      </w:r>
    </w:p>
    <w:p>
      <w:pPr>
        <w:pStyle w:val="Heading2"/>
        <w:spacing w:after="120" w:before="260"/>
      </w:pPr>
      <w:r>
        <w:t xml:space="preserve">5.2 Billing</w:t>
      </w:r>
    </w:p>
    <w:p>
      <w:pPr>
        <w:spacing w:after="140"/>
      </w:pPr>
      <w:r>
        <w:t xml:space="preserve">BillingController.php is a read-only admin view of billing records, fetched from a configurable external billing API. When that API isn't configured, it falls back to hardcoded mock data for local development — this fallback should not be mistaken for production data.</w:t>
      </w:r>
    </w:p>
    <w:p>
      <w:pPr>
        <w:pStyle w:val="Heading2"/>
        <w:spacing w:after="120" w:before="260"/>
      </w:pPr>
      <w:r>
        <w:t xml:space="preserve">5.3 Appointments (Admin View)</w:t>
      </w:r>
    </w:p>
    <w:p>
      <w:pPr>
        <w:spacing w:after="140"/>
      </w:pPr>
      <w:r>
        <w:t xml:space="preserve">AppointmentController.php follows the same pattern as Billing — a read-only external-API-backed list/detail view with a mock-data fallback for local development.</w:t>
      </w:r>
    </w:p>
    <w:p>
      <w:pPr>
        <w:pStyle w:val="Heading2"/>
        <w:spacing w:after="120" w:before="260"/>
      </w:pPr>
      <w:r>
        <w:t xml:space="preserve">5.4 Dashboard</w:t>
      </w:r>
    </w:p>
    <w:p>
      <w:pPr>
        <w:spacing w:after="140"/>
      </w:pPr>
      <w:r>
        <w:t xml:space="preserve">DashboardController.php is the admin home page: aggregate counts (total/active forms, total/active funnels, submissions, pending submissions, unread messages) plus the five most recent submissions and unread messages.</w:t>
      </w:r>
    </w:p>
    <w:p>
      <w:pPr>
        <w:pStyle w:val="Heading2"/>
        <w:spacing w:after="120" w:before="260"/>
      </w:pPr>
      <w:r>
        <w:t xml:space="preserve">5.5 Analytics</w:t>
      </w:r>
    </w:p>
    <w:p>
      <w:pPr>
        <w:spacing w:after="140"/>
      </w:pPr>
      <w:r>
        <w:t xml:space="preserve">AnalyticsController.php provides three date-range-filterable reports (default: last 30 days):</w:t>
      </w:r>
    </w:p>
    <w:p>
      <w:pPr>
        <w:pStyle w:val="ListParagraph"/>
        <w:numPr>
          <w:ilvl w:val="0"/>
          <w:numId w:val="1"/>
        </w:numPr>
        <w:spacing w:after="80"/>
      </w:pPr>
      <w:r>
        <w:rPr>
          <w:b/>
          <w:bCs/>
        </w:rPr>
        <w:t xml:space="preserve">Funnels — </w:t>
      </w:r>
      <w:r>
        <w:t xml:space="preserve">distinct patient assignments, completions, pending counts, daily trend, and recent submissions per funnel.</w:t>
      </w:r>
    </w:p>
    <w:p>
      <w:pPr>
        <w:pStyle w:val="ListParagraph"/>
        <w:numPr>
          <w:ilvl w:val="0"/>
          <w:numId w:val="1"/>
        </w:numPr>
        <w:spacing w:after="80"/>
      </w:pPr>
      <w:r>
        <w:rPr>
          <w:b/>
          <w:bCs/>
        </w:rPr>
        <w:t xml:space="preserve">Forms — </w:t>
      </w:r>
      <w:r>
        <w:t xml:space="preserve">field counts, patient-assignment counts, completed vs. pending, and daily trend per form.</w:t>
      </w:r>
    </w:p>
    <w:p>
      <w:pPr>
        <w:pStyle w:val="ListParagraph"/>
        <w:numPr>
          <w:ilvl w:val="0"/>
          <w:numId w:val="1"/>
        </w:numPr>
        <w:spacing w:after="80"/>
      </w:pPr>
      <w:r>
        <w:rPr>
          <w:b/>
          <w:bCs/>
        </w:rPr>
        <w:t xml:space="preserve">Reports — </w:t>
      </w:r>
      <w:r>
        <w:t xml:space="preserve">an organization-wide overview: total assigned vs. completed vs. pending forms, daily submission trend, top five forms/funnels, and the ten most recent submissions.</w:t>
      </w:r>
    </w:p>
    <w:p>
      <w:pPr>
        <w:pStyle w:val="Heading1"/>
        <w:spacing w:after="160" w:before="360"/>
      </w:pPr>
      <w:r>
        <w:t xml:space="preserve">6. Proxy Access (Caregiver / Family Access)</w:t>
      </w:r>
    </w:p>
    <w:p>
      <w:pPr>
        <w:spacing w:after="140"/>
      </w:pPr>
      <w:r>
        <w:t xml:space="preserve">Api/ProxyAccessController.php, together with the ProxyAccess and ProxyAccessHistory models, lets a patient grant a caregiver or family member delegated, revocable access to their portal data.</w:t>
      </w:r>
    </w:p>
    <w:p>
      <w:pPr>
        <w:pStyle w:val="ListParagraph"/>
        <w:numPr>
          <w:ilvl w:val="0"/>
          <w:numId w:val="1"/>
        </w:numPr>
        <w:spacing w:after="80"/>
      </w:pPr>
      <w:r>
        <w:rPr>
          <w:b/>
          <w:bCs/>
        </w:rPr>
        <w:t xml:space="preserve">invite — </w:t>
      </w:r>
      <w:r>
        <w:t xml:space="preserve">patient-initiated. Validates the invitee isn't the patient themselves, blocks duplicate pending/active invites, finds or creates a user account for the proxy's email, and merges the patient's patient_id(s) into that proxy account so every existing patient-scoped API works transparently for them.</w:t>
      </w:r>
    </w:p>
    <w:p>
      <w:pPr>
        <w:pStyle w:val="ListParagraph"/>
        <w:numPr>
          <w:ilvl w:val="0"/>
          <w:numId w:val="1"/>
        </w:numPr>
        <w:spacing w:after="80"/>
      </w:pPr>
      <w:r>
        <w:rPr>
          <w:b/>
          <w:bCs/>
        </w:rPr>
        <w:t xml:space="preserve">accept — </w:t>
      </w:r>
      <w:r>
        <w:t xml:space="preserve">a public, token-based alternate flow for confirming an invitation before it becomes active.</w:t>
      </w:r>
    </w:p>
    <w:p>
      <w:pPr>
        <w:pStyle w:val="ListParagraph"/>
        <w:numPr>
          <w:ilvl w:val="0"/>
          <w:numId w:val="1"/>
        </w:numPr>
        <w:spacing w:after="80"/>
      </w:pPr>
      <w:r>
        <w:rPr>
          <w:b/>
          <w:bCs/>
        </w:rPr>
        <w:t xml:space="preserve">list / history — </w:t>
      </w:r>
      <w:r>
        <w:t xml:space="preserve">the patient's view of everyone with access, and an audit trail of what a given proxy has viewed.</w:t>
      </w:r>
    </w:p>
    <w:p>
      <w:pPr>
        <w:pStyle w:val="ListParagraph"/>
        <w:numPr>
          <w:ilvl w:val="0"/>
          <w:numId w:val="1"/>
        </w:numPr>
        <w:spacing w:after="80"/>
      </w:pPr>
      <w:r>
        <w:rPr>
          <w:b/>
          <w:bCs/>
        </w:rPr>
        <w:t xml:space="preserve">revoke — </w:t>
      </w:r>
      <w:r>
        <w:t xml:space="preserve">the patient revokes access; only the patient IDs no longer covered by any other active grant are removed from the proxy's account, and every active session for that proxy is immediately invalidated (forced logout).</w:t>
      </w:r>
    </w:p>
    <w:p>
      <w:pPr>
        <w:pStyle w:val="ListParagraph"/>
        <w:numPr>
          <w:ilvl w:val="0"/>
          <w:numId w:val="1"/>
        </w:numPr>
        <w:spacing w:after="80"/>
      </w:pPr>
      <w:r>
        <w:rPr>
          <w:b/>
          <w:bCs/>
        </w:rPr>
        <w:t xml:space="preserve">myAccess / switchPatient — </w:t>
      </w:r>
      <w:r>
        <w:t xml:space="preserve">proxy-initiated. Lists the patients a proxy currently has access to, and switches the active patient context by issuing a new JWT carrying a proxy_context claim.</w:t>
      </w:r>
    </w:p>
    <w:p>
      <w:pPr>
        <w:spacing w:after="140"/>
      </w:pPr>
      <w:r>
        <w:t xml:space="preserve">A dedicated LogProxyAccessMiddleware writes an audit-log row whenever a proxy account views clinical notes, appointments, patient details, forms, funnels, or the recent-activity feed — recording which resource type was accessed and when.</w:t>
      </w:r>
    </w:p>
    <w:p>
      <w:pPr>
        <w:pStyle w:val="Heading1"/>
        <w:spacing w:after="160" w:before="360"/>
      </w:pPr>
      <w:r>
        <w:t xml:space="preserve">7. Routes Overview</w:t>
      </w:r>
    </w:p>
    <w:p>
      <w:pPr>
        <w:pStyle w:val="Heading2"/>
        <w:spacing w:after="120" w:before="260"/>
      </w:pPr>
      <w:r>
        <w:t xml:space="preserve">7.1 Web Routes (Admin Panel) — routes/web.php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4E79" w:val="clear"/>
            <w:tcMar>
              <w:top w:type="dxa" w:w="80"/>
              <w:left w:type="dxa" w:w="100"/>
              <w:bottom w:type="dxa" w:w="80"/>
              <w:right w:type="dxa" w:w="100"/>
            </w:tcMar>
          </w:tcPr>
          <w:p>
            <w:r>
              <w:rPr>
                <w:b/>
                <w:bCs/>
                <w:color w:val="FFFFFF"/>
                <w:sz w:val="20"/>
                <w:szCs w:val="20"/>
              </w:rPr>
              <w:t xml:space="preserve">Area</w:t>
            </w:r>
          </w:p>
        </w:tc>
        <w:tc>
          <w:tcPr>
            <w:tcW w:type="dxa" w:w="7100"/>
            <w:shd w:fill="1F4E79" w:val="clear"/>
            <w:tcMar>
              <w:top w:type="dxa" w:w="80"/>
              <w:left w:type="dxa" w:w="100"/>
              <w:bottom w:type="dxa" w:w="80"/>
              <w:right w:type="dxa" w:w="100"/>
            </w:tcMar>
          </w:tcPr>
          <w:p>
            <w:r>
              <w:rPr>
                <w:b/>
                <w:bCs/>
                <w:color w:val="FFFFFF"/>
                <w:sz w:val="20"/>
                <w:szCs w:val="20"/>
              </w:rPr>
              <w:t xml:space="preserve">Notes</w:t>
            </w:r>
          </w:p>
        </w:tc>
      </w:tr>
      <w:tr>
        <w:tc>
          <w:tcPr>
            <w:tcW w:type="dxa" w:w="2400"/>
            <w:tcMar>
              <w:top w:type="dxa" w:w="80"/>
              <w:left w:type="dxa" w:w="100"/>
              <w:bottom w:type="dxa" w:w="80"/>
              <w:right w:type="dxa" w:w="100"/>
            </w:tcMar>
          </w:tcPr>
          <w:p>
            <w:r>
              <w:rPr>
                <w:b w:val="false"/>
                <w:bCs w:val="false"/>
                <w:sz w:val="20"/>
                <w:szCs w:val="20"/>
              </w:rPr>
              <w:t xml:space="preserve">Public</w:t>
            </w:r>
          </w:p>
        </w:tc>
        <w:tc>
          <w:tcPr>
            <w:tcW w:type="dxa" w:w="7100"/>
            <w:tcMar>
              <w:top w:type="dxa" w:w="80"/>
              <w:left w:type="dxa" w:w="100"/>
              <w:bottom w:type="dxa" w:w="80"/>
              <w:right w:type="dxa" w:w="100"/>
            </w:tcMar>
          </w:tcPr>
          <w:p>
            <w:r>
              <w:rPr>
                <w:b w:val="false"/>
                <w:bCs w:val="false"/>
                <w:sz w:val="20"/>
                <w:szCs w:val="20"/>
              </w:rPr>
              <w:t xml:space="preserve">/f/{slug} and /funnel/{slug} (+ submit / submit-step) — anonymous form and funnel pages.</w:t>
            </w:r>
          </w:p>
        </w:tc>
      </w:tr>
      <w:tr>
        <w:tc>
          <w:tcPr>
            <w:tcW w:type="dxa" w:w="2400"/>
            <w:shd w:fill="F2F2F2" w:val="clear"/>
            <w:tcMar>
              <w:top w:type="dxa" w:w="80"/>
              <w:left w:type="dxa" w:w="100"/>
              <w:bottom w:type="dxa" w:w="80"/>
              <w:right w:type="dxa" w:w="100"/>
            </w:tcMar>
          </w:tcPr>
          <w:p>
            <w:r>
              <w:rPr>
                <w:b w:val="false"/>
                <w:bCs w:val="false"/>
                <w:sz w:val="20"/>
                <w:szCs w:val="20"/>
              </w:rPr>
              <w:t xml:space="preserve">Guest only</w:t>
            </w:r>
          </w:p>
        </w:tc>
        <w:tc>
          <w:tcPr>
            <w:tcW w:type="dxa" w:w="7100"/>
            <w:shd w:fill="F2F2F2" w:val="clear"/>
            <w:tcMar>
              <w:top w:type="dxa" w:w="80"/>
              <w:left w:type="dxa" w:w="100"/>
              <w:bottom w:type="dxa" w:w="80"/>
              <w:right w:type="dxa" w:w="100"/>
            </w:tcMar>
          </w:tcPr>
          <w:p>
            <w:r>
              <w:rPr>
                <w:b w:val="false"/>
                <w:bCs w:val="false"/>
                <w:sz w:val="20"/>
                <w:szCs w:val="20"/>
              </w:rPr>
              <w:t xml:space="preserve">/login, /register (session auth).</w:t>
            </w:r>
          </w:p>
        </w:tc>
      </w:tr>
      <w:tr>
        <w:tc>
          <w:tcPr>
            <w:tcW w:type="dxa" w:w="2400"/>
            <w:tcMar>
              <w:top w:type="dxa" w:w="80"/>
              <w:left w:type="dxa" w:w="100"/>
              <w:bottom w:type="dxa" w:w="80"/>
              <w:right w:type="dxa" w:w="100"/>
            </w:tcMar>
          </w:tcPr>
          <w:p>
            <w:r>
              <w:rPr>
                <w:b w:val="false"/>
                <w:bCs w:val="false"/>
                <w:sz w:val="20"/>
                <w:szCs w:val="20"/>
              </w:rPr>
              <w:t xml:space="preserve">Authenticated (auth panel)</w:t>
            </w:r>
          </w:p>
        </w:tc>
        <w:tc>
          <w:tcPr>
            <w:tcW w:type="dxa" w:w="7100"/>
            <w:tcMar>
              <w:top w:type="dxa" w:w="80"/>
              <w:left w:type="dxa" w:w="100"/>
              <w:bottom w:type="dxa" w:w="80"/>
              <w:right w:type="dxa" w:w="100"/>
            </w:tcMar>
          </w:tcPr>
          <w:p>
            <w:r>
              <w:rPr>
                <w:b w:val="false"/>
                <w:bCs w:val="false"/>
                <w:sz w:val="20"/>
                <w:szCs w:val="20"/>
              </w:rPr>
              <w:t xml:space="preserve">Dashboard, appointments (read-only), forms &amp; funnels resources (with builder/schema/publish/duplicate/bulk-delete), analytics, user management, billing, messages, legacy old-forms and old-users sync tooling.</w:t>
            </w:r>
          </w:p>
        </w:tc>
      </w:tr>
      <w:tr>
        <w:tc>
          <w:tcPr>
            <w:tcW w:type="dxa" w:w="2400"/>
            <w:shd w:fill="F2F2F2" w:val="clear"/>
            <w:tcMar>
              <w:top w:type="dxa" w:w="80"/>
              <w:left w:type="dxa" w:w="100"/>
              <w:bottom w:type="dxa" w:w="80"/>
              <w:right w:type="dxa" w:w="100"/>
            </w:tcMar>
          </w:tcPr>
          <w:p>
            <w:r>
              <w:rPr>
                <w:b w:val="false"/>
                <w:bCs w:val="false"/>
                <w:sz w:val="20"/>
                <w:szCs w:val="20"/>
              </w:rPr>
              <w:t xml:space="preserve">Signed route</w:t>
            </w:r>
          </w:p>
        </w:tc>
        <w:tc>
          <w:tcPr>
            <w:tcW w:type="dxa" w:w="7100"/>
            <w:shd w:fill="F2F2F2" w:val="clear"/>
            <w:tcMar>
              <w:top w:type="dxa" w:w="80"/>
              <w:left w:type="dxa" w:w="100"/>
              <w:bottom w:type="dxa" w:w="80"/>
              <w:right w:type="dxa" w:w="100"/>
            </w:tcMar>
          </w:tcPr>
          <w:p>
            <w:r>
              <w:rPr>
                <w:b w:val="false"/>
                <w:bCs w:val="false"/>
                <w:sz w:val="20"/>
                <w:szCs w:val="20"/>
              </w:rPr>
              <w:t xml:space="preserve">/sso-login/{user} — passwordless SSO landing page used by directLogin.</w:t>
            </w:r>
          </w:p>
        </w:tc>
      </w:tr>
    </w:tbl>
    <w:p>
      <w:pPr>
        <w:spacing w:after="120"/>
      </w:pPr>
    </w:p>
    <w:p>
      <w:pPr>
        <w:pStyle w:val="Heading2"/>
        <w:spacing w:after="120" w:before="260"/>
      </w:pPr>
      <w:r>
        <w:t xml:space="preserve">7.2 API Routes (Patient App) — routes/api.php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val="clear"/>
            <w:tcMar>
              <w:top w:type="dxa" w:w="80"/>
              <w:left w:type="dxa" w:w="100"/>
              <w:bottom w:type="dxa" w:w="80"/>
              <w:right w:type="dxa" w:w="100"/>
            </w:tcMar>
          </w:tcPr>
          <w:p>
            <w:r>
              <w:rPr>
                <w:b/>
                <w:bCs/>
                <w:color w:val="FFFFFF"/>
                <w:sz w:val="20"/>
                <w:szCs w:val="20"/>
              </w:rPr>
              <w:t xml:space="preserve">Group</w:t>
            </w:r>
          </w:p>
        </w:tc>
        <w:tc>
          <w:tcPr>
            <w:tcW w:type="dxa" w:w="6300"/>
            <w:shd w:fill="1F4E79" w:val="clear"/>
            <w:tcMar>
              <w:top w:type="dxa" w:w="80"/>
              <w:left w:type="dxa" w:w="100"/>
              <w:bottom w:type="dxa" w:w="80"/>
              <w:right w:type="dxa" w:w="100"/>
            </w:tcMar>
          </w:tcPr>
          <w:p>
            <w:r>
              <w:rPr>
                <w:b/>
                <w:bCs/>
                <w:color w:val="FFFFFF"/>
                <w:sz w:val="20"/>
                <w:szCs w:val="20"/>
              </w:rPr>
              <w:t xml:space="preserve">Notes</w:t>
            </w:r>
          </w:p>
        </w:tc>
      </w:tr>
      <w:tr>
        <w:tc>
          <w:tcPr>
            <w:tcW w:type="dxa" w:w="3200"/>
            <w:tcMar>
              <w:top w:type="dxa" w:w="80"/>
              <w:left w:type="dxa" w:w="100"/>
              <w:bottom w:type="dxa" w:w="80"/>
              <w:right w:type="dxa" w:w="100"/>
            </w:tcMar>
          </w:tcPr>
          <w:p>
            <w:r>
              <w:rPr>
                <w:b w:val="false"/>
                <w:bCs w:val="false"/>
                <w:sz w:val="20"/>
                <w:szCs w:val="20"/>
              </w:rPr>
              <w:t xml:space="preserve">Public</w:t>
            </w:r>
          </w:p>
        </w:tc>
        <w:tc>
          <w:tcPr>
            <w:tcW w:type="dxa" w:w="6300"/>
            <w:tcMar>
              <w:top w:type="dxa" w:w="80"/>
              <w:left w:type="dxa" w:w="100"/>
              <w:bottom w:type="dxa" w:w="80"/>
              <w:right w:type="dxa" w:w="100"/>
            </w:tcMar>
          </w:tcPr>
          <w:p>
            <w:r>
              <w:rPr>
                <w:b w:val="false"/>
                <w:bCs w:val="false"/>
                <w:sz w:val="20"/>
                <w:szCs w:val="20"/>
              </w:rPr>
              <w:t xml:space="preserve">login, magic-link/verify, proxy/accept/{token}, get-user-details-by-email (rate limited).</w:t>
            </w:r>
          </w:p>
        </w:tc>
      </w:tr>
      <w:tr>
        <w:tc>
          <w:tcPr>
            <w:tcW w:type="dxa" w:w="3200"/>
            <w:shd w:fill="F2F2F2" w:val="clear"/>
            <w:tcMar>
              <w:top w:type="dxa" w:w="80"/>
              <w:left w:type="dxa" w:w="100"/>
              <w:bottom w:type="dxa" w:w="80"/>
              <w:right w:type="dxa" w:w="100"/>
            </w:tcMar>
          </w:tcPr>
          <w:p>
            <w:r>
              <w:rPr>
                <w:b w:val="false"/>
                <w:bCs w:val="false"/>
                <w:sz w:val="20"/>
                <w:szCs w:val="20"/>
              </w:rPr>
              <w:t xml:space="preserve">Internal API key</w:t>
            </w:r>
          </w:p>
        </w:tc>
        <w:tc>
          <w:tcPr>
            <w:tcW w:type="dxa" w:w="6300"/>
            <w:shd w:fill="F2F2F2" w:val="clear"/>
            <w:tcMar>
              <w:top w:type="dxa" w:w="80"/>
              <w:left w:type="dxa" w:w="100"/>
              <w:bottom w:type="dxa" w:w="80"/>
              <w:right w:type="dxa" w:w="100"/>
            </w:tcMar>
          </w:tcPr>
          <w:p>
            <w:r>
              <w:rPr>
                <w:b w:val="false"/>
                <w:bCs w:val="false"/>
                <w:sz w:val="20"/>
                <w:szCs w:val="20"/>
              </w:rPr>
              <w:t xml:space="preserve">login-by-email — server-to-server passwordless login.</w:t>
            </w:r>
          </w:p>
        </w:tc>
      </w:tr>
      <w:tr>
        <w:tc>
          <w:tcPr>
            <w:tcW w:type="dxa" w:w="3200"/>
            <w:tcMar>
              <w:top w:type="dxa" w:w="80"/>
              <w:left w:type="dxa" w:w="100"/>
              <w:bottom w:type="dxa" w:w="80"/>
              <w:right w:type="dxa" w:w="100"/>
            </w:tcMar>
          </w:tcPr>
          <w:p>
            <w:r>
              <w:rPr>
                <w:b w:val="false"/>
                <w:bCs w:val="false"/>
                <w:sz w:val="20"/>
                <w:szCs w:val="20"/>
              </w:rPr>
              <w:t xml:space="preserve">Throttled (10/min)</w:t>
            </w:r>
          </w:p>
        </w:tc>
        <w:tc>
          <w:tcPr>
            <w:tcW w:type="dxa" w:w="6300"/>
            <w:tcMar>
              <w:top w:type="dxa" w:w="80"/>
              <w:left w:type="dxa" w:w="100"/>
              <w:bottom w:type="dxa" w:w="80"/>
              <w:right w:type="dxa" w:w="100"/>
            </w:tcMar>
          </w:tcPr>
          <w:p>
            <w:r>
              <w:rPr>
                <w:b w:val="false"/>
                <w:bCs w:val="false"/>
                <w:sz w:val="20"/>
                <w:szCs w:val="20"/>
              </w:rPr>
              <w:t xml:space="preserve">Password forgot / forgot-phone / reset / validate-token.</w:t>
            </w:r>
          </w:p>
        </w:tc>
      </w:tr>
      <w:tr>
        <w:tc>
          <w:tcPr>
            <w:tcW w:type="dxa" w:w="3200"/>
            <w:shd w:fill="F2F2F2" w:val="clear"/>
            <w:tcMar>
              <w:top w:type="dxa" w:w="80"/>
              <w:left w:type="dxa" w:w="100"/>
              <w:bottom w:type="dxa" w:w="80"/>
              <w:right w:type="dxa" w:w="100"/>
            </w:tcMar>
          </w:tcPr>
          <w:p>
            <w:r>
              <w:rPr>
                <w:b w:val="false"/>
                <w:bCs w:val="false"/>
                <w:sz w:val="20"/>
                <w:szCs w:val="20"/>
              </w:rPr>
              <w:t xml:space="preserve">auth:api only</w:t>
            </w:r>
          </w:p>
        </w:tc>
        <w:tc>
          <w:tcPr>
            <w:tcW w:type="dxa" w:w="6300"/>
            <w:shd w:fill="F2F2F2" w:val="clear"/>
            <w:tcMar>
              <w:top w:type="dxa" w:w="80"/>
              <w:left w:type="dxa" w:w="100"/>
              <w:bottom w:type="dxa" w:w="80"/>
              <w:right w:type="dxa" w:w="100"/>
            </w:tcMar>
          </w:tcPr>
          <w:p>
            <w:r>
              <w:rPr>
                <w:b w:val="false"/>
                <w:bCs w:val="false"/>
                <w:sz w:val="20"/>
                <w:szCs w:val="20"/>
              </w:rPr>
              <w:t xml:space="preserve">logout, refresh-token.</w:t>
            </w:r>
          </w:p>
        </w:tc>
      </w:tr>
      <w:tr>
        <w:tc>
          <w:tcPr>
            <w:tcW w:type="dxa" w:w="3200"/>
            <w:tcMar>
              <w:top w:type="dxa" w:w="80"/>
              <w:left w:type="dxa" w:w="100"/>
              <w:bottom w:type="dxa" w:w="80"/>
              <w:right w:type="dxa" w:w="100"/>
            </w:tcMar>
          </w:tcPr>
          <w:p>
            <w:r>
              <w:rPr>
                <w:b w:val="false"/>
                <w:bCs w:val="false"/>
                <w:sz w:val="20"/>
                <w:szCs w:val="20"/>
              </w:rPr>
              <w:t xml:space="preserve">auth:api + role.api:User + patient.active</w:t>
            </w:r>
          </w:p>
        </w:tc>
        <w:tc>
          <w:tcPr>
            <w:tcW w:type="dxa" w:w="6300"/>
            <w:tcMar>
              <w:top w:type="dxa" w:w="80"/>
              <w:left w:type="dxa" w:w="100"/>
              <w:bottom w:type="dxa" w:w="80"/>
              <w:right w:type="dxa" w:w="100"/>
            </w:tcMar>
          </w:tcPr>
          <w:p>
            <w:r>
              <w:rPr>
                <w:b w:val="false"/>
                <w:bCs w:val="false"/>
                <w:sz w:val="20"/>
                <w:szCs w:val="20"/>
              </w:rPr>
              <w:t xml:space="preserve">The bulk of the patient surface — appointments, clinical notes/documents, patient profile &amp; case switching, funnels, recent activity, proxy access, form submission notes. Several of these are additionally wrapped with proxy.log for audit logging.</w:t>
            </w:r>
          </w:p>
        </w:tc>
      </w:tr>
      <w:tr>
        <w:tc>
          <w:tcPr>
            <w:tcW w:type="dxa" w:w="3200"/>
            <w:shd w:fill="F2F2F2" w:val="clear"/>
            <w:tcMar>
              <w:top w:type="dxa" w:w="80"/>
              <w:left w:type="dxa" w:w="100"/>
              <w:bottom w:type="dxa" w:w="80"/>
              <w:right w:type="dxa" w:w="100"/>
            </w:tcMar>
          </w:tcPr>
          <w:p>
            <w:r>
              <w:rPr>
                <w:b w:val="false"/>
                <w:bCs w:val="false"/>
                <w:sz w:val="20"/>
                <w:szCs w:val="20"/>
              </w:rPr>
              <w:t xml:space="preserve">Unauthenticated (system-to-system)</w:t>
            </w:r>
          </w:p>
        </w:tc>
        <w:tc>
          <w:tcPr>
            <w:tcW w:type="dxa" w:w="6300"/>
            <w:shd w:fill="F2F2F2" w:val="clear"/>
            <w:tcMar>
              <w:top w:type="dxa" w:w="80"/>
              <w:left w:type="dxa" w:w="100"/>
              <w:bottom w:type="dxa" w:w="80"/>
              <w:right w:type="dxa" w:w="100"/>
            </w:tcMar>
          </w:tcPr>
          <w:p>
            <w:r>
              <w:rPr>
                <w:b w:val="false"/>
                <w:bCs w:val="false"/>
                <w:sz w:val="20"/>
                <w:szCs w:val="20"/>
              </w:rPr>
              <w:t xml:space="preserve">get-all-old-forms, get-all-funnel-list, assign-funnel(-sms), check-assign-funnel, check-multiple-assign-funnel, multiple-assign-funnel(-sms), add-patient-to-funnel, direct-login, check-funnel-form-completion. Intended for calls from other internal systems rather than the patient app — flagged below as a security consideration.</w:t>
            </w:r>
          </w:p>
        </w:tc>
      </w:tr>
    </w:tbl>
    <w:p>
      <w:pPr>
        <w:spacing w:after="120"/>
      </w:pPr>
    </w:p>
    <w:p>
      <w:pPr>
        <w:pStyle w:val="Heading2"/>
        <w:spacing w:after="120" w:before="260"/>
      </w:pPr>
      <w:r>
        <w:t xml:space="preserve">7.3 Key Middleware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val="clear"/>
            <w:tcMar>
              <w:top w:type="dxa" w:w="80"/>
              <w:left w:type="dxa" w:w="100"/>
              <w:bottom w:type="dxa" w:w="80"/>
              <w:right w:type="dxa" w:w="100"/>
            </w:tcMar>
          </w:tcPr>
          <w:p>
            <w:r>
              <w:rPr>
                <w:b/>
                <w:bCs/>
                <w:color w:val="FFFFFF"/>
                <w:sz w:val="20"/>
                <w:szCs w:val="20"/>
              </w:rPr>
              <w:t xml:space="preserve">Middleware</w:t>
            </w:r>
          </w:p>
        </w:tc>
        <w:tc>
          <w:tcPr>
            <w:tcW w:type="dxa" w:w="6300"/>
            <w:shd w:fill="1F4E79" w:val="clear"/>
            <w:tcMar>
              <w:top w:type="dxa" w:w="80"/>
              <w:left w:type="dxa" w:w="100"/>
              <w:bottom w:type="dxa" w:w="80"/>
              <w:right w:type="dxa" w:w="100"/>
            </w:tcMar>
          </w:tcPr>
          <w:p>
            <w:r>
              <w:rPr>
                <w:b/>
                <w:bCs/>
                <w:color w:val="FFFFFF"/>
                <w:sz w:val="20"/>
                <w:szCs w:val="20"/>
              </w:rPr>
              <w:t xml:space="preserve">Purpose</w:t>
            </w:r>
          </w:p>
        </w:tc>
      </w:tr>
      <w:tr>
        <w:tc>
          <w:tcPr>
            <w:tcW w:type="dxa" w:w="3200"/>
            <w:tcMar>
              <w:top w:type="dxa" w:w="80"/>
              <w:left w:type="dxa" w:w="100"/>
              <w:bottom w:type="dxa" w:w="80"/>
              <w:right w:type="dxa" w:w="100"/>
            </w:tcMar>
          </w:tcPr>
          <w:p>
            <w:r>
              <w:rPr>
                <w:b w:val="false"/>
                <w:bCs w:val="false"/>
                <w:sz w:val="20"/>
                <w:szCs w:val="20"/>
              </w:rPr>
              <w:t xml:space="preserve">role.api:X (ApiRoleMiddleware)</w:t>
            </w:r>
          </w:p>
        </w:tc>
        <w:tc>
          <w:tcPr>
            <w:tcW w:type="dxa" w:w="6300"/>
            <w:tcMar>
              <w:top w:type="dxa" w:w="80"/>
              <w:left w:type="dxa" w:w="100"/>
              <w:bottom w:type="dxa" w:w="80"/>
              <w:right w:type="dxa" w:w="100"/>
            </w:tcMar>
          </w:tcPr>
          <w:p>
            <w:r>
              <w:rPr>
                <w:b w:val="false"/>
                <w:bCs w:val="false"/>
                <w:sz w:val="20"/>
                <w:szCs w:val="20"/>
              </w:rPr>
              <w:t xml:space="preserve">Confirms the JWT's role and that a matching UserSession is still active.</w:t>
            </w:r>
          </w:p>
        </w:tc>
      </w:tr>
      <w:tr>
        <w:tc>
          <w:tcPr>
            <w:tcW w:type="dxa" w:w="3200"/>
            <w:shd w:fill="F2F2F2" w:val="clear"/>
            <w:tcMar>
              <w:top w:type="dxa" w:w="80"/>
              <w:left w:type="dxa" w:w="100"/>
              <w:bottom w:type="dxa" w:w="80"/>
              <w:right w:type="dxa" w:w="100"/>
            </w:tcMar>
          </w:tcPr>
          <w:p>
            <w:r>
              <w:rPr>
                <w:b w:val="false"/>
                <w:bCs w:val="false"/>
                <w:sz w:val="20"/>
                <w:szCs w:val="20"/>
              </w:rPr>
              <w:t xml:space="preserve">patient.active (CheckPatientActive)</w:t>
            </w:r>
          </w:p>
        </w:tc>
        <w:tc>
          <w:tcPr>
            <w:tcW w:type="dxa" w:w="6300"/>
            <w:shd w:fill="F2F2F2" w:val="clear"/>
            <w:tcMar>
              <w:top w:type="dxa" w:w="80"/>
              <w:left w:type="dxa" w:w="100"/>
              <w:bottom w:type="dxa" w:w="80"/>
              <w:right w:type="dxa" w:w="100"/>
            </w:tcMar>
          </w:tcPr>
          <w:p>
            <w:r>
              <w:rPr>
                <w:b w:val="false"/>
                <w:bCs w:val="false"/>
                <w:sz w:val="20"/>
                <w:szCs w:val="20"/>
              </w:rPr>
              <w:t xml:space="preserve">Blocks access and force-logs-out if every patient linked to the account has been soft-deleted.</w:t>
            </w:r>
          </w:p>
        </w:tc>
      </w:tr>
      <w:tr>
        <w:tc>
          <w:tcPr>
            <w:tcW w:type="dxa" w:w="3200"/>
            <w:tcMar>
              <w:top w:type="dxa" w:w="80"/>
              <w:left w:type="dxa" w:w="100"/>
              <w:bottom w:type="dxa" w:w="80"/>
              <w:right w:type="dxa" w:w="100"/>
            </w:tcMar>
          </w:tcPr>
          <w:p>
            <w:r>
              <w:rPr>
                <w:b w:val="false"/>
                <w:bCs w:val="false"/>
                <w:sz w:val="20"/>
                <w:szCs w:val="20"/>
              </w:rPr>
              <w:t xml:space="preserve">proxy.log (LogProxyAccessMiddleware)</w:t>
            </w:r>
          </w:p>
        </w:tc>
        <w:tc>
          <w:tcPr>
            <w:tcW w:type="dxa" w:w="6300"/>
            <w:tcMar>
              <w:top w:type="dxa" w:w="80"/>
              <w:left w:type="dxa" w:w="100"/>
              <w:bottom w:type="dxa" w:w="80"/>
              <w:right w:type="dxa" w:w="100"/>
            </w:tcMar>
          </w:tcPr>
          <w:p>
            <w:r>
              <w:rPr>
                <w:b w:val="false"/>
                <w:bCs w:val="false"/>
                <w:sz w:val="20"/>
                <w:szCs w:val="20"/>
              </w:rPr>
              <w:t xml:space="preserve">Writes a ProxyAccessHistory audit row when a proxy account accesses patient data.</w:t>
            </w:r>
          </w:p>
        </w:tc>
      </w:tr>
      <w:tr>
        <w:tc>
          <w:tcPr>
            <w:tcW w:type="dxa" w:w="3200"/>
            <w:shd w:fill="F2F2F2" w:val="clear"/>
            <w:tcMar>
              <w:top w:type="dxa" w:w="80"/>
              <w:left w:type="dxa" w:w="100"/>
              <w:bottom w:type="dxa" w:w="80"/>
              <w:right w:type="dxa" w:w="100"/>
            </w:tcMar>
          </w:tcPr>
          <w:p>
            <w:r>
              <w:rPr>
                <w:b w:val="false"/>
                <w:bCs w:val="false"/>
                <w:sz w:val="20"/>
                <w:szCs w:val="20"/>
              </w:rPr>
              <w:t xml:space="preserve">internal.api.key (VerifyInternalApiKey)</w:t>
            </w:r>
          </w:p>
        </w:tc>
        <w:tc>
          <w:tcPr>
            <w:tcW w:type="dxa" w:w="6300"/>
            <w:shd w:fill="F2F2F2" w:val="clear"/>
            <w:tcMar>
              <w:top w:type="dxa" w:w="80"/>
              <w:left w:type="dxa" w:w="100"/>
              <w:bottom w:type="dxa" w:w="80"/>
              <w:right w:type="dxa" w:w="100"/>
            </w:tcMar>
          </w:tcPr>
          <w:p>
            <w:r>
              <w:rPr>
                <w:b w:val="false"/>
                <w:bCs w:val="false"/>
                <w:sz w:val="20"/>
                <w:szCs w:val="20"/>
              </w:rPr>
              <w:t xml:space="preserve">Shared-secret header check for server-to-server endpoints such as login-by-email.</w:t>
            </w:r>
          </w:p>
        </w:tc>
      </w:tr>
    </w:tbl>
    <w:p>
      <w:pPr>
        <w:pStyle w:val="Heading1"/>
        <w:spacing w:after="160" w:before="360"/>
      </w:pPr>
      <w:r>
        <w:t xml:space="preserve">8. Notifications (Email &amp; SMS)</w:t>
      </w:r>
    </w:p>
    <w:p>
      <w:pPr>
        <w:spacing w:after="140"/>
      </w:pPr>
      <w:r>
        <w:t xml:space="preserve">Outbound communication uses Laravel Mailables directly (there is no app/Notifications directory) plus direct Twilio REST calls for SMS.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400"/>
      </w:tblGrid>
      <w:tr>
        <w:trPr>
          <w:tblHeader/>
        </w:trPr>
        <w:tc>
          <w:tcPr>
            <w:tcW w:type="dxa" w:w="2600"/>
            <w:shd w:fill="1F4E79" w:val="clear"/>
            <w:tcMar>
              <w:top w:type="dxa" w:w="80"/>
              <w:left w:type="dxa" w:w="100"/>
              <w:bottom w:type="dxa" w:w="80"/>
              <w:right w:type="dxa" w:w="100"/>
            </w:tcMar>
          </w:tcPr>
          <w:p>
            <w:r>
              <w:rPr>
                <w:b/>
                <w:bCs/>
                <w:color w:val="FFFFFF"/>
                <w:sz w:val="20"/>
                <w:szCs w:val="20"/>
              </w:rPr>
              <w:t xml:space="preserve">Notification</w:t>
            </w:r>
          </w:p>
        </w:tc>
        <w:tc>
          <w:tcPr>
            <w:tcW w:type="dxa" w:w="1500"/>
            <w:shd w:fill="1F4E79" w:val="clear"/>
            <w:tcMar>
              <w:top w:type="dxa" w:w="80"/>
              <w:left w:type="dxa" w:w="100"/>
              <w:bottom w:type="dxa" w:w="80"/>
              <w:right w:type="dxa" w:w="100"/>
            </w:tcMar>
          </w:tcPr>
          <w:p>
            <w:r>
              <w:rPr>
                <w:b/>
                <w:bCs/>
                <w:color w:val="FFFFFF"/>
                <w:sz w:val="20"/>
                <w:szCs w:val="20"/>
              </w:rPr>
              <w:t xml:space="preserve">Channel</w:t>
            </w:r>
          </w:p>
        </w:tc>
        <w:tc>
          <w:tcPr>
            <w:tcW w:type="dxa" w:w="5400"/>
            <w:shd w:fill="1F4E79" w:val="clear"/>
            <w:tcMar>
              <w:top w:type="dxa" w:w="80"/>
              <w:left w:type="dxa" w:w="100"/>
              <w:bottom w:type="dxa" w:w="80"/>
              <w:right w:type="dxa" w:w="100"/>
            </w:tcMar>
          </w:tcPr>
          <w:p>
            <w:r>
              <w:rPr>
                <w:b/>
                <w:bCs/>
                <w:color w:val="FFFFFF"/>
                <w:sz w:val="20"/>
                <w:szCs w:val="20"/>
              </w:rPr>
              <w:t xml:space="preserve">Purpose</w:t>
            </w:r>
          </w:p>
        </w:tc>
      </w:tr>
      <w:tr>
        <w:tc>
          <w:tcPr>
            <w:tcW w:type="dxa" w:w="2600"/>
            <w:tcMar>
              <w:top w:type="dxa" w:w="80"/>
              <w:left w:type="dxa" w:w="100"/>
              <w:bottom w:type="dxa" w:w="80"/>
              <w:right w:type="dxa" w:w="100"/>
            </w:tcMar>
          </w:tcPr>
          <w:p>
            <w:r>
              <w:rPr>
                <w:b w:val="false"/>
                <w:bCs w:val="false"/>
                <w:sz w:val="20"/>
                <w:szCs w:val="20"/>
              </w:rPr>
              <w:t xml:space="preserve">PasswordResetMail</w:t>
            </w:r>
          </w:p>
        </w:tc>
        <w:tc>
          <w:tcPr>
            <w:tcW w:type="dxa" w:w="1500"/>
            <w:tcMar>
              <w:top w:type="dxa" w:w="80"/>
              <w:left w:type="dxa" w:w="100"/>
              <w:bottom w:type="dxa" w:w="80"/>
              <w:right w:type="dxa" w:w="100"/>
            </w:tcMar>
          </w:tcPr>
          <w:p>
            <w:r>
              <w:rPr>
                <w:b w:val="false"/>
                <w:bCs w:val="false"/>
                <w:sz w:val="20"/>
                <w:szCs w:val="20"/>
              </w:rPr>
              <w:t xml:space="preserve">Email</w:t>
            </w:r>
          </w:p>
        </w:tc>
        <w:tc>
          <w:tcPr>
            <w:tcW w:type="dxa" w:w="5400"/>
            <w:tcMar>
              <w:top w:type="dxa" w:w="80"/>
              <w:left w:type="dxa" w:w="100"/>
              <w:bottom w:type="dxa" w:w="80"/>
              <w:right w:type="dxa" w:w="100"/>
            </w:tcMar>
          </w:tcPr>
          <w:p>
            <w:r>
              <w:rPr>
                <w:b w:val="false"/>
                <w:bCs w:val="false"/>
                <w:sz w:val="20"/>
                <w:szCs w:val="20"/>
              </w:rPr>
              <w:t xml:space="preserve">Password-reset link for patients and admins.</w:t>
            </w:r>
          </w:p>
        </w:tc>
      </w:tr>
      <w:tr>
        <w:tc>
          <w:tcPr>
            <w:tcW w:type="dxa" w:w="2600"/>
            <w:shd w:fill="F2F2F2" w:val="clear"/>
            <w:tcMar>
              <w:top w:type="dxa" w:w="80"/>
              <w:left w:type="dxa" w:w="100"/>
              <w:bottom w:type="dxa" w:w="80"/>
              <w:right w:type="dxa" w:w="100"/>
            </w:tcMar>
          </w:tcPr>
          <w:p>
            <w:r>
              <w:rPr>
                <w:b w:val="false"/>
                <w:bCs w:val="false"/>
                <w:sz w:val="20"/>
                <w:szCs w:val="20"/>
              </w:rPr>
              <w:t xml:space="preserve">AssignFunnelMail</w:t>
            </w:r>
          </w:p>
        </w:tc>
        <w:tc>
          <w:tcPr>
            <w:tcW w:type="dxa" w:w="1500"/>
            <w:shd w:fill="F2F2F2" w:val="clear"/>
            <w:tcMar>
              <w:top w:type="dxa" w:w="80"/>
              <w:left w:type="dxa" w:w="100"/>
              <w:bottom w:type="dxa" w:w="80"/>
              <w:right w:type="dxa" w:w="100"/>
            </w:tcMar>
          </w:tcPr>
          <w:p>
            <w:r>
              <w:rPr>
                <w:b w:val="false"/>
                <w:bCs w:val="false"/>
                <w:sz w:val="20"/>
                <w:szCs w:val="20"/>
              </w:rPr>
              <w:t xml:space="preserve">Email</w:t>
            </w:r>
          </w:p>
        </w:tc>
        <w:tc>
          <w:tcPr>
            <w:tcW w:type="dxa" w:w="5400"/>
            <w:shd w:fill="F2F2F2" w:val="clear"/>
            <w:tcMar>
              <w:top w:type="dxa" w:w="80"/>
              <w:left w:type="dxa" w:w="100"/>
              <w:bottom w:type="dxa" w:w="80"/>
              <w:right w:type="dxa" w:w="100"/>
            </w:tcMar>
          </w:tcPr>
          <w:p>
            <w:r>
              <w:rPr>
                <w:b w:val="false"/>
                <w:bCs w:val="false"/>
                <w:sz w:val="20"/>
                <w:szCs w:val="20"/>
              </w:rPr>
              <w:t xml:space="preserve">Funnel-assignment notification carrying an encoded deep link into the patient front-end app.</w:t>
            </w:r>
          </w:p>
        </w:tc>
      </w:tr>
      <w:tr>
        <w:tc>
          <w:tcPr>
            <w:tcW w:type="dxa" w:w="2600"/>
            <w:tcMar>
              <w:top w:type="dxa" w:w="80"/>
              <w:left w:type="dxa" w:w="100"/>
              <w:bottom w:type="dxa" w:w="80"/>
              <w:right w:type="dxa" w:w="100"/>
            </w:tcMar>
          </w:tcPr>
          <w:p>
            <w:r>
              <w:rPr>
                <w:b w:val="false"/>
                <w:bCs w:val="false"/>
                <w:sz w:val="20"/>
                <w:szCs w:val="20"/>
              </w:rPr>
              <w:t xml:space="preserve">ProxyInvitationMail</w:t>
            </w:r>
          </w:p>
        </w:tc>
        <w:tc>
          <w:tcPr>
            <w:tcW w:type="dxa" w:w="1500"/>
            <w:tcMar>
              <w:top w:type="dxa" w:w="80"/>
              <w:left w:type="dxa" w:w="100"/>
              <w:bottom w:type="dxa" w:w="80"/>
              <w:right w:type="dxa" w:w="100"/>
            </w:tcMar>
          </w:tcPr>
          <w:p>
            <w:r>
              <w:rPr>
                <w:b w:val="false"/>
                <w:bCs w:val="false"/>
                <w:sz w:val="20"/>
                <w:szCs w:val="20"/>
              </w:rPr>
              <w:t xml:space="preserve">Email</w:t>
            </w:r>
          </w:p>
        </w:tc>
        <w:tc>
          <w:tcPr>
            <w:tcW w:type="dxa" w:w="5400"/>
            <w:tcMar>
              <w:top w:type="dxa" w:w="80"/>
              <w:left w:type="dxa" w:w="100"/>
              <w:bottom w:type="dxa" w:w="80"/>
              <w:right w:type="dxa" w:w="100"/>
            </w:tcMar>
          </w:tcPr>
          <w:p>
            <w:r>
              <w:rPr>
                <w:b w:val="false"/>
                <w:bCs w:val="false"/>
                <w:sz w:val="20"/>
                <w:szCs w:val="20"/>
              </w:rPr>
              <w:t xml:space="preserve">Invites a caregiver/family member to accept proxy access, with an expiring accept link.</w:t>
            </w:r>
          </w:p>
        </w:tc>
      </w:tr>
      <w:tr>
        <w:tc>
          <w:tcPr>
            <w:tcW w:type="dxa" w:w="2600"/>
            <w:shd w:fill="F2F2F2" w:val="clear"/>
            <w:tcMar>
              <w:top w:type="dxa" w:w="80"/>
              <w:left w:type="dxa" w:w="100"/>
              <w:bottom w:type="dxa" w:w="80"/>
              <w:right w:type="dxa" w:w="100"/>
            </w:tcMar>
          </w:tcPr>
          <w:p>
            <w:r>
              <w:rPr>
                <w:b w:val="false"/>
                <w:bCs w:val="false"/>
                <w:sz w:val="20"/>
                <w:szCs w:val="20"/>
              </w:rPr>
              <w:t xml:space="preserve">Twilio SMS</w:t>
            </w:r>
          </w:p>
        </w:tc>
        <w:tc>
          <w:tcPr>
            <w:tcW w:type="dxa" w:w="1500"/>
            <w:shd w:fill="F2F2F2" w:val="clear"/>
            <w:tcMar>
              <w:top w:type="dxa" w:w="80"/>
              <w:left w:type="dxa" w:w="100"/>
              <w:bottom w:type="dxa" w:w="80"/>
              <w:right w:type="dxa" w:w="100"/>
            </w:tcMar>
          </w:tcPr>
          <w:p>
            <w:r>
              <w:rPr>
                <w:b w:val="false"/>
                <w:bCs w:val="false"/>
                <w:sz w:val="20"/>
                <w:szCs w:val="20"/>
              </w:rPr>
              <w:t xml:space="preserve">SMS</w:t>
            </w:r>
          </w:p>
        </w:tc>
        <w:tc>
          <w:tcPr>
            <w:tcW w:type="dxa" w:w="5400"/>
            <w:shd w:fill="F2F2F2" w:val="clear"/>
            <w:tcMar>
              <w:top w:type="dxa" w:w="80"/>
              <w:left w:type="dxa" w:w="100"/>
              <w:bottom w:type="dxa" w:w="80"/>
              <w:right w:type="dxa" w:w="100"/>
            </w:tcMar>
          </w:tcPr>
          <w:p>
            <w:r>
              <w:rPr>
                <w:b w:val="false"/>
                <w:bCs w:val="false"/>
                <w:sz w:val="20"/>
                <w:szCs w:val="20"/>
              </w:rPr>
              <w:t xml:space="preserve">Password-reset codes and funnel-assignment links, sent directly via the Twilio REST API.</w:t>
            </w:r>
          </w:p>
        </w:tc>
      </w:tr>
    </w:tbl>
    <w:p>
      <w:pPr>
        <w:pStyle w:val="Heading1"/>
        <w:spacing w:after="160" w:before="360"/>
      </w:pPr>
      <w:r>
        <w:t xml:space="preserve">9. Logging</w:t>
      </w:r>
    </w:p>
    <w:p>
      <w:pPr>
        <w:spacing w:after="140"/>
      </w:pPr>
      <w:r>
        <w:t xml:space="preserve">The application defines an extensive set of custom, daily-rotating log channels (config/logging.php), each scoped to a functional area of the product — useful both for operational monitoring and as a map of the system's major features.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6600"/>
      </w:tblGrid>
      <w:tr>
        <w:trPr>
          <w:tblHeader/>
        </w:trPr>
        <w:tc>
          <w:tcPr>
            <w:tcW w:type="dxa" w:w="2900"/>
            <w:shd w:fill="1F4E79" w:val="clear"/>
            <w:tcMar>
              <w:top w:type="dxa" w:w="80"/>
              <w:left w:type="dxa" w:w="100"/>
              <w:bottom w:type="dxa" w:w="80"/>
              <w:right w:type="dxa" w:w="100"/>
            </w:tcMar>
          </w:tcPr>
          <w:p>
            <w:r>
              <w:rPr>
                <w:b/>
                <w:bCs/>
                <w:color w:val="FFFFFF"/>
                <w:sz w:val="20"/>
                <w:szCs w:val="20"/>
              </w:rPr>
              <w:t xml:space="preserve">Channel</w:t>
            </w:r>
          </w:p>
        </w:tc>
        <w:tc>
          <w:tcPr>
            <w:tcW w:type="dxa" w:w="6600"/>
            <w:shd w:fill="1F4E79" w:val="clear"/>
            <w:tcMar>
              <w:top w:type="dxa" w:w="80"/>
              <w:left w:type="dxa" w:w="100"/>
              <w:bottom w:type="dxa" w:w="80"/>
              <w:right w:type="dxa" w:w="100"/>
            </w:tcMar>
          </w:tcPr>
          <w:p>
            <w:r>
              <w:rPr>
                <w:b/>
                <w:bCs/>
                <w:color w:val="FFFFFF"/>
                <w:sz w:val="20"/>
                <w:szCs w:val="20"/>
              </w:rPr>
              <w:t xml:space="preserve">Covers</w:t>
            </w:r>
          </w:p>
        </w:tc>
      </w:tr>
      <w:tr>
        <w:tc>
          <w:tcPr>
            <w:tcW w:type="dxa" w:w="2900"/>
            <w:tcMar>
              <w:top w:type="dxa" w:w="80"/>
              <w:left w:type="dxa" w:w="100"/>
              <w:bottom w:type="dxa" w:w="80"/>
              <w:right w:type="dxa" w:w="100"/>
            </w:tcMar>
          </w:tcPr>
          <w:p>
            <w:r>
              <w:rPr>
                <w:b w:val="false"/>
                <w:bCs w:val="false"/>
                <w:sz w:val="20"/>
                <w:szCs w:val="20"/>
              </w:rPr>
              <w:t xml:space="preserve">auth</w:t>
            </w:r>
          </w:p>
        </w:tc>
        <w:tc>
          <w:tcPr>
            <w:tcW w:type="dxa" w:w="6600"/>
            <w:tcMar>
              <w:top w:type="dxa" w:w="80"/>
              <w:left w:type="dxa" w:w="100"/>
              <w:bottom w:type="dxa" w:w="80"/>
              <w:right w:type="dxa" w:w="100"/>
            </w:tcMar>
          </w:tcPr>
          <w:p>
            <w:r>
              <w:rPr>
                <w:b w:val="false"/>
                <w:bCs w:val="false"/>
                <w:sz w:val="20"/>
                <w:szCs w:val="20"/>
              </w:rPr>
              <w:t xml:space="preserve">JWT login / logout / refresh / case-switch events.</w:t>
            </w:r>
          </w:p>
        </w:tc>
      </w:tr>
      <w:tr>
        <w:tc>
          <w:tcPr>
            <w:tcW w:type="dxa" w:w="2900"/>
            <w:shd w:fill="F2F2F2" w:val="clear"/>
            <w:tcMar>
              <w:top w:type="dxa" w:w="80"/>
              <w:left w:type="dxa" w:w="100"/>
              <w:bottom w:type="dxa" w:w="80"/>
              <w:right w:type="dxa" w:w="100"/>
            </w:tcMar>
          </w:tcPr>
          <w:p>
            <w:r>
              <w:rPr>
                <w:b w:val="false"/>
                <w:bCs w:val="false"/>
                <w:sz w:val="20"/>
                <w:szCs w:val="20"/>
              </w:rPr>
              <w:t xml:space="preserve">password_reset</w:t>
            </w:r>
          </w:p>
        </w:tc>
        <w:tc>
          <w:tcPr>
            <w:tcW w:type="dxa" w:w="6600"/>
            <w:shd w:fill="F2F2F2" w:val="clear"/>
            <w:tcMar>
              <w:top w:type="dxa" w:w="80"/>
              <w:left w:type="dxa" w:w="100"/>
              <w:bottom w:type="dxa" w:w="80"/>
              <w:right w:type="dxa" w:w="100"/>
            </w:tcMar>
          </w:tcPr>
          <w:p>
            <w:r>
              <w:rPr>
                <w:b w:val="false"/>
                <w:bCs w:val="false"/>
                <w:sz w:val="20"/>
                <w:szCs w:val="20"/>
              </w:rPr>
              <w:t xml:space="preserve">Forgot / reset / validate-token flow, email and SMS.</w:t>
            </w:r>
          </w:p>
        </w:tc>
      </w:tr>
      <w:tr>
        <w:tc>
          <w:tcPr>
            <w:tcW w:type="dxa" w:w="2900"/>
            <w:tcMar>
              <w:top w:type="dxa" w:w="80"/>
              <w:left w:type="dxa" w:w="100"/>
              <w:bottom w:type="dxa" w:w="80"/>
              <w:right w:type="dxa" w:w="100"/>
            </w:tcMar>
          </w:tcPr>
          <w:p>
            <w:r>
              <w:rPr>
                <w:b w:val="false"/>
                <w:bCs w:val="false"/>
                <w:sz w:val="20"/>
                <w:szCs w:val="20"/>
              </w:rPr>
              <w:t xml:space="preserve">direct_login / sso_login</w:t>
            </w:r>
          </w:p>
        </w:tc>
        <w:tc>
          <w:tcPr>
            <w:tcW w:type="dxa" w:w="6600"/>
            <w:tcMar>
              <w:top w:type="dxa" w:w="80"/>
              <w:left w:type="dxa" w:w="100"/>
              <w:bottom w:type="dxa" w:w="80"/>
              <w:right w:type="dxa" w:w="100"/>
            </w:tcMar>
          </w:tcPr>
          <w:p>
            <w:r>
              <w:rPr>
                <w:b w:val="false"/>
                <w:bCs w:val="false"/>
                <w:sz w:val="20"/>
                <w:szCs w:val="20"/>
              </w:rPr>
              <w:t xml:space="preserve">Passwordless internal SSO flows.</w:t>
            </w:r>
          </w:p>
        </w:tc>
      </w:tr>
      <w:tr>
        <w:tc>
          <w:tcPr>
            <w:tcW w:type="dxa" w:w="2900"/>
            <w:shd w:fill="F2F2F2" w:val="clear"/>
            <w:tcMar>
              <w:top w:type="dxa" w:w="80"/>
              <w:left w:type="dxa" w:w="100"/>
              <w:bottom w:type="dxa" w:w="80"/>
              <w:right w:type="dxa" w:w="100"/>
            </w:tcMar>
          </w:tcPr>
          <w:p>
            <w:r>
              <w:rPr>
                <w:b w:val="false"/>
                <w:bCs w:val="false"/>
                <w:sz w:val="20"/>
                <w:szCs w:val="20"/>
              </w:rPr>
              <w:t xml:space="preserve">patient</w:t>
            </w:r>
          </w:p>
        </w:tc>
        <w:tc>
          <w:tcPr>
            <w:tcW w:type="dxa" w:w="6600"/>
            <w:shd w:fill="F2F2F2" w:val="clear"/>
            <w:tcMar>
              <w:top w:type="dxa" w:w="80"/>
              <w:left w:type="dxa" w:w="100"/>
              <w:bottom w:type="dxa" w:w="80"/>
              <w:right w:type="dxa" w:w="100"/>
            </w:tcMar>
          </w:tcPr>
          <w:p>
            <w:r>
              <w:rPr>
                <w:b w:val="false"/>
                <w:bCs w:val="false"/>
                <w:sz w:val="20"/>
                <w:szCs w:val="20"/>
              </w:rPr>
              <w:t xml:space="preserve">Patient profile and case lookups.</w:t>
            </w:r>
          </w:p>
        </w:tc>
      </w:tr>
      <w:tr>
        <w:tc>
          <w:tcPr>
            <w:tcW w:type="dxa" w:w="2900"/>
            <w:tcMar>
              <w:top w:type="dxa" w:w="80"/>
              <w:left w:type="dxa" w:w="100"/>
              <w:bottom w:type="dxa" w:w="80"/>
              <w:right w:type="dxa" w:w="100"/>
            </w:tcMar>
          </w:tcPr>
          <w:p>
            <w:r>
              <w:rPr>
                <w:b w:val="false"/>
                <w:bCs w:val="false"/>
                <w:sz w:val="20"/>
                <w:szCs w:val="20"/>
              </w:rPr>
              <w:t xml:space="preserve">appointment</w:t>
            </w:r>
          </w:p>
        </w:tc>
        <w:tc>
          <w:tcPr>
            <w:tcW w:type="dxa" w:w="6600"/>
            <w:tcMar>
              <w:top w:type="dxa" w:w="80"/>
              <w:left w:type="dxa" w:w="100"/>
              <w:bottom w:type="dxa" w:w="80"/>
              <w:right w:type="dxa" w:w="100"/>
            </w:tcMar>
          </w:tcPr>
          <w:p>
            <w:r>
              <w:rPr>
                <w:b w:val="false"/>
                <w:bCs w:val="false"/>
                <w:sz w:val="20"/>
                <w:szCs w:val="20"/>
              </w:rPr>
              <w:t xml:space="preserve">Appointment CRUD, scheduling, availability.</w:t>
            </w:r>
          </w:p>
        </w:tc>
      </w:tr>
      <w:tr>
        <w:tc>
          <w:tcPr>
            <w:tcW w:type="dxa" w:w="2900"/>
            <w:shd w:fill="F2F2F2" w:val="clear"/>
            <w:tcMar>
              <w:top w:type="dxa" w:w="80"/>
              <w:left w:type="dxa" w:w="100"/>
              <w:bottom w:type="dxa" w:w="80"/>
              <w:right w:type="dxa" w:w="100"/>
            </w:tcMar>
          </w:tcPr>
          <w:p>
            <w:r>
              <w:rPr>
                <w:b w:val="false"/>
                <w:bCs w:val="false"/>
                <w:sz w:val="20"/>
                <w:szCs w:val="20"/>
              </w:rPr>
              <w:t xml:space="preserve">patient_funnel</w:t>
            </w:r>
          </w:p>
        </w:tc>
        <w:tc>
          <w:tcPr>
            <w:tcW w:type="dxa" w:w="6600"/>
            <w:shd w:fill="F2F2F2" w:val="clear"/>
            <w:tcMar>
              <w:top w:type="dxa" w:w="80"/>
              <w:left w:type="dxa" w:w="100"/>
              <w:bottom w:type="dxa" w:w="80"/>
              <w:right w:type="dxa" w:w="100"/>
            </w:tcMar>
          </w:tcPr>
          <w:p>
            <w:r>
              <w:rPr>
                <w:b w:val="false"/>
                <w:bCs w:val="false"/>
                <w:sz w:val="20"/>
                <w:szCs w:val="20"/>
              </w:rPr>
              <w:t xml:space="preserve">Funnel assignment, patient funnel status, proxy access, recent activity.</w:t>
            </w:r>
          </w:p>
        </w:tc>
      </w:tr>
      <w:tr>
        <w:tc>
          <w:tcPr>
            <w:tcW w:type="dxa" w:w="2900"/>
            <w:tcMar>
              <w:top w:type="dxa" w:w="80"/>
              <w:left w:type="dxa" w:w="100"/>
              <w:bottom w:type="dxa" w:w="80"/>
              <w:right w:type="dxa" w:w="100"/>
            </w:tcMar>
          </w:tcPr>
          <w:p>
            <w:r>
              <w:rPr>
                <w:b w:val="false"/>
                <w:bCs w:val="false"/>
                <w:sz w:val="20"/>
                <w:szCs w:val="20"/>
              </w:rPr>
              <w:t xml:space="preserve">patient_form</w:t>
            </w:r>
          </w:p>
        </w:tc>
        <w:tc>
          <w:tcPr>
            <w:tcW w:type="dxa" w:w="6600"/>
            <w:tcMar>
              <w:top w:type="dxa" w:w="80"/>
              <w:left w:type="dxa" w:w="100"/>
              <w:bottom w:type="dxa" w:w="80"/>
              <w:right w:type="dxa" w:w="100"/>
            </w:tcMar>
          </w:tcPr>
          <w:p>
            <w:r>
              <w:rPr>
                <w:b w:val="false"/>
                <w:bCs w:val="false"/>
                <w:sz w:val="20"/>
                <w:szCs w:val="20"/>
              </w:rPr>
              <w:t xml:space="preserve">Form submission, clinical notes/documents, form notes.</w:t>
            </w:r>
          </w:p>
        </w:tc>
      </w:tr>
      <w:tr>
        <w:tc>
          <w:tcPr>
            <w:tcW w:type="dxa" w:w="2900"/>
            <w:shd w:fill="F2F2F2" w:val="clear"/>
            <w:tcMar>
              <w:top w:type="dxa" w:w="80"/>
              <w:left w:type="dxa" w:w="100"/>
              <w:bottom w:type="dxa" w:w="80"/>
              <w:right w:type="dxa" w:w="100"/>
            </w:tcMar>
          </w:tcPr>
          <w:p>
            <w:r>
              <w:rPr>
                <w:b w:val="false"/>
                <w:bCs w:val="false"/>
                <w:sz w:val="20"/>
                <w:szCs w:val="20"/>
              </w:rPr>
              <w:t xml:space="preserve">proxy</w:t>
            </w:r>
          </w:p>
        </w:tc>
        <w:tc>
          <w:tcPr>
            <w:tcW w:type="dxa" w:w="6600"/>
            <w:shd w:fill="F2F2F2" w:val="clear"/>
            <w:tcMar>
              <w:top w:type="dxa" w:w="80"/>
              <w:left w:type="dxa" w:w="100"/>
              <w:bottom w:type="dxa" w:w="80"/>
              <w:right w:type="dxa" w:w="100"/>
            </w:tcMar>
          </w:tcPr>
          <w:p>
            <w:r>
              <w:rPr>
                <w:b w:val="false"/>
                <w:bCs w:val="false"/>
                <w:sz w:val="20"/>
                <w:szCs w:val="20"/>
              </w:rPr>
              <w:t xml:space="preserve">Proxy invite / accept / revoke / list / history / switch-patient.</w:t>
            </w:r>
          </w:p>
        </w:tc>
      </w:tr>
      <w:tr>
        <w:tc>
          <w:tcPr>
            <w:tcW w:type="dxa" w:w="2900"/>
            <w:tcMar>
              <w:top w:type="dxa" w:w="80"/>
              <w:left w:type="dxa" w:w="100"/>
              <w:bottom w:type="dxa" w:w="80"/>
              <w:right w:type="dxa" w:w="100"/>
            </w:tcMar>
          </w:tcPr>
          <w:p>
            <w:r>
              <w:rPr>
                <w:b w:val="false"/>
                <w:bCs w:val="false"/>
                <w:sz w:val="20"/>
                <w:szCs w:val="20"/>
              </w:rPr>
              <w:t xml:space="preserve">admin_dashboard / admin_analytics / admin_billing / admin_appointments</w:t>
            </w:r>
          </w:p>
        </w:tc>
        <w:tc>
          <w:tcPr>
            <w:tcW w:type="dxa" w:w="6600"/>
            <w:tcMar>
              <w:top w:type="dxa" w:w="80"/>
              <w:left w:type="dxa" w:w="100"/>
              <w:bottom w:type="dxa" w:w="80"/>
              <w:right w:type="dxa" w:w="100"/>
            </w:tcMar>
          </w:tcPr>
          <w:p>
            <w:r>
              <w:rPr>
                <w:b w:val="false"/>
                <w:bCs w:val="false"/>
                <w:sz w:val="20"/>
                <w:szCs w:val="20"/>
              </w:rPr>
              <w:t xml:space="preserve">Admin panel views for each respective module.</w:t>
            </w:r>
          </w:p>
        </w:tc>
      </w:tr>
      <w:tr>
        <w:tc>
          <w:tcPr>
            <w:tcW w:type="dxa" w:w="2900"/>
            <w:shd w:fill="F2F2F2" w:val="clear"/>
            <w:tcMar>
              <w:top w:type="dxa" w:w="80"/>
              <w:left w:type="dxa" w:w="100"/>
              <w:bottom w:type="dxa" w:w="80"/>
              <w:right w:type="dxa" w:w="100"/>
            </w:tcMar>
          </w:tcPr>
          <w:p>
            <w:r>
              <w:rPr>
                <w:b w:val="false"/>
                <w:bCs w:val="false"/>
                <w:sz w:val="20"/>
                <w:szCs w:val="20"/>
              </w:rPr>
              <w:t xml:space="preserve">admin_forms / admin_funnels</w:t>
            </w:r>
          </w:p>
        </w:tc>
        <w:tc>
          <w:tcPr>
            <w:tcW w:type="dxa" w:w="6600"/>
            <w:shd w:fill="F2F2F2" w:val="clear"/>
            <w:tcMar>
              <w:top w:type="dxa" w:w="80"/>
              <w:left w:type="dxa" w:w="100"/>
              <w:bottom w:type="dxa" w:w="80"/>
              <w:right w:type="dxa" w:w="100"/>
            </w:tcMar>
          </w:tcPr>
          <w:p>
            <w:r>
              <w:rPr>
                <w:b w:val="false"/>
                <w:bCs w:val="false"/>
                <w:sz w:val="20"/>
                <w:szCs w:val="20"/>
              </w:rPr>
              <w:t xml:space="preserve">Admin form and funnel builder CRUD, publish, schema saves.</w:t>
            </w:r>
          </w:p>
        </w:tc>
      </w:tr>
      <w:tr>
        <w:tc>
          <w:tcPr>
            <w:tcW w:type="dxa" w:w="2900"/>
            <w:tcMar>
              <w:top w:type="dxa" w:w="80"/>
              <w:left w:type="dxa" w:w="100"/>
              <w:bottom w:type="dxa" w:w="80"/>
              <w:right w:type="dxa" w:w="100"/>
            </w:tcMar>
          </w:tcPr>
          <w:p>
            <w:r>
              <w:rPr>
                <w:b w:val="false"/>
                <w:bCs w:val="false"/>
                <w:sz w:val="20"/>
                <w:szCs w:val="20"/>
              </w:rPr>
              <w:t xml:space="preserve">admin_messages / admin_users</w:t>
            </w:r>
          </w:p>
        </w:tc>
        <w:tc>
          <w:tcPr>
            <w:tcW w:type="dxa" w:w="6600"/>
            <w:tcMar>
              <w:top w:type="dxa" w:w="80"/>
              <w:left w:type="dxa" w:w="100"/>
              <w:bottom w:type="dxa" w:w="80"/>
              <w:right w:type="dxa" w:w="100"/>
            </w:tcMar>
          </w:tcPr>
          <w:p>
            <w:r>
              <w:rPr>
                <w:b w:val="false"/>
                <w:bCs w:val="false"/>
                <w:sz w:val="20"/>
                <w:szCs w:val="20"/>
              </w:rPr>
              <w:t xml:space="preserve">Admin messaging and user management.</w:t>
            </w:r>
          </w:p>
        </w:tc>
      </w:tr>
      <w:tr>
        <w:tc>
          <w:tcPr>
            <w:tcW w:type="dxa" w:w="2900"/>
            <w:shd w:fill="F2F2F2" w:val="clear"/>
            <w:tcMar>
              <w:top w:type="dxa" w:w="80"/>
              <w:left w:type="dxa" w:w="100"/>
              <w:bottom w:type="dxa" w:w="80"/>
              <w:right w:type="dxa" w:w="100"/>
            </w:tcMar>
          </w:tcPr>
          <w:p>
            <w:r>
              <w:rPr>
                <w:b w:val="false"/>
                <w:bCs w:val="false"/>
                <w:sz w:val="20"/>
                <w:szCs w:val="20"/>
              </w:rPr>
              <w:t xml:space="preserve">admin_old_forms</w:t>
            </w:r>
          </w:p>
        </w:tc>
        <w:tc>
          <w:tcPr>
            <w:tcW w:type="dxa" w:w="6600"/>
            <w:shd w:fill="F2F2F2" w:val="clear"/>
            <w:tcMar>
              <w:top w:type="dxa" w:w="80"/>
              <w:left w:type="dxa" w:w="100"/>
              <w:bottom w:type="dxa" w:w="80"/>
              <w:right w:type="dxa" w:w="100"/>
            </w:tcMar>
          </w:tcPr>
          <w:p>
            <w:r>
              <w:rPr>
                <w:b w:val="false"/>
                <w:bCs w:val="false"/>
                <w:sz w:val="20"/>
                <w:szCs w:val="20"/>
              </w:rPr>
              <w:t xml:space="preserve">Legacy form migration/sync tooling.</w:t>
            </w:r>
          </w:p>
        </w:tc>
      </w:tr>
    </w:tbl>
    <w:p>
      <w:pPr>
        <w:pStyle w:val="Heading1"/>
        <w:spacing w:after="160" w:before="360"/>
      </w:pPr>
      <w:r>
        <w:t xml:space="preserve">10. Database Overview</w:t>
      </w:r>
    </w:p>
    <w:p>
      <w:pPr>
        <w:spacing w:after="140"/>
      </w:pPr>
      <w:r>
        <w:t xml:space="preserve">The application's own schema (default connection) centers on the forms/funnels/messaging/session/proxy domain; clinical data lives entirely in the separate ahcs, medhiwa_ahcs, and physician connections described in Section 3.</w:t>
      </w:r>
    </w:p>
    <w:p>
      <w:pPr>
        <w:pStyle w:val="ListParagraph"/>
        <w:numPr>
          <w:ilvl w:val="0"/>
          <w:numId w:val="1"/>
        </w:numPr>
        <w:spacing w:after="80"/>
      </w:pPr>
      <w:r>
        <w:rPr>
          <w:b/>
          <w:bCs/>
        </w:rPr>
        <w:t xml:space="preserve">Users — </w:t>
      </w:r>
      <w:r>
        <w:t xml:space="preserve">users, password_reset_tokens, user_sessions, personal_access_tokens.</w:t>
      </w:r>
    </w:p>
    <w:p>
      <w:pPr>
        <w:pStyle w:val="ListParagraph"/>
        <w:numPr>
          <w:ilvl w:val="0"/>
          <w:numId w:val="1"/>
        </w:numPr>
        <w:spacing w:after="80"/>
      </w:pPr>
      <w:r>
        <w:rPr>
          <w:b/>
          <w:bCs/>
        </w:rPr>
        <w:t xml:space="preserve">Forms &amp; Funnels — </w:t>
      </w:r>
      <w:r>
        <w:t xml:space="preserve">forms, funnels, form_submissions, form_submission_notes.</w:t>
      </w:r>
    </w:p>
    <w:p>
      <w:pPr>
        <w:pStyle w:val="ListParagraph"/>
        <w:numPr>
          <w:ilvl w:val="0"/>
          <w:numId w:val="1"/>
        </w:numPr>
        <w:spacing w:after="80"/>
      </w:pPr>
      <w:r>
        <w:rPr>
          <w:b/>
          <w:bCs/>
        </w:rPr>
        <w:t xml:space="preserve">Assignment &amp; case scoping — </w:t>
      </w:r>
      <w:r>
        <w:t xml:space="preserve">user_funnels, patient_cases.</w:t>
      </w:r>
    </w:p>
    <w:p>
      <w:pPr>
        <w:pStyle w:val="ListParagraph"/>
        <w:numPr>
          <w:ilvl w:val="0"/>
          <w:numId w:val="1"/>
        </w:numPr>
        <w:spacing w:after="80"/>
      </w:pPr>
      <w:r>
        <w:rPr>
          <w:b/>
          <w:bCs/>
        </w:rPr>
        <w:t xml:space="preserve">Messaging — </w:t>
      </w:r>
      <w:r>
        <w:t xml:space="preserve">messages.</w:t>
      </w:r>
    </w:p>
    <w:p>
      <w:pPr>
        <w:pStyle w:val="ListParagraph"/>
        <w:numPr>
          <w:ilvl w:val="0"/>
          <w:numId w:val="1"/>
        </w:numPr>
        <w:spacing w:after="80"/>
      </w:pPr>
      <w:r>
        <w:rPr>
          <w:b/>
          <w:bCs/>
        </w:rPr>
        <w:t xml:space="preserve">Proxy access — </w:t>
      </w:r>
      <w:r>
        <w:t xml:space="preserve">proxy_access, proxy_access_history.</w:t>
      </w:r>
    </w:p>
    <w:p>
      <w:pPr>
        <w:pStyle w:val="ListParagraph"/>
        <w:numPr>
          <w:ilvl w:val="0"/>
          <w:numId w:val="1"/>
        </w:numPr>
        <w:spacing w:after="80"/>
      </w:pPr>
      <w:r>
        <w:rPr>
          <w:b/>
          <w:bCs/>
        </w:rPr>
        <w:t xml:space="preserve">System — </w:t>
      </w:r>
      <w:r>
        <w:t xml:space="preserve">failed_jobs.</w:t>
      </w:r>
    </w:p>
    <w:p>
      <w:pPr>
        <w:spacing w:after="140"/>
      </w:pPr>
      <w:r>
        <w:t xml:space="preserve">Soft deletes are applied broadly across these tables, and the schema has evolved incrementally (e.g. patient_id moved from a plain integer to a JSON array, unique constraints on user_funnels were reworked multiple times to correctly scope re-assignment per case).</w:t>
      </w:r>
    </w:p>
    <w:p>
      <w:pPr>
        <w:pStyle w:val="Heading1"/>
        <w:spacing w:after="160" w:before="360"/>
      </w:pPr>
      <w:r>
        <w:t xml:space="preserve">11. Design Patterns &amp; Notes Worth Knowing</w:t>
      </w:r>
    </w:p>
    <w:p>
      <w:pPr>
        <w:pStyle w:val="ListParagraph"/>
        <w:numPr>
          <w:ilvl w:val="0"/>
          <w:numId w:val="1"/>
        </w:numPr>
        <w:spacing w:after="80"/>
      </w:pPr>
      <w:r>
        <w:rPr>
          <w:b/>
          <w:bCs/>
        </w:rPr>
        <w:t xml:space="preserve">Case-scoped authorization everywhere — </w:t>
      </w:r>
      <w:r>
        <w:t xml:space="preserve">patient-data endpoints always re-derive the patient from the requested case_id server-side rather than trusting a client-supplied patient ID.</w:t>
      </w:r>
    </w:p>
    <w:p>
      <w:pPr>
        <w:pStyle w:val="ListParagraph"/>
        <w:numPr>
          <w:ilvl w:val="0"/>
          <w:numId w:val="1"/>
        </w:numPr>
        <w:spacing w:after="80"/>
      </w:pPr>
      <w:r>
        <w:rPr>
          <w:b/>
          <w:bCs/>
        </w:rPr>
        <w:t xml:space="preserve">JWT carries clinical context — </w:t>
      </w:r>
      <w:r>
        <w:t xml:space="preserve">case_id, patient_id(s), and (for proxies) proxy_context travel inside the token, so switching case or patient context requires issuing a fresh token.</w:t>
      </w:r>
    </w:p>
    <w:p>
      <w:pPr>
        <w:pStyle w:val="ListParagraph"/>
        <w:numPr>
          <w:ilvl w:val="0"/>
          <w:numId w:val="1"/>
        </w:numPr>
        <w:spacing w:after="80"/>
      </w:pPr>
      <w:r>
        <w:rPr>
          <w:b/>
          <w:bCs/>
        </w:rPr>
        <w:t xml:space="preserve">Bilingual intake forms — </w:t>
      </w:r>
      <w:r>
        <w:t xml:space="preserve">English/Spanish field-label mapping is used to pre-fill and later map submitted funnel forms back onto patient records.</w:t>
      </w:r>
    </w:p>
    <w:p>
      <w:pPr>
        <w:pStyle w:val="ListParagraph"/>
        <w:numPr>
          <w:ilvl w:val="0"/>
          <w:numId w:val="1"/>
        </w:numPr>
        <w:spacing w:after="80"/>
      </w:pPr>
      <w:r>
        <w:rPr>
          <w:b/>
          <w:bCs/>
        </w:rPr>
        <w:t xml:space="preserve">Consent-form expiry — </w:t>
      </w:r>
      <w:r>
        <w:t xml:space="preserve">funnels named with "consent" expire and require re-signing one year after completion; other funnel types remain complete indefinitely.</w:t>
      </w:r>
    </w:p>
    <w:p>
      <w:pPr>
        <w:pStyle w:val="ListParagraph"/>
        <w:numPr>
          <w:ilvl w:val="0"/>
          <w:numId w:val="1"/>
        </w:numPr>
        <w:spacing w:after="80"/>
      </w:pPr>
      <w:r>
        <w:rPr>
          <w:b/>
          <w:bCs/>
        </w:rPr>
        <w:t xml:space="preserve">Mock-data fallbacks — </w:t>
      </w:r>
      <w:r>
        <w:t xml:space="preserve">the admin Billing and Appointments modules fall back to hardcoded sample data when their external APIs aren't configured — a convenience for local development, not a production data source.</w:t>
      </w:r>
    </w:p>
    <w:p>
      <w:pPr>
        <w:pStyle w:val="ListParagraph"/>
        <w:numPr>
          <w:ilvl w:val="0"/>
          <w:numId w:val="1"/>
        </w:numPr>
        <w:spacing w:after="80"/>
      </w:pPr>
      <w:r>
        <w:rPr>
          <w:b/>
          <w:bCs/>
        </w:rPr>
        <w:t xml:space="preserve">Ongoing legacy migration — </w:t>
      </w:r>
      <w:r>
        <w:t xml:space="preserve">dedicated old-forms/old-users sync tooling indicates an active, ongoing migration from a prior patient-portal system into this platform.</w:t>
      </w:r>
    </w:p>
    <w:p>
      <w:pPr>
        <w:pStyle w:val="ListParagraph"/>
        <w:numPr>
          <w:ilvl w:val="0"/>
          <w:numId w:val="1"/>
        </w:numPr>
        <w:spacing w:after="80"/>
      </w:pPr>
      <w:r>
        <w:rPr>
          <w:b/>
          <w:bCs/>
        </w:rPr>
        <w:t xml:space="preserve">Unauthenticated system-to-system routes — </w:t>
      </w:r>
      <w:r>
        <w:t xml:space="preserve">a set of funnel-assignment and direct-login endpoints at the bottom of routes/api.php are intentionally open (no auth middleware), intended for calls from other internal systems rather than the patient-facing app. Worth a periodic security review to confirm they remain appropriately restricted at the network/firewall level.</w:t>
      </w:r>
    </w:p>
    <w:sectPr>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pPr>
    <w:rPr>
      <w:rFonts w:ascii="Calibri" w:cs="Calibri" w:eastAsia="Calibri" w:hAnsi="Calibri"/>
      <w:b/>
      <w:bCs/>
      <w:color w:val="1F4E79"/>
      <w:sz w:val="32"/>
      <w:szCs w:val="32"/>
    </w:rPr>
  </w:style>
  <w:style w:type="paragraph" w:styleId="Heading2">
    <w:name w:val="Heading 2"/>
    <w:basedOn w:val="Normal"/>
    <w:next w:val="Normal"/>
    <w:qFormat/>
    <w:pPr>
      <w:spacing w:after="120" w:before="260"/>
    </w:pPr>
    <w:rPr>
      <w:rFonts w:ascii="Calibri" w:cs="Calibri" w:eastAsia="Calibri" w:hAnsi="Calibri"/>
      <w:b/>
      <w:bCs/>
      <w:color w:val="1F4E79"/>
      <w:sz w:val="26"/>
      <w:szCs w:val="26"/>
    </w:rPr>
  </w:style>
  <w:style w:type="paragraph" w:styleId="Heading3">
    <w:name w:val="Heading 3"/>
    <w:basedOn w:val="Normal"/>
    <w:next w:val="Normal"/>
    <w:qFormat/>
    <w:pPr>
      <w:spacing w:after="100" w:before="200"/>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2026-08-06T05:37:05.032Z</dcterms:created>
  <dcterms:modified xsi:type="dcterms:W3CDTF">2026-08-06T05:37:05.036Z</dcterms:modified>
</cp:coreProperties>
</file>

<file path=docProps/custom.xml><?xml version="1.0" encoding="utf-8"?>
<Properties xmlns="http://schemas.openxmlformats.org/officeDocument/2006/custom-properties" xmlns:vt="http://schemas.openxmlformats.org/officeDocument/2006/docPropsVTypes"/>
</file>