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6" w:space="8" w:color="E3A72F"/>
        </w:pBdr>
      </w:pPr>
      <w:r>
        <w:rPr>
          <w:b/>
          <w:color w:val="8A5E00"/>
          <w:sz w:val="16"/>
        </w:rPr>
        <w:t>CAPÍTULO 8 · MATERIAL PRÁCTICO</w:t>
      </w:r>
    </w:p>
    <w:p>
      <w:r>
        <w:rPr>
          <w:b/>
          <w:sz w:val="38"/>
        </w:rPr>
        <w:t>Kit de posventa</w:t>
      </w:r>
    </w:p>
    <w:p>
      <w:r>
        <w:rPr>
          <w:b w:val="0"/>
          <w:color w:val="6B6B6B"/>
          <w:sz w:val="21"/>
        </w:rPr>
        <w:t>Encuesta NPS, avisos de renovación y flujo de devoluciones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_cic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6B6B6B"/>
          <w:sz w:val="16"/>
        </w:rPr>
        <w:t>El ciclo de la posventa</w:t>
      </w:r>
    </w:p>
    <w:p>
      <w:pPr>
        <w:pStyle w:val="Heading1"/>
      </w:pPr>
      <w:r>
        <w:rPr>
          <w:b w:val="0"/>
        </w:rPr>
        <w:t>Encuesta NPS de tres preguntas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03"/>
        <w:gridCol w:w="2762"/>
      </w:tblGrid>
      <w:tr>
        <w:tc>
          <w:tcPr>
            <w:tcW w:type="dxa" w:w="710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276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7102"/>
          </w:tcPr>
          <w:p>
            <w:r>
              <w:rPr>
                <w:b w:val="0"/>
                <w:sz w:val="17"/>
              </w:rPr>
              <w:t>Del 0 al 10, ¿con qué probabilidad nos recomendarías a un amigo o colega?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Escala de 0 a 10</w:t>
            </w:r>
          </w:p>
        </w:tc>
      </w:tr>
      <w:tr>
        <w:tc>
          <w:tcPr>
            <w:tcW w:type="dxa" w:w="7102"/>
          </w:tcPr>
          <w:p>
            <w:r>
              <w:rPr>
                <w:b w:val="0"/>
                <w:sz w:val="17"/>
              </w:rPr>
              <w:t>¿Cuál es el motivo principal de tu puntuación?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Abierta</w:t>
            </w:r>
          </w:p>
        </w:tc>
      </w:tr>
      <w:tr>
        <w:tc>
          <w:tcPr>
            <w:tcW w:type="dxa" w:w="7102"/>
          </w:tcPr>
          <w:p>
            <w:r>
              <w:rPr>
                <w:b w:val="0"/>
                <w:sz w:val="17"/>
              </w:rPr>
              <w:t>¿Qué podríamos hacer para mejorar tu experiencia?</w:t>
            </w:r>
          </w:p>
        </w:tc>
        <w:tc>
          <w:tcPr>
            <w:tcW w:type="dxa" w:w="2762"/>
          </w:tcPr>
          <w:p>
            <w:r>
              <w:rPr>
                <w:b w:val="0"/>
                <w:sz w:val="17"/>
              </w:rPr>
              <w:t>Abierta, opcional</w:t>
            </w:r>
          </w:p>
        </w:tc>
      </w:tr>
    </w:tbl>
    <w:p/>
    <w:p>
      <w:r>
        <w:rPr>
          <w:b w:val="0"/>
        </w:rPr>
        <w:t xml:space="preserve">Envíala sola unos días después de cada compra o servicio. Con la primera pregunta se calcula el NPS: </w:t>
      </w:r>
      <w:r>
        <w:rPr>
          <w:b/>
        </w:rPr>
        <w:t>porcentaje de promotores menos porcentaje de detractores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Tres respuestas automáticas, según la puntuación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7"/>
        <w:gridCol w:w="2269"/>
        <w:gridCol w:w="5919"/>
      </w:tblGrid>
      <w:tr>
        <w:tc>
          <w:tcPr>
            <w:tcW w:type="dxa" w:w="1677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Quién</w:t>
            </w:r>
          </w:p>
        </w:tc>
        <w:tc>
          <w:tcPr>
            <w:tcW w:type="dxa" w:w="2269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Qué hacer</w:t>
            </w:r>
          </w:p>
        </w:tc>
        <w:tc>
          <w:tcPr>
            <w:tcW w:type="dxa" w:w="5919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Texto de ejemplo</w:t>
            </w:r>
          </w:p>
        </w:tc>
      </w:tr>
      <w:tr>
        <w:tc>
          <w:tcPr>
            <w:tcW w:type="dxa" w:w="1677"/>
          </w:tcPr>
          <w:p>
            <w:r>
              <w:rPr>
                <w:b w:val="0"/>
                <w:sz w:val="17"/>
              </w:rPr>
              <w:t>Promotor (9 o 10)</w:t>
            </w:r>
          </w:p>
        </w:tc>
        <w:tc>
          <w:tcPr>
            <w:tcW w:type="dxa" w:w="2269"/>
          </w:tcPr>
          <w:p>
            <w:r>
              <w:rPr>
                <w:b w:val="0"/>
                <w:sz w:val="17"/>
              </w:rPr>
              <w:t>Pídele una reseña o una recomendación.</w:t>
            </w:r>
          </w:p>
        </w:tc>
        <w:tc>
          <w:tcPr>
            <w:tcW w:type="dxa" w:w="5919"/>
          </w:tcPr>
          <w:p>
            <w:r>
              <w:rPr>
                <w:b w:val="0"/>
                <w:sz w:val="17"/>
              </w:rPr>
              <w:t>Gracias, «nombre». Nos alegra mucho que nos recomendarías. Si tienes dos minutos, nos ayudaría muchísimo que contaras tu experiencia aquí: «enlace». Gracias por confiar en nosotros.</w:t>
            </w:r>
          </w:p>
        </w:tc>
      </w:tr>
      <w:tr>
        <w:tc>
          <w:tcPr>
            <w:tcW w:type="dxa" w:w="1677"/>
          </w:tcPr>
          <w:p>
            <w:r>
              <w:rPr>
                <w:b w:val="0"/>
                <w:sz w:val="17"/>
              </w:rPr>
              <w:t>Pasivo (7 u 8)</w:t>
            </w:r>
          </w:p>
        </w:tc>
        <w:tc>
          <w:tcPr>
            <w:tcW w:type="dxa" w:w="2269"/>
          </w:tcPr>
          <w:p>
            <w:r>
              <w:rPr>
                <w:b w:val="0"/>
                <w:sz w:val="17"/>
              </w:rPr>
              <w:t>Pregúntale qué le falta para darte un 10.</w:t>
            </w:r>
          </w:p>
        </w:tc>
        <w:tc>
          <w:tcPr>
            <w:tcW w:type="dxa" w:w="5919"/>
          </w:tcPr>
          <w:p>
            <w:r>
              <w:rPr>
                <w:b w:val="0"/>
                <w:sz w:val="17"/>
              </w:rPr>
              <w:t>Gracias por tu valoración, «nombre». Queremos mejorar: ¿qué es lo que nos falta para que nos dieras un 10? Basta con que respondas a este mensaje.</w:t>
            </w:r>
          </w:p>
        </w:tc>
      </w:tr>
      <w:tr>
        <w:tc>
          <w:tcPr>
            <w:tcW w:type="dxa" w:w="1677"/>
          </w:tcPr>
          <w:p>
            <w:r>
              <w:rPr>
                <w:b w:val="0"/>
                <w:sz w:val="17"/>
              </w:rPr>
              <w:t>Detractor (0 a 6)</w:t>
            </w:r>
          </w:p>
        </w:tc>
        <w:tc>
          <w:tcPr>
            <w:tcW w:type="dxa" w:w="2269"/>
          </w:tcPr>
          <w:p>
            <w:r>
              <w:rPr>
                <w:b w:val="0"/>
                <w:sz w:val="17"/>
              </w:rPr>
              <w:t>Que le llame una persona en menos de 48 horas.</w:t>
            </w:r>
          </w:p>
        </w:tc>
        <w:tc>
          <w:tcPr>
            <w:tcW w:type="dxa" w:w="5919"/>
          </w:tcPr>
          <w:p>
            <w:r>
              <w:rPr>
                <w:b w:val="0"/>
                <w:sz w:val="17"/>
              </w:rPr>
              <w:t>Gracias por decírnoslo con sinceridad, «nombre». Sentimos que tu experiencia no haya sido buena. «Nombre de la persona» te llamará en las próximas 48 horas para entender qué ha pasado y cómo podemos arreglarlo.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</w:rPr>
        <w:t>Calendario de avisos de renovación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1"/>
        <w:gridCol w:w="2565"/>
        <w:gridCol w:w="1775"/>
        <w:gridCol w:w="4143"/>
      </w:tblGrid>
      <w:tr>
        <w:tc>
          <w:tcPr>
            <w:tcW w:type="dxa" w:w="1381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Cuándo</w:t>
            </w:r>
          </w:p>
        </w:tc>
        <w:tc>
          <w:tcPr>
            <w:tcW w:type="dxa" w:w="2565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Qué envías</w:t>
            </w:r>
          </w:p>
        </w:tc>
        <w:tc>
          <w:tcPr>
            <w:tcW w:type="dxa" w:w="1776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Canal</w:t>
            </w:r>
          </w:p>
        </w:tc>
        <w:tc>
          <w:tcPr>
            <w:tcW w:type="dxa" w:w="4143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Texto de ejemplo</w:t>
            </w:r>
          </w:p>
        </w:tc>
      </w:tr>
      <w:tr>
        <w:tc>
          <w:tcPr>
            <w:tcW w:type="dxa" w:w="1381"/>
          </w:tcPr>
          <w:p>
            <w:r>
              <w:rPr>
                <w:b w:val="0"/>
                <w:sz w:val="17"/>
              </w:rPr>
              <w:t>60 días antes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  <w:t>Aviso de vencimiento y resumen de lo que ha conseguido contigo</w:t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4143"/>
          </w:tcPr>
          <w:p>
            <w:r>
              <w:rPr>
                <w:b w:val="0"/>
                <w:sz w:val="17"/>
              </w:rPr>
              <w:t>Asunto: Tu «servicio» vence el «fecha». Cuerpo: lo que ha conseguido este año contigo, en dos o tres líneas, y que en unos días le enviarás la propuesta de renovación.</w:t>
            </w:r>
          </w:p>
        </w:tc>
      </w:tr>
      <w:tr>
        <w:tc>
          <w:tcPr>
            <w:tcW w:type="dxa" w:w="1381"/>
          </w:tcPr>
          <w:p>
            <w:r>
              <w:rPr>
                <w:b w:val="0"/>
                <w:sz w:val="17"/>
              </w:rPr>
              <w:t>30 días antes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  <w:t>Propuesta de renovación, con alguna mejora o ventaja si es posible</w:t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  <w:t>Email y tarea para el comercial en cuentas importantes</w:t>
            </w:r>
          </w:p>
        </w:tc>
        <w:tc>
          <w:tcPr>
            <w:tcW w:type="dxa" w:w="4143"/>
          </w:tcPr>
          <w:p>
            <w:r>
              <w:rPr>
                <w:b w:val="0"/>
                <w:sz w:val="17"/>
              </w:rPr>
              <w:t>Asunto: Tu propuesta de renovación. Cuerpo: condiciones, la mejora o ventaja que incluye y cómo renovar en un clic.</w:t>
            </w:r>
          </w:p>
        </w:tc>
      </w:tr>
      <w:tr>
        <w:tc>
          <w:tcPr>
            <w:tcW w:type="dxa" w:w="1381"/>
          </w:tcPr>
          <w:p>
            <w:r>
              <w:rPr>
                <w:b w:val="0"/>
                <w:sz w:val="17"/>
              </w:rPr>
              <w:t>7 días antes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  <w:t>Recordatorio con un enlace directo para renovar</w:t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  <w:t>Email o WhatsApp, si lo aceptó</w:t>
            </w:r>
          </w:p>
        </w:tc>
        <w:tc>
          <w:tcPr>
            <w:tcW w:type="dxa" w:w="4143"/>
          </w:tcPr>
          <w:p>
            <w:r>
              <w:rPr>
                <w:b w:val="0"/>
                <w:sz w:val="17"/>
              </w:rPr>
              <w:t>Tu «servicio» vence el «fecha». Puedes renovarlo aquí: «enlace». Si tienes cualquier duda, responde a este mensaje.</w:t>
            </w:r>
          </w:p>
        </w:tc>
      </w:tr>
      <w:tr>
        <w:tc>
          <w:tcPr>
            <w:tcW w:type="dxa" w:w="1381"/>
          </w:tcPr>
          <w:p>
            <w:r>
              <w:rPr>
                <w:b w:val="0"/>
                <w:sz w:val="17"/>
              </w:rPr>
              <w:t>Día del vencimiento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  <w:t>Si no ha renovado, llamada personal</w:t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  <w:t>Teléfono</w:t>
            </w:r>
          </w:p>
        </w:tc>
        <w:tc>
          <w:tcPr>
            <w:tcW w:type="dxa" w:w="4143"/>
          </w:tcPr>
          <w:p>
            <w:r>
              <w:rPr>
                <w:b w:val="0"/>
                <w:sz w:val="17"/>
              </w:rPr>
              <w:t>Llamada de la persona que lleva la cuenta: preguntar si hay algún problema y qué necesita para seguir.</w:t>
            </w:r>
          </w:p>
        </w:tc>
      </w:tr>
    </w:tbl>
    <w:p/>
    <w:p>
      <w:pPr>
        <w:pStyle w:val="Heading1"/>
      </w:pPr>
      <w:r>
        <w:rPr>
          <w:b w:val="0"/>
        </w:rPr>
        <w:t>Devoluciones y garantías sin fricción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Políticas claras de devolución y garantía, fáciles de entender y publicadas donde el cliente las encuentre.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Un único canal para presentar la solicitud, por ejemplo un formulario en tu web o una dirección de correo específica, conectado a tu CRM o a tu herramienta de atención al cliente.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Un código de autorización único para cada solicitud, que garantiza que es legítima y permite seguirla.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Etiquetas de envío prepagadas generadas automáticamente, para que devolver sea fácil.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Avisos automáticos de estado en cada fase: solicitud recibida, producto recibido, en revisión, resuelta.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Registro de cada caso, que facilita la revisión y el análisis.</w:t>
      </w:r>
    </w:p>
    <w:p>
      <w:pPr>
        <w:pStyle w:val="Heading1"/>
      </w:pPr>
      <w:r>
        <w:rPr>
          <w:b w:val="0"/>
        </w:rPr>
        <w:t>Avisos automáticos de estado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7892"/>
      </w:tblGrid>
      <w:tr>
        <w:tc>
          <w:tcPr>
            <w:tcW w:type="dxa" w:w="1973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789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Texto de ejemplo</w:t>
            </w:r>
          </w:p>
        </w:tc>
      </w:tr>
      <w:tr>
        <w:tc>
          <w:tcPr>
            <w:tcW w:type="dxa" w:w="1973"/>
          </w:tcPr>
          <w:p>
            <w:r>
              <w:rPr>
                <w:b w:val="0"/>
                <w:sz w:val="17"/>
              </w:rPr>
              <w:t>Solicitud recibida</w:t>
            </w:r>
          </w:p>
        </w:tc>
        <w:tc>
          <w:tcPr>
            <w:tcW w:type="dxa" w:w="7892"/>
          </w:tcPr>
          <w:p>
            <w:r>
              <w:rPr>
                <w:b w:val="0"/>
                <w:sz w:val="17"/>
              </w:rPr>
              <w:t>Hemos recibido tu solicitud de devolución «código». Aquí tienes la etiqueta de envío: «enlace». Te avisaremos en cuanto nos llegue el producto.</w:t>
            </w:r>
          </w:p>
        </w:tc>
      </w:tr>
      <w:tr>
        <w:tc>
          <w:tcPr>
            <w:tcW w:type="dxa" w:w="1973"/>
          </w:tcPr>
          <w:p>
            <w:r>
              <w:rPr>
                <w:b w:val="0"/>
                <w:sz w:val="17"/>
              </w:rPr>
              <w:t>Producto recibido</w:t>
            </w:r>
          </w:p>
        </w:tc>
        <w:tc>
          <w:tcPr>
            <w:tcW w:type="dxa" w:w="7892"/>
          </w:tcPr>
          <w:p>
            <w:r>
              <w:rPr>
                <w:b w:val="0"/>
                <w:sz w:val="17"/>
              </w:rPr>
              <w:t>Ya tenemos tu devolución «código». La estamos revisando y en un máximo de «días» te diremos cómo queda.</w:t>
            </w:r>
          </w:p>
        </w:tc>
      </w:tr>
      <w:tr>
        <w:tc>
          <w:tcPr>
            <w:tcW w:type="dxa" w:w="1973"/>
          </w:tcPr>
          <w:p>
            <w:r>
              <w:rPr>
                <w:b w:val="0"/>
                <w:sz w:val="17"/>
              </w:rPr>
              <w:t>En revisión</w:t>
            </w:r>
          </w:p>
        </w:tc>
        <w:tc>
          <w:tcPr>
            <w:tcW w:type="dxa" w:w="7892"/>
          </w:tcPr>
          <w:p>
            <w:r>
              <w:rPr>
                <w:b w:val="0"/>
                <w:sz w:val="17"/>
              </w:rPr>
              <w:t>Tu devolución «código» está en revisión. Si necesitamos algo más, te escribiremos.</w:t>
            </w:r>
          </w:p>
        </w:tc>
      </w:tr>
      <w:tr>
        <w:tc>
          <w:tcPr>
            <w:tcW w:type="dxa" w:w="1973"/>
          </w:tcPr>
          <w:p>
            <w:r>
              <w:rPr>
                <w:b w:val="0"/>
                <w:sz w:val="17"/>
              </w:rPr>
              <w:t>Resuelta</w:t>
            </w:r>
          </w:p>
        </w:tc>
        <w:tc>
          <w:tcPr>
            <w:tcW w:type="dxa" w:w="7892"/>
          </w:tcPr>
          <w:p>
            <w:r>
              <w:rPr>
                <w:b w:val="0"/>
                <w:sz w:val="17"/>
              </w:rPr>
              <w:t>Tu devolución «código» está resuelta: «resolución». Gracias por tu paciencia. Si algo no está bien, responde a este mensaje.</w:t>
            </w:r>
          </w:p>
        </w:tc>
      </w:tr>
    </w:tbl>
    <w:p/>
    <w:p>
      <w:r>
        <w:rPr>
          <w:b w:val="0"/>
          <w:color w:val="6B6B6B"/>
          <w:sz w:val="16"/>
        </w:rPr>
        <w:t>Lo que va entre comillas latinas, como «nombre» o «código», es lo que sustituyes por tus datos o por los campos de tu herramienta.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6EA"/>
          </w:tcPr>
          <w:p>
            <w:r>
              <w:rPr>
                <w:b/>
                <w:color w:val="8A5E00"/>
                <w:sz w:val="16"/>
              </w:rPr>
              <w:t>ACCIÓN DE ESTA SEMANA</w:t>
            </w:r>
          </w:p>
          <w:p>
            <w:r>
              <w:rPr>
                <w:b w:val="0"/>
                <w:sz w:val="19"/>
              </w:rPr>
              <w:t>Configura la encuesta NPS de tres preguntas para que se envíe sola unos días después de cada compra o servicio, y crea la regla que avisa a una persona cuando alguien responde con 6 o menos.</w:t>
            </w:r>
          </w:p>
        </w:tc>
      </w:tr>
    </w:tbl>
    <w:p/>
    <w:p>
      <w:r>
        <w:rPr>
          <w:b w:val="0"/>
          <w:color w:val="6B6B6B"/>
          <w:sz w:val="15"/>
        </w:rPr>
        <w:t>Material complementario del libro «Vende más y trabaja menos», de Jacob Ruiz. © 2026 Jacob Ruiz. Uso libre en tu empresa; no se permite su venta ni su distribución como material propio.</w:t>
      </w:r>
    </w:p>
    <w:sectPr w:rsidR="00FC693F" w:rsidRPr="0006063C" w:rsidSect="00034616">
      <w:footerReference w:type="default" r:id="rId10"/>
      <w:pgSz w:w="11906" w:h="16838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6B6B6B"/>
        <w:sz w:val="15"/>
      </w:rPr>
      <w:t>Vende más y trabaja menos · Jacob Ruiz · Capítulo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A5E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de posventa</dc:title>
  <dc:subject/>
  <dc:creator>Jacob Ruiz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