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400" w:lineRule="auto"/>
        <w:jc w:val="center"/>
        <w:rPr/>
      </w:pPr>
      <w:r w:rsidDel="00000000" w:rsidR="00000000" w:rsidRPr="00000000">
        <w:rPr>
          <w:rtl w:val="0"/>
        </w:rPr>
        <w:t xml:space="preserve">Literature Review: gPPM - A Generalized Matrix Operation and Parallel Algorithm for Erasure Code Encoding/Decoding</w:t>
      </w:r>
    </w:p>
    <w:p w:rsidR="00000000" w:rsidDel="00000000" w:rsidP="00000000" w:rsidRDefault="00000000" w:rsidRPr="00000000" w14:paraId="00000002">
      <w:pPr>
        <w:pStyle w:val="Heading1"/>
        <w:spacing w:after="150" w:before="300" w:lineRule="auto"/>
        <w:rPr/>
      </w:pPr>
      <w:r w:rsidDel="00000000" w:rsidR="00000000" w:rsidRPr="00000000">
        <w:rPr>
          <w:rtl w:val="0"/>
        </w:rPr>
        <w:t xml:space="preserve">1. Background and Motivation</w:t>
      </w:r>
    </w:p>
    <w:p w:rsidR="00000000" w:rsidDel="00000000" w:rsidP="00000000" w:rsidRDefault="00000000" w:rsidRPr="00000000" w14:paraId="00000003">
      <w:pPr>
        <w:spacing w:after="150" w:lineRule="auto"/>
        <w:rPr/>
      </w:pPr>
      <w:r w:rsidDel="00000000" w:rsidR="00000000" w:rsidRPr="00000000">
        <w:rPr>
          <w:rtl w:val="0"/>
        </w:rPr>
        <w:t xml:space="preserve">Erasure codes are used in large storage systems (cloud storage, data centers) to protect against disk, sector, and node failures while using less storage overhead than simple replication. The paper divides erasure codes into two families: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Symmetric Parity codes (e.g., Reed-Solomon/RS, Cauchy RS, STAR) - every parity block is computed from the same number (k) of data blocks.</w:t>
      </w:r>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Asymmetric Parity codes (e.g., SD code, PMDS code, LRC code) - different parity blocks are computed from different numbers of data blocks (e.g., local parity vs global parity in LRC, or disk parity vs sector parity in SD code). These newer codes were designed to handle real failure patterns better (like combined disk + sector failures, or fast degraded reads), but existing implementations still decode them using the traditional parity-check matrix method, which is slow, serial, and treats all lost data as one big block to recover together.</w:t>
      </w:r>
      <w:r w:rsidDel="00000000" w:rsidR="00000000" w:rsidRPr="00000000">
        <w:rPr>
          <w:rtl w:val="0"/>
        </w:rPr>
      </w:r>
    </w:p>
    <w:p w:rsidR="00000000" w:rsidDel="00000000" w:rsidP="00000000" w:rsidRDefault="00000000" w:rsidRPr="00000000" w14:paraId="00000006">
      <w:pPr>
        <w:spacing w:after="150" w:lineRule="auto"/>
        <w:rPr/>
      </w:pPr>
      <w:r w:rsidDel="00000000" w:rsidR="00000000" w:rsidRPr="00000000">
        <w:rPr>
          <w:rtl w:val="0"/>
        </w:rPr>
        <w:t xml:space="preserve">The authors' key observation: some lost blocks are actually independent of each other, they can be recovered separately, in parallel, without waiting on other lost blocks. Existing decoding methods miss this and process everything serially.</w:t>
      </w:r>
    </w:p>
    <w:p w:rsidR="00000000" w:rsidDel="00000000" w:rsidP="00000000" w:rsidRDefault="00000000" w:rsidRPr="00000000" w14:paraId="00000007">
      <w:pPr>
        <w:pStyle w:val="Heading1"/>
        <w:spacing w:after="150" w:before="300" w:lineRule="auto"/>
        <w:rPr/>
      </w:pPr>
      <w:r w:rsidDel="00000000" w:rsidR="00000000" w:rsidRPr="00000000">
        <w:rPr>
          <w:rtl w:val="0"/>
        </w:rPr>
        <w:t xml:space="preserve">2. Contribution Overview</w:t>
      </w:r>
    </w:p>
    <w:p w:rsidR="00000000" w:rsidDel="00000000" w:rsidP="00000000" w:rsidRDefault="00000000" w:rsidRPr="00000000" w14:paraId="00000008">
      <w:pPr>
        <w:spacing w:after="150" w:lineRule="auto"/>
        <w:rPr/>
      </w:pPr>
      <w:r w:rsidDel="00000000" w:rsidR="00000000" w:rsidRPr="00000000">
        <w:rPr>
          <w:rtl w:val="0"/>
        </w:rPr>
        <w:t xml:space="preserve">The paper proposes two algorithms: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PPM (Partitioned and Parallel Matrix) - works only on asymmetric parity codes. It splits the parity-check matrix H into smaller sub-matrices based on which lost blocks are independent, decodes the independent parts in parallel across threads, and picks a cheaper calculation sequence (order of matrix multiplication) to reduce the number of operations.</w:t>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gPPM (generalized PPM) - extends PPM's idea to also work on symmetric codes like RS, by dynamically choosing, per-matrix, whichever calculation order (normal vs. matrix-first) needs fewer actual multiply/XOR operations. This makes it more broadly applicable and squeezes out further gains even inside PPM's sub-matrices.</w:t>
      </w:r>
      <w:r w:rsidDel="00000000" w:rsidR="00000000" w:rsidRPr="00000000">
        <w:rPr>
          <w:rtl w:val="0"/>
        </w:rPr>
      </w:r>
    </w:p>
    <w:p w:rsidR="00000000" w:rsidDel="00000000" w:rsidP="00000000" w:rsidRDefault="00000000" w:rsidRPr="00000000" w14:paraId="0000000B">
      <w:pPr>
        <w:spacing w:after="150" w:lineRule="auto"/>
        <w:rPr/>
      </w:pPr>
      <w:r w:rsidDel="00000000" w:rsidR="00000000" w:rsidRPr="00000000">
        <w:rPr>
          <w:rtl w:val="0"/>
        </w:rPr>
        <w:t xml:space="preserve">This is a journal extension of an earlier ICPP 2015 conference paper (PPM only); gPPM is the new material.</w:t>
      </w:r>
    </w:p>
    <w:p w:rsidR="00000000" w:rsidDel="00000000" w:rsidP="00000000" w:rsidRDefault="00000000" w:rsidRPr="00000000" w14:paraId="0000000C">
      <w:pPr>
        <w:pStyle w:val="Heading1"/>
        <w:spacing w:after="150" w:before="300" w:lineRule="auto"/>
        <w:rPr/>
      </w:pPr>
      <w:r w:rsidDel="00000000" w:rsidR="00000000" w:rsidRPr="00000000">
        <w:rPr>
          <w:rtl w:val="0"/>
        </w:rPr>
        <w:t xml:space="preserve">3. Methodology</w:t>
      </w:r>
    </w:p>
    <w:p w:rsidR="00000000" w:rsidDel="00000000" w:rsidP="00000000" w:rsidRDefault="00000000" w:rsidRPr="00000000" w14:paraId="0000000D">
      <w:pPr>
        <w:pStyle w:val="Heading2"/>
        <w:spacing w:after="100" w:before="200" w:lineRule="auto"/>
        <w:rPr/>
      </w:pPr>
      <w:r w:rsidDel="00000000" w:rsidR="00000000" w:rsidRPr="00000000">
        <w:rPr>
          <w:rtl w:val="0"/>
        </w:rPr>
        <w:t xml:space="preserve">Step 1 - Cost model</w:t>
      </w:r>
    </w:p>
    <w:p w:rsidR="00000000" w:rsidDel="00000000" w:rsidP="00000000" w:rsidRDefault="00000000" w:rsidRPr="00000000" w14:paraId="0000000E">
      <w:pPr>
        <w:spacing w:after="150" w:lineRule="auto"/>
        <w:rPr/>
      </w:pPr>
      <w:r w:rsidDel="00000000" w:rsidR="00000000" w:rsidRPr="00000000">
        <w:rPr>
          <w:rtl w:val="0"/>
        </w:rPr>
        <w:t xml:space="preserve">The authors count operations in terms of mult_XORs() (multiply a block by a Galois-Field constant, then XOR into an accumulator). Given the decoding equation BF = F⁻¹ · S · BS, there are two ways to compute it: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Normal sequence: multiply S·BS first, then apply F⁻¹.</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Matrix_first sequence: multiply F⁻¹·S first (a small matrix×matrix product), then apply to BS.</w:t>
      </w:r>
      <w:r w:rsidDel="00000000" w:rsidR="00000000" w:rsidRPr="00000000">
        <w:rPr>
          <w:rtl w:val="0"/>
        </w:rPr>
      </w:r>
    </w:p>
    <w:p w:rsidR="00000000" w:rsidDel="00000000" w:rsidP="00000000" w:rsidRDefault="00000000" w:rsidRPr="00000000" w14:paraId="00000011">
      <w:pPr>
        <w:spacing w:after="150" w:lineRule="auto"/>
        <w:rPr/>
      </w:pPr>
      <w:r w:rsidDel="00000000" w:rsidR="00000000" w:rsidRPr="00000000">
        <w:rPr>
          <w:rtl w:val="0"/>
        </w:rPr>
        <w:t xml:space="preserve">Which is cheaper depends on the number of nonzero elements produced by each approach - this varies by code and parameters, so no single sequence always wins.</w:t>
      </w:r>
    </w:p>
    <w:p w:rsidR="00000000" w:rsidDel="00000000" w:rsidP="00000000" w:rsidRDefault="00000000" w:rsidRPr="00000000" w14:paraId="00000012">
      <w:pPr>
        <w:pStyle w:val="Heading2"/>
        <w:spacing w:after="100" w:before="200" w:lineRule="auto"/>
        <w:rPr/>
      </w:pPr>
      <w:r w:rsidDel="00000000" w:rsidR="00000000" w:rsidRPr="00000000">
        <w:rPr>
          <w:rtl w:val="0"/>
        </w:rPr>
        <w:t xml:space="preserve">Step 2 - Exploit independence (PPM)</w:t>
      </w:r>
    </w:p>
    <w:p w:rsidR="00000000" w:rsidDel="00000000" w:rsidP="00000000" w:rsidRDefault="00000000" w:rsidRPr="00000000" w14:paraId="00000013">
      <w:pPr>
        <w:spacing w:after="150" w:lineRule="auto"/>
        <w:rPr/>
      </w:pPr>
      <w:r w:rsidDel="00000000" w:rsidR="00000000" w:rsidRPr="00000000">
        <w:rPr>
          <w:rtl w:val="0"/>
        </w:rPr>
        <w:t xml:space="preserve">Using a log table derived from the parity-check matrix, the algorithm finds which lost blocks depend only on themselves (or a small self-contained group) versus which are entangled with everything else. Independent groups become separate small sub-matrices; the remaining sub-matrix handles the entangled dependent blocks.</w:t>
      </w:r>
    </w:p>
    <w:p w:rsidR="00000000" w:rsidDel="00000000" w:rsidP="00000000" w:rsidRDefault="00000000" w:rsidRPr="00000000" w14:paraId="00000014">
      <w:pPr>
        <w:pStyle w:val="Heading2"/>
        <w:spacing w:after="100" w:before="200" w:lineRule="auto"/>
        <w:rPr/>
      </w:pPr>
      <w:r w:rsidDel="00000000" w:rsidR="00000000" w:rsidRPr="00000000">
        <w:rPr>
          <w:rtl w:val="0"/>
        </w:rPr>
        <w:t xml:space="preserve">Step 3 - Parallelize</w:t>
      </w:r>
    </w:p>
    <w:p w:rsidR="00000000" w:rsidDel="00000000" w:rsidP="00000000" w:rsidRDefault="00000000" w:rsidRPr="00000000" w14:paraId="00000015">
      <w:pPr>
        <w:spacing w:after="150" w:lineRule="auto"/>
        <w:rPr/>
      </w:pPr>
      <w:r w:rsidDel="00000000" w:rsidR="00000000" w:rsidRPr="00000000">
        <w:rPr>
          <w:rtl w:val="0"/>
        </w:rPr>
        <w:t xml:space="preserve">The independent sub-matrices are decoded concurrently across up to T threads (T capped by core count to avoid overhead), then the recovered values feed into decoding the remaining sub-matrix.</w:t>
      </w:r>
    </w:p>
    <w:p w:rsidR="00000000" w:rsidDel="00000000" w:rsidP="00000000" w:rsidRDefault="00000000" w:rsidRPr="00000000" w14:paraId="00000016">
      <w:pPr>
        <w:pStyle w:val="Heading2"/>
        <w:spacing w:after="100" w:before="200" w:lineRule="auto"/>
        <w:rPr/>
      </w:pPr>
      <w:r w:rsidDel="00000000" w:rsidR="00000000" w:rsidRPr="00000000">
        <w:rPr>
          <w:rtl w:val="0"/>
        </w:rPr>
        <w:t xml:space="preserve">Step 4 - Fine-grained sequence selection (gPPM)</w:t>
      </w:r>
    </w:p>
    <w:p w:rsidR="00000000" w:rsidDel="00000000" w:rsidP="00000000" w:rsidRDefault="00000000" w:rsidRPr="00000000" w14:paraId="00000017">
      <w:pPr>
        <w:spacing w:after="150" w:lineRule="auto"/>
        <w:rPr/>
      </w:pPr>
      <w:r w:rsidDel="00000000" w:rsidR="00000000" w:rsidRPr="00000000">
        <w:rPr>
          <w:rtl w:val="0"/>
        </w:rPr>
        <w:t xml:space="preserve">Rather than statically picking one calculation order for the whole matrix (as PPM does), gPPM computes the cost of both sequences per sub-matrix (accounting separately for the relative cost of multiply vs. add operations) and picks the cheaper one on the fly. This also lets it apply the same trick to RS/GRS codes, which have no independent block structure to exploit via partitioning, only sequence choice.</w:t>
      </w:r>
    </w:p>
    <w:p w:rsidR="00000000" w:rsidDel="00000000" w:rsidP="00000000" w:rsidRDefault="00000000" w:rsidRPr="00000000" w14:paraId="00000018">
      <w:pPr>
        <w:pStyle w:val="Heading2"/>
        <w:spacing w:after="100" w:before="200" w:lineRule="auto"/>
        <w:rPr/>
      </w:pPr>
      <w:r w:rsidDel="00000000" w:rsidR="00000000" w:rsidRPr="00000000">
        <w:rPr>
          <w:rtl w:val="0"/>
        </w:rPr>
        <w:t xml:space="preserve">Evaluation setup</w:t>
      </w:r>
    </w:p>
    <w:p w:rsidR="00000000" w:rsidDel="00000000" w:rsidP="00000000" w:rsidRDefault="00000000" w:rsidRPr="00000000" w14:paraId="00000019">
      <w:pPr>
        <w:spacing w:after="150" w:lineRule="auto"/>
        <w:rPr/>
      </w:pPr>
      <w:r w:rsidDel="00000000" w:rsidR="00000000" w:rsidRPr="00000000">
        <w:rPr>
          <w:rtl w:val="0"/>
        </w:rPr>
        <w:t xml:space="preserve">Implemented in C on top of an open-source SD encoder/decoder, using Intel SIMD (ISA-L-style) acceleration, tested across three CPUs (4/6/8 cores), varying stripe size, number of disks (n), data/parity counts (k, m), sector counts (r, s, z), and thread count (T).</w:t>
      </w:r>
    </w:p>
    <w:p w:rsidR="00000000" w:rsidDel="00000000" w:rsidP="00000000" w:rsidRDefault="00000000" w:rsidRPr="00000000" w14:paraId="0000001A">
      <w:pPr>
        <w:pStyle w:val="Heading1"/>
        <w:spacing w:after="150" w:before="300" w:lineRule="auto"/>
        <w:rPr/>
      </w:pPr>
      <w:r w:rsidDel="00000000" w:rsidR="00000000" w:rsidRPr="00000000">
        <w:rPr>
          <w:rtl w:val="0"/>
        </w:rPr>
        <w:t xml:space="preserve">4. Key Results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PPM improves SD/LRC code encode/decode speed by up to 210.81% (avg ~61% for SD, 16–37% for LRC).</w:t>
      </w:r>
      <w:r w:rsidDel="00000000" w:rsidR="00000000" w:rsidRPr="00000000">
        <w:rPr>
          <w:rtl w:val="0"/>
        </w:rPr>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gPPM improves further over PPM by up to 102.41% in about a third of tested SD configurations (PPM remains optimal in the rest).</w:t>
      </w: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gPPM improves plain RS code by up to 32.25%, and the RS variant used inside SD code (GRS) by up to 79.73%.</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Improvements hold across different CPUs, thread counts, and stripe sizes, confirming the gains come from reduced computation, not just hardware-specific tuning.</w:t>
      </w: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Power/energy overhead from added threads is small (~2 W).</w:t>
      </w:r>
      <w:r w:rsidDel="00000000" w:rsidR="00000000" w:rsidRPr="00000000">
        <w:rPr>
          <w:rtl w:val="0"/>
        </w:rPr>
      </w:r>
    </w:p>
    <w:p w:rsidR="00000000" w:rsidDel="00000000" w:rsidP="00000000" w:rsidRDefault="00000000" w:rsidRPr="00000000" w14:paraId="00000020">
      <w:pPr>
        <w:pStyle w:val="Heading1"/>
        <w:spacing w:after="150" w:before="300" w:lineRule="auto"/>
        <w:rPr/>
      </w:pPr>
      <w:r w:rsidDel="00000000" w:rsidR="00000000" w:rsidRPr="00000000">
        <w:rPr>
          <w:rtl w:val="0"/>
        </w:rPr>
        <w:t xml:space="preserve">5. Related Work Positioning</w:t>
      </w:r>
    </w:p>
    <w:p w:rsidR="00000000" w:rsidDel="00000000" w:rsidP="00000000" w:rsidRDefault="00000000" w:rsidRPr="00000000" w14:paraId="00000021">
      <w:pPr>
        <w:spacing w:after="150" w:lineRule="auto"/>
        <w:rPr/>
      </w:pPr>
      <w:r w:rsidDel="00000000" w:rsidR="00000000" w:rsidRPr="00000000">
        <w:rPr>
          <w:rtl w:val="0"/>
        </w:rPr>
        <w:t xml:space="preserve">The authors distinguish their approach from:</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New code designs (EVENODD, RDP, STAR, SD, LRC, EC-wide) - these change what is computed, not how it's computed.</w:t>
      </w:r>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SIMD/GPU acceleration (Intel ISA-L, GPU-based decoding) - these speed up individual operations, and are complementary (used underneath PPM/gPPM in the experiments).</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APCM - also reduces computational cost via matrix transformation, but optimizes matrix-matrix operations (cheap) rather than matrix-vector operations against actual data blocks (expensive), so its real-world gains are limited.</w:t>
      </w:r>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Other parallelism schemes (block-level, disk-level, node-level, equation-oriented) - PPM/gPPM is described as a matrix-oriented parallelism approach, distinct from these because it exploits the algebraic structure of independent faulty blocks in H itself.</w:t>
      </w:r>
      <w:r w:rsidDel="00000000" w:rsidR="00000000" w:rsidRPr="00000000">
        <w:rPr>
          <w:rtl w:val="0"/>
        </w:rPr>
      </w:r>
    </w:p>
    <w:p w:rsidR="00000000" w:rsidDel="00000000" w:rsidP="00000000" w:rsidRDefault="00000000" w:rsidRPr="00000000" w14:paraId="00000026">
      <w:pPr>
        <w:pStyle w:val="Heading1"/>
        <w:spacing w:after="150" w:before="300" w:lineRule="auto"/>
        <w:rPr/>
      </w:pPr>
      <w:r w:rsidDel="00000000" w:rsidR="00000000" w:rsidRPr="00000000">
        <w:rPr>
          <w:rtl w:val="0"/>
        </w:rPr>
        <w:t xml:space="preserve">6. Conclusion of the Paper</w:t>
      </w:r>
    </w:p>
    <w:p w:rsidR="00000000" w:rsidDel="00000000" w:rsidP="00000000" w:rsidRDefault="00000000" w:rsidRPr="00000000" w14:paraId="00000027">
      <w:pPr>
        <w:spacing w:after="150" w:lineRule="auto"/>
        <w:rPr/>
      </w:pPr>
      <w:r w:rsidDel="00000000" w:rsidR="00000000" w:rsidRPr="00000000">
        <w:rPr>
          <w:rtl w:val="0"/>
        </w:rPr>
        <w:t xml:space="preserve">PPM/gPPM together give a general, code-agnostic technique to speed up erasure code encoding/decoding by combining (a) exploiting parallelism among independent lost blocks and (b) dynamically choosing the cheaper matrix computation order - applicable to both older symmetric codes (RS) and newer asymmetric codes (SD, LRC, PMDS).</w:t>
      </w:r>
    </w:p>
    <w:p w:rsidR="00000000" w:rsidDel="00000000" w:rsidP="00000000" w:rsidRDefault="00000000" w:rsidRPr="00000000" w14:paraId="00000028">
      <w:pPr>
        <w:pStyle w:val="Heading1"/>
        <w:spacing w:after="150" w:before="300" w:lineRule="auto"/>
        <w:rPr/>
      </w:pPr>
      <w:r w:rsidDel="00000000" w:rsidR="00000000" w:rsidRPr="00000000">
        <w:rPr>
          <w:rtl w:val="0"/>
        </w:rPr>
        <w:t xml:space="preserve">Full Reference List (56 references from the paper)</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Ultra-Low Latency with Samsung Z-NAND SSD.</w:t>
      </w:r>
      <w:r w:rsidDel="00000000" w:rsidR="00000000" w:rsidRPr="00000000">
        <w:rPr>
          <w:rtl w:val="0"/>
        </w:rPr>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Amazon EC2.</w:t>
      </w:r>
      <w:r w:rsidDel="00000000" w:rsidR="00000000" w:rsidRPr="00000000">
        <w:rPr>
          <w:rtl w:val="0"/>
        </w:rPr>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Intel Intelligent Storage Acceleration Library (Intel ISA-L).</w:t>
      </w:r>
      <w:r w:rsidDel="00000000" w:rsidR="00000000" w:rsidRPr="00000000">
        <w:rPr>
          <w:rtl w:val="0"/>
        </w:rPr>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Intel Optane SSD DC P5800X Series.</w:t>
      </w:r>
      <w:r w:rsidDel="00000000" w:rsidR="00000000" w:rsidRPr="00000000">
        <w:rPr>
          <w:rtl w:val="0"/>
        </w:rPr>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Optimizing Software for the Next Gen Intel Optane SSD P5800X.</w:t>
      </w:r>
      <w:r w:rsidDel="00000000" w:rsidR="00000000" w:rsidRPr="00000000">
        <w:rPr>
          <w:rtl w:val="0"/>
        </w:rPr>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H. P. Anvin. 2011. The mathematics of RAID-6.</w:t>
      </w:r>
      <w:r w:rsidDel="00000000" w:rsidR="00000000" w:rsidRPr="00000000">
        <w:rPr>
          <w:rtl w:val="0"/>
        </w:rPr>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Bairavasundaram, Goodson, Pasupathy, Schindler. 2007. An analysis of latent sector errors in disk drives (SIGMETRICS).</w:t>
      </w:r>
      <w:r w:rsidDel="00000000" w:rsidR="00000000" w:rsidRPr="00000000">
        <w:rPr>
          <w:rtl w:val="0"/>
        </w:rPr>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Bairavasundaram, Goodson, Schroeder, Arpaci-Dusseau, Arpaci-Dusseau. 2008. An analysis of data corruption in the storage stack (FAST).</w:t>
      </w:r>
      <w:r w:rsidDel="00000000" w:rsidR="00000000" w:rsidRPr="00000000">
        <w:rPr>
          <w:rtl w:val="0"/>
        </w:rPr>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Blaum, Brady, Bruck, Menon. 1995. EVENODD: An efficient scheme for tolerating double disk failures (IEEE Trans. Computers).</w:t>
      </w:r>
      <w:r w:rsidDel="00000000" w:rsidR="00000000" w:rsidRPr="00000000">
        <w:rPr>
          <w:rtl w:val="0"/>
        </w:rPr>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Blaum, Hafner, Hetzler. 2012. Partial-MDS Codes and their Application to RAID Type Architectures.</w:t>
      </w:r>
      <w:r w:rsidDel="00000000" w:rsidR="00000000" w:rsidRPr="00000000">
        <w:rPr>
          <w:rtl w:val="0"/>
        </w:rPr>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Blomer, Kalfane, Karp, Karpinski, Luby, Zuckerman. 1995. An XOR-Based Erasure-Resilient Coding Scheme.</w:t>
      </w:r>
      <w:r w:rsidDel="00000000" w:rsidR="00000000" w:rsidRPr="00000000">
        <w:rPr>
          <w:rtl w:val="0"/>
        </w:rPr>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Calder, Wang, Ogus, Nilakantan et al. 2011. Windows Azure Storage (SOSP).</w:t>
      </w:r>
      <w:r w:rsidDel="00000000" w:rsidR="00000000" w:rsidRPr="00000000">
        <w:rPr>
          <w:rtl w:val="0"/>
        </w:rPr>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Corbett, English, Goel, Grcanac, Kleiman, Leong, Sankar. 2004. Row-diagonal parity for double disk failure correction (FAST).</w:t>
      </w:r>
      <w:r w:rsidDel="00000000" w:rsidR="00000000" w:rsidRPr="00000000">
        <w:rPr>
          <w:rtl w:val="0"/>
        </w:rPr>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Ford, Labelle, Popovici, Stokely, Truong, Barroso, Grimes, Quinlan. 2010. Availability in globally distributed storage systems (OSDI).</w:t>
      </w:r>
      <w:r w:rsidDel="00000000" w:rsidR="00000000" w:rsidRPr="00000000">
        <w:rPr>
          <w:rtl w:val="0"/>
        </w:rPr>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Gu, Wu, Xie, Qiu, Li, Guo, He, Dong, Zhao. 2019. Optimizing the parity check matrix for efficient decoding of RS-based cloud storage (IPDPS).</w:t>
      </w:r>
      <w:r w:rsidDel="00000000" w:rsidR="00000000" w:rsidRPr="00000000">
        <w:rPr>
          <w:rtl w:val="0"/>
        </w:rPr>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Haddock, Bangalore, Curry, Skjellum. 2019. High performance erasure coding for very large stripe sizes (SpringSim).</w:t>
      </w:r>
      <w:r w:rsidDel="00000000" w:rsidR="00000000" w:rsidRPr="00000000">
        <w:rPr>
          <w:rtl w:val="0"/>
        </w:rPr>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Holland, Gibson, Siewiorek. 1993. Fast, on-line failure recovery in redundant disk arrays.</w:t>
      </w:r>
      <w:r w:rsidDel="00000000" w:rsidR="00000000" w:rsidRPr="00000000">
        <w:rPr>
          <w:rtl w:val="0"/>
        </w:rPr>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Hou, Menon, Patt. 1993. Balancing I/O response time and disk rebuild time in a RAID5 disk array.</w:t>
      </w:r>
      <w:r w:rsidDel="00000000" w:rsidR="00000000" w:rsidRPr="00000000">
        <w:rPr>
          <w:rtl w:val="0"/>
        </w:rPr>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Hu, Chen, Lee, Tang. 2012. NCCloud: Applying network coding for storage repair in a cloud-of-clouds (FAST).</w:t>
      </w:r>
      <w:r w:rsidDel="00000000" w:rsidR="00000000" w:rsidRPr="00000000">
        <w:rPr>
          <w:rtl w:val="0"/>
        </w:rPr>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Hu, Cheng, Yao, Lee, Wang, Chen. 2021. Exploiting combined locality for Wide-Stripe erasure coding (FAST).</w:t>
      </w:r>
      <w:r w:rsidDel="00000000" w:rsidR="00000000" w:rsidRPr="00000000">
        <w:rPr>
          <w:rtl w:val="0"/>
        </w:rPr>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Huang, Simitci, Xu, Ogus, Calder, Gopalan, Li, Yekhanin. 2012. Erasure coding in Windows Azure Storage (USENIX ATC).</w:t>
      </w:r>
      <w:r w:rsidDel="00000000" w:rsidR="00000000" w:rsidRPr="00000000">
        <w:rPr>
          <w:rtl w:val="0"/>
        </w:rPr>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Huang, Xu. 2005. STAR: An efficient coding scheme for correcting triple storage node failures (FAST).</w:t>
      </w:r>
      <w:r w:rsidDel="00000000" w:rsidR="00000000" w:rsidRPr="00000000">
        <w:rPr>
          <w:rtl w:val="0"/>
        </w:rPr>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Iliadis, Haas, Hu, Eleftheriou. 2008. Disk scrubbing versus intra-disk redundancy (SIGMETRICS).</w:t>
      </w:r>
      <w:r w:rsidDel="00000000" w:rsidR="00000000" w:rsidRPr="00000000">
        <w:rPr>
          <w:rtl w:val="0"/>
        </w:rPr>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Jiang, Hu, Zhou, Kanevsky. 2008. Are disks the dominant contributor for storage failures? (FAST).</w:t>
      </w:r>
      <w:r w:rsidDel="00000000" w:rsidR="00000000" w:rsidRPr="00000000">
        <w:rPr>
          <w:rtl w:val="0"/>
        </w:rPr>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Khan, Burns, Plank, Pierce, Huang. 2012. Rethinking erasure codes for cloud file systems (FAST).</w:t>
      </w:r>
      <w:r w:rsidDel="00000000" w:rsidR="00000000" w:rsidRPr="00000000">
        <w:rPr>
          <w:rtl w:val="0"/>
        </w:rPr>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Kim, Seshadri, Dickey, Chiu. 2014. Evaluating phase change memory for enterprise storage systems (FAST).</w:t>
      </w:r>
      <w:r w:rsidDel="00000000" w:rsidR="00000000" w:rsidRPr="00000000">
        <w:rPr>
          <w:rtl w:val="0"/>
        </w:rPr>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Lee, Ipek, Mutlu, Burger. 2009. Architecting phase change memory as a scalable DRAM alternative (ISCA).</w:t>
      </w:r>
      <w:r w:rsidDel="00000000" w:rsidR="00000000" w:rsidRPr="00000000">
        <w:rPr>
          <w:rtl w:val="0"/>
        </w:rPr>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Lee, Lui. 2002. Automatic recovery from disk failure in continuous-media servers (IEEE TPDS).</w:t>
      </w:r>
      <w:r w:rsidDel="00000000" w:rsidR="00000000" w:rsidRPr="00000000">
        <w:rPr>
          <w:rtl w:val="0"/>
        </w:rPr>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Li, Lee. 2014. STAIR codes: A general family of erasure codes for tolerating device and sector failures (FAST).</w:t>
      </w:r>
      <w:r w:rsidDel="00000000" w:rsidR="00000000" w:rsidRPr="00000000">
        <w:rPr>
          <w:rtl w:val="0"/>
        </w:rPr>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Li, Li, Lee, Huang. 2017. Repair pipelining for erasure-coded storage (USENIX ATC).</w:t>
      </w:r>
      <w:r w:rsidDel="00000000" w:rsidR="00000000" w:rsidRPr="00000000">
        <w:rPr>
          <w:rtl w:val="0"/>
        </w:rPr>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Li, Cao, Wan, Zhang, Xie, He, Subedi. 2015. PPM: A partitioned and parallel matrix algorithm to accelerate encoding/decoding of asymmetric parity erasure codes (ICPP) — the earlier conference version of this paper.</w:t>
      </w:r>
      <w:r w:rsidDel="00000000" w:rsidR="00000000" w:rsidRPr="00000000">
        <w:rPr>
          <w:rtl w:val="0"/>
        </w:rPr>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Li, Wang, Tian, Wu, Zhang, Xu. 2018. A hierarchical RAID architecture towards fast recovery and high reliability (IEEE TPDS).</w:t>
      </w:r>
      <w:r w:rsidDel="00000000" w:rsidR="00000000" w:rsidRPr="00000000">
        <w:rPr>
          <w:rtl w:val="0"/>
        </w:rPr>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Lin, Gong, Shen, Lee, Shu. 2021. Boosting full-node repair in erasure-coded storage (USENIX ATC).</w:t>
      </w:r>
      <w:r w:rsidDel="00000000" w:rsidR="00000000" w:rsidRPr="00000000">
        <w:rPr>
          <w:rtl w:val="0"/>
        </w:rPr>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MacWilliams, Sloane. 1977. The theory of error-correcting codes, Part I.</w:t>
      </w:r>
      <w:r w:rsidDel="00000000" w:rsidR="00000000" w:rsidRPr="00000000">
        <w:rPr>
          <w:rtl w:val="0"/>
        </w:rPr>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Menon, Mattson. 1992. Distributed sparing in disk arrays (COMPCON).</w:t>
      </w:r>
      <w:r w:rsidDel="00000000" w:rsidR="00000000" w:rsidRPr="00000000">
        <w:rPr>
          <w:rtl w:val="0"/>
        </w:rPr>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Mitra, Panta, Ra, Bagchi. 2016. Partial-Parallel-Repair (PPR) (EuroSys).</w:t>
      </w:r>
      <w:r w:rsidDel="00000000" w:rsidR="00000000" w:rsidRPr="00000000">
        <w:rPr>
          <w:rtl w:val="0"/>
        </w:rPr>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Peterson, Weldon. 1972. Error-Correcting Codes (2nd ed.).</w:t>
      </w:r>
      <w:r w:rsidDel="00000000" w:rsidR="00000000" w:rsidRPr="00000000">
        <w:rPr>
          <w:rtl w:val="0"/>
        </w:rPr>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Pinheiro, Weber, Barroso. 2007. Failure trends in a large disk drive population (FAST).</w:t>
      </w:r>
      <w:r w:rsidDel="00000000" w:rsidR="00000000" w:rsidRPr="00000000">
        <w:rPr>
          <w:rtl w:val="0"/>
        </w:rPr>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Plank. 2008. The RAID-6 liberation codes (FAST).</w:t>
      </w:r>
      <w:r w:rsidDel="00000000" w:rsidR="00000000" w:rsidRPr="00000000">
        <w:rPr>
          <w:rtl w:val="0"/>
        </w:rPr>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Plank. 2013. Open source encoder and decoder for SD erasure codes (Tech Report).</w:t>
      </w:r>
      <w:r w:rsidDel="00000000" w:rsidR="00000000" w:rsidRPr="00000000">
        <w:rPr>
          <w:rtl w:val="0"/>
        </w:rPr>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Plank, Blaum, Hafner. 2013. SD codes: Erasure codes designed for how storage systems really fail (FAST).</w:t>
      </w:r>
      <w:r w:rsidDel="00000000" w:rsidR="00000000" w:rsidRPr="00000000">
        <w:rPr>
          <w:rtl w:val="0"/>
        </w:rPr>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Plank, Greenan, Miller. 2013. Screaming fast Galois field arithmetic using Intel SIMD instructions (FAST).</w:t>
      </w:r>
      <w:r w:rsidDel="00000000" w:rsidR="00000000" w:rsidRPr="00000000">
        <w:rPr>
          <w:rtl w:val="0"/>
        </w:rPr>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Plank, Luo, Schuman, Xu, Wilcox-O'Hearn. 2009. A performance evaluation and examination of open-source erasure coding libraries (FAST).</w:t>
      </w:r>
      <w:r w:rsidDel="00000000" w:rsidR="00000000" w:rsidRPr="00000000">
        <w:rPr>
          <w:rtl w:val="0"/>
        </w:rPr>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Qureshi, Srinivasan, Rivers. 2009. Scalable high performance main memory system using phase-change memory technology (ISCA).</w:t>
      </w:r>
      <w:r w:rsidDel="00000000" w:rsidR="00000000" w:rsidRPr="00000000">
        <w:rPr>
          <w:rtl w:val="0"/>
        </w:rPr>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RANDOM.ORG. 2022. Random integer generator.</w:t>
      </w:r>
      <w:r w:rsidDel="00000000" w:rsidR="00000000" w:rsidRPr="00000000">
        <w:rPr>
          <w:rtl w:val="0"/>
        </w:rPr>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Reed, Solomon. 1960. Polynomial codes over certain finite fields (J. SIAM).</w:t>
      </w:r>
      <w:r w:rsidDel="00000000" w:rsidR="00000000" w:rsidRPr="00000000">
        <w:rPr>
          <w:rtl w:val="0"/>
        </w:rPr>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Sathiamoorthy, Asteris, Papailiopoulos, Dimakis, Vadali, Chen, Borthakur. 2013. XORing elephants: Novel erasure codes for big data (VLDB).</w:t>
      </w:r>
      <w:r w:rsidDel="00000000" w:rsidR="00000000" w:rsidRPr="00000000">
        <w:rPr>
          <w:rtl w:val="0"/>
        </w:rPr>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Schroeder, Damouras, Gill. 2010. Understanding latent sector errors and how to protect against them (FAST).</w:t>
      </w:r>
      <w:r w:rsidDel="00000000" w:rsidR="00000000" w:rsidRPr="00000000">
        <w:rPr>
          <w:rtl w:val="0"/>
        </w:rPr>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Schroeder, Gibson. 2007. Disk failures in the real world (FAST).</w:t>
      </w:r>
      <w:r w:rsidDel="00000000" w:rsidR="00000000" w:rsidRPr="00000000">
        <w:rPr>
          <w:rtl w:val="0"/>
        </w:rPr>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Sobe. 2010. Parallel Reed/Solomon coding on multicore processors.</w:t>
      </w:r>
      <w:r w:rsidDel="00000000" w:rsidR="00000000" w:rsidRPr="00000000">
        <w:rPr>
          <w:rtl w:val="0"/>
        </w:rPr>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Tian, Feng, Jiang, Zeng, Chen, Wang, Song. 2007. PRO: A popularity-based multi-threaded reconstruction optimization for RAID (FAST).</w:t>
      </w:r>
      <w:r w:rsidDel="00000000" w:rsidR="00000000" w:rsidRPr="00000000">
        <w:rPr>
          <w:rtl w:val="0"/>
        </w:rPr>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Wan, Wang, Xie, Yang. 2014. S2-RAID: Parallel RAID architecture for fast data recovery (IEEE TPDS).</w:t>
      </w:r>
      <w:r w:rsidDel="00000000" w:rsidR="00000000" w:rsidRPr="00000000">
        <w:rPr>
          <w:rtl w:val="0"/>
        </w:rPr>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Wan, He, Huang, Cao, Li, Xie. 2013. An efficient penalty aware cache for parity-based disk arrays under faulty conditions (IEEE TPDS).</w:t>
      </w:r>
      <w:r w:rsidDel="00000000" w:rsidR="00000000" w:rsidRPr="00000000">
        <w:rPr>
          <w:rtl w:val="0"/>
        </w:rPr>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Wu, Du, Lee, Li, Xu. 2021. StripeMerge: Efficient wide-stripe generation for large-scale erasure-coded storage (ICDCS).</w:t>
      </w:r>
      <w:r w:rsidDel="00000000" w:rsidR="00000000" w:rsidRPr="00000000">
        <w:rPr>
          <w:rtl w:val="0"/>
        </w:rPr>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Yao, Hu, Cheng, Lee, Feng, Wang, Chen. 2022. Optimal data placement for stripe merging in locally repairable codes (INFOCOM).</w:t>
      </w:r>
      <w:r w:rsidDel="00000000" w:rsidR="00000000" w:rsidRPr="00000000">
        <w:rPr>
          <w:rtl w:val="0"/>
        </w:rPr>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pacing w:after="80" w:lineRule="auto"/>
        <w:ind w:left="420" w:hanging="260"/>
        <w:rPr/>
      </w:pPr>
      <w:r w:rsidDel="00000000" w:rsidR="00000000" w:rsidRPr="00000000">
        <w:rPr>
          <w:color w:val="000000"/>
          <w:rtl w:val="0"/>
        </w:rPr>
        <w:t xml:space="preserve">Zhong, Li, Wu, Zarkadas, Tao, Mesterhazy, Makris, Yang, Tai, Stutsman, Cidon. 2022. XRP: In-kernel storage functions with eBPF (OSDI).</w:t>
      </w:r>
      <w:r w:rsidDel="00000000" w:rsidR="00000000" w:rsidRPr="00000000">
        <w:rPr>
          <w:rtl w:val="0"/>
        </w:rPr>
      </w:r>
    </w:p>
    <w:p w:rsidR="00000000" w:rsidDel="00000000" w:rsidP="00000000" w:rsidRDefault="00000000" w:rsidRPr="00000000" w14:paraId="00000061">
      <w:pPr>
        <w:pStyle w:val="Heading1"/>
        <w:spacing w:after="150" w:before="300" w:lineRule="auto"/>
        <w:rPr/>
      </w:pPr>
      <w:r w:rsidDel="00000000" w:rsidR="00000000" w:rsidRPr="00000000">
        <w:rPr>
          <w:rtl w:val="0"/>
        </w:rPr>
        <w:t xml:space="preserve">Papers Citing This Paper</w:t>
      </w:r>
    </w:p>
    <w:p w:rsidR="00000000" w:rsidDel="00000000" w:rsidP="00000000" w:rsidRDefault="00000000" w:rsidRPr="00000000" w14:paraId="00000062">
      <w:pPr>
        <w:spacing w:after="150" w:lineRule="auto"/>
        <w:rPr/>
      </w:pPr>
      <w:r w:rsidDel="00000000" w:rsidR="00000000" w:rsidRPr="00000000">
        <w:rPr>
          <w:b w:val="1"/>
          <w:bCs w:val="1"/>
          <w:rtl w:val="0"/>
        </w:rPr>
        <w:t xml:space="preserve">Chen, J., Yang, S., Wang, Y., Ye, M., Lei, F. (2024) - </w:t>
      </w:r>
      <w:r w:rsidDel="00000000" w:rsidR="00000000" w:rsidRPr="00000000">
        <w:rPr>
          <w:rtl w:val="0"/>
        </w:rPr>
        <w:t xml:space="preserve">Data repair accelerating scheme for erasure-coded storage system based on FPGA and hierarchical parallel decoding structure, Cluster Computing, 27(6): 7803–7823. The cited paper uses this paper's check-matrix-based decoding approach as part of an FPGA hardware acceleration design for Cauchy Reed-Solomon (CRS) code repair.</w:t>
      </w:r>
    </w:p>
    <w:p w:rsidR="00000000" w:rsidDel="00000000" w:rsidP="00000000" w:rsidRDefault="00000000" w:rsidRPr="00000000" w14:paraId="00000063">
      <w:pPr>
        <w:spacing w:after="150" w:lineRule="auto"/>
        <w:rPr/>
      </w:pPr>
      <w:r w:rsidDel="00000000" w:rsidR="00000000" w:rsidRPr="00000000">
        <w:rPr>
          <w:rtl w:val="0"/>
        </w:rPr>
      </w:r>
    </w:p>
    <w:p>
      <w:r>
        <w:br w:type="page"/>
      </w:r>
    </w:p>
    <w:p>
      <w:pPr>
        <w:pStyle w:val="Heading1"/>
      </w:pPr>
      <w:r>
        <w:t>Sequential Baseline Implementation and Results</w:t>
      </w:r>
    </w:p>
    <w:tbl>
      <w:tblPr>
        <w:tblW w:type="auto" w:w="0"/>
        <w:jc w:val="center"/>
        <w:tblLook w:firstColumn="1" w:firstRow="1" w:lastColumn="0" w:lastRow="0" w:noHBand="0" w:noVBand="1" w:val="04A0"/>
      </w:tblPr>
      <w:tblGrid>
        <w:gridCol w:w="9360"/>
      </w:tblGrid>
      <w:tr>
        <w:tc>
          <w:tcPr>
            <w:tcW w:type="dxa" w:w="9360"/>
            <w:shd w:fill="EAF2F8"/>
            <w:tcBorders>
              <w:top w:val="single" w:sz="8" w:color="1F7A8C"/>
              <w:left w:val="single" w:sz="8" w:color="1F7A8C"/>
              <w:bottom w:val="single" w:sz="8" w:color="1F7A8C"/>
              <w:right w:val="single" w:sz="8" w:color="1F7A8C"/>
            </w:tcBorders>
          </w:tcPr>
          <w:p>
            <w:pPr>
              <w:spacing w:after="60"/>
            </w:pPr>
            <w:r>
              <w:rPr>
                <w:b/>
                <w:color w:val="17365D"/>
              </w:rPr>
              <w:t>Milestone 1 outcome</w:t>
              <w:br/>
            </w:r>
            <w:r>
              <w:t>The scalar reference implementation is complete for the full published SD parameter grid. All 7,833 representative feasible layouts recover correctly, and all 180 timed 32 MiB trials pass validation.</w:t>
            </w:r>
          </w:p>
        </w:tc>
      </w:tr>
    </w:tbl>
    <w:p>
      <w:pPr>
        <w:spacing w:after="0"/>
      </w:pPr>
    </w:p>
    <w:p>
      <w:pPr>
        <w:pStyle w:val="Heading2"/>
      </w:pPr>
      <w:r>
        <w:t>Implementation Scope</w:t>
      </w:r>
    </w:p>
    <w:p>
      <w:r>
        <w:t>The implementation follows the traditional parity-check-matrix process in Section 2.2 of Li et al. It builds H, extracts faulty columns F and surviving columns S, inverts F over GF(2^w), and reconstructs the missing sectors with the normal calculation sequence. Encoding uses the same solver with the parity locations treated as the unknown set.</w:t>
      </w:r>
    </w:p>
    <w:tbl>
      <w:tblPr>
        <w:tblW w:type="auto" w:w="0"/>
        <w:jc w:val="center"/>
        <w:tblLook w:firstColumn="1" w:firstRow="1" w:lastColumn="0" w:lastRow="0" w:noHBand="0" w:noVBand="1" w:val="04A0"/>
      </w:tblPr>
      <w:tblGrid>
        <w:gridCol w:w="9360"/>
      </w:tblGrid>
      <w:tr>
        <w:tc>
          <w:tcPr>
            <w:tcW w:type="dxa" w:w="9360"/>
            <w:shd w:fill="F2F4F5"/>
            <w:tcBorders>
              <w:top w:val="single" w:sz="4" w:color="D5DADE"/>
              <w:left w:val="single" w:sz="4" w:color="D5DADE"/>
              <w:bottom w:val="single" w:sz="4" w:color="D5DADE"/>
              <w:right w:val="single" w:sz="4" w:color="D5DADE"/>
            </w:tcBorders>
          </w:tcPr>
          <w:p>
            <w:pPr>
              <w:spacing w:before="100" w:after="100"/>
              <w:jc w:val="center"/>
            </w:pPr>
            <w:r>
              <w:rPr>
                <w:rFonts w:ascii="Liberation Serif" w:hAnsi="Liberation Serif"/>
                <w:b/>
                <w:sz w:val="22"/>
              </w:rPr>
              <w:t>T = S x B_S        B_F = F^-1 x T</w:t>
            </w:r>
          </w:p>
        </w:tc>
      </w:tr>
    </w:tbl>
    <w:p>
      <w:pPr>
        <w:spacing w:after="0"/>
      </w:pPr>
    </w:p>
    <w:p>
      <w:r>
        <w:t>The baseline supports GF(2^8), GF(2^16), and GF(2^32). It is intentionally single-threaded and scalar: PPM partitioning, OpenMP, SIMD, matrix-first evaluation, and dynamic gPPM selection are excluded so later milestones have an unambiguous reference.</w:t>
      </w:r>
    </w:p>
    <w:p>
      <w:pPr>
        <w:pStyle w:val="Heading2"/>
      </w:pPr>
      <w:r>
        <w:t>Correctness Evidence</w:t>
      </w:r>
    </w:p>
    <w:p>
      <w:r>
        <w:t>The Figure 2 example reproduces u(S) = 22, u(F^-1) = 13, and C = 35 = C1. The encoded stripe satisfies H x B = 0, erased sectors are reconstructed byte-for-byte, and the recovered stripe again satisfies H x B = 0.</w:t>
      </w:r>
    </w:p>
    <w:p>
      <w:r>
        <w:t>The full parameter-grid sweep loads all 3,969 published FAST coefficient sets and combines each with every z in 1 &lt;= z &lt;= s. It tests one deterministic representative fault layout per feasible (configuration, z) point: the leftmost m disks and s extra sectors spread over exactly z rows. This covers every parameter tuple, but does not enumerate every combinatorial fault placement.</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6480"/>
            <w:shd w:fill="17365D"/>
            <w:tcBorders>
              <w:top w:val="single" w:sz="4" w:color="17365D"/>
              <w:left w:val="single" w:sz="4" w:color="17365D"/>
              <w:bottom w:val="single" w:sz="4" w:color="17365D"/>
              <w:right w:val="single" w:sz="4" w:color="17365D"/>
            </w:tcBorders>
            <w:vAlign w:val="center"/>
          </w:tcPr>
          <w:p>
            <w:pPr>
              <w:jc w:val="center"/>
            </w:pPr>
            <w:r>
              <w:rPr>
                <w:rFonts w:ascii="Liberation Sans" w:hAnsi="Liberation Sans"/>
                <w:b/>
                <w:color w:val="FFFFFF"/>
                <w:sz w:val="17"/>
              </w:rPr>
              <w:t>Measure</w:t>
            </w:r>
          </w:p>
        </w:tc>
        <w:tc>
          <w:tcPr>
            <w:tcW w:type="dxa" w:w="2448"/>
            <w:shd w:fill="17365D"/>
            <w:tcBorders>
              <w:top w:val="single" w:sz="4" w:color="17365D"/>
              <w:left w:val="single" w:sz="4" w:color="17365D"/>
              <w:bottom w:val="single" w:sz="4" w:color="17365D"/>
              <w:right w:val="single" w:sz="4" w:color="17365D"/>
            </w:tcBorders>
            <w:vAlign w:val="center"/>
          </w:tcPr>
          <w:p>
            <w:pPr>
              <w:jc w:val="center"/>
            </w:pPr>
            <w:r>
              <w:rPr>
                <w:rFonts w:ascii="Liberation Sans" w:hAnsi="Liberation Sans"/>
                <w:b/>
                <w:color w:val="FFFFFF"/>
                <w:sz w:val="17"/>
              </w:rPr>
              <w:t>Result</w:t>
            </w:r>
          </w:p>
        </w:tc>
      </w:tr>
      <w:tr>
        <w:trPr>
          <w:cantSplit/>
        </w:trPr>
        <w:tc>
          <w:tcPr>
            <w:tcW w:type="dxa" w:w="6480"/>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Published coefficient configurations</w:t>
            </w:r>
          </w:p>
        </w:tc>
        <w:tc>
          <w:tcPr>
            <w:tcW w:type="dxa" w:w="24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3,969</w:t>
            </w:r>
          </w:p>
        </w:tc>
      </w:tr>
      <w:tr>
        <w:trPr>
          <w:cantSplit/>
        </w:trPr>
        <w:tc>
          <w:tcPr>
            <w:tcW w:type="dxa" w:w="6480"/>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Total (configuration, z) points</w:t>
            </w:r>
          </w:p>
        </w:tc>
        <w:tc>
          <w:tcPr>
            <w:tcW w:type="dxa" w:w="244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7,938</w:t>
            </w:r>
          </w:p>
        </w:tc>
      </w:tr>
      <w:tr>
        <w:trPr>
          <w:cantSplit/>
        </w:trPr>
        <w:tc>
          <w:tcPr>
            <w:tcW w:type="dxa" w:w="6480"/>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Geometrically infeasible points</w:t>
            </w:r>
          </w:p>
        </w:tc>
        <w:tc>
          <w:tcPr>
            <w:tcW w:type="dxa" w:w="24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105</w:t>
            </w:r>
          </w:p>
        </w:tc>
      </w:tr>
      <w:tr>
        <w:trPr>
          <w:cantSplit/>
        </w:trPr>
        <w:tc>
          <w:tcPr>
            <w:tcW w:type="dxa" w:w="6480"/>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Representative feasible layouts tested</w:t>
            </w:r>
          </w:p>
        </w:tc>
        <w:tc>
          <w:tcPr>
            <w:tcW w:type="dxa" w:w="244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7,833</w:t>
            </w:r>
          </w:p>
        </w:tc>
      </w:tr>
      <w:tr>
        <w:trPr>
          <w:cantSplit/>
        </w:trPr>
        <w:tc>
          <w:tcPr>
            <w:tcW w:type="dxa" w:w="6480"/>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Successful encode/decode round trips</w:t>
            </w:r>
          </w:p>
        </w:tc>
        <w:tc>
          <w:tcPr>
            <w:tcW w:type="dxa" w:w="24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7,833 / 7,833</w:t>
            </w:r>
          </w:p>
        </w:tc>
      </w:tr>
      <w:tr>
        <w:trPr>
          <w:cantSplit/>
        </w:trPr>
        <w:tc>
          <w:tcPr>
            <w:tcW w:type="dxa" w:w="6480"/>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Singular matrices / over-counts / count errors</w:t>
            </w:r>
          </w:p>
        </w:tc>
        <w:tc>
          <w:tcPr>
            <w:tcW w:type="dxa" w:w="244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0 / 0 / 0</w:t>
            </w:r>
          </w:p>
        </w:tc>
      </w:tr>
      <w:tr>
        <w:trPr>
          <w:cantSplit/>
        </w:trPr>
        <w:tc>
          <w:tcPr>
            <w:tcW w:type="dxa" w:w="6480"/>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Exact C1 matches</w:t>
            </w:r>
          </w:p>
        </w:tc>
        <w:tc>
          <w:tcPr>
            <w:tcW w:type="dxa" w:w="24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7,649 (97.65%)</w:t>
            </w:r>
          </w:p>
        </w:tc>
      </w:tr>
      <w:tr>
        <w:trPr>
          <w:cantSplit/>
        </w:trPr>
        <w:tc>
          <w:tcPr>
            <w:tcW w:type="dxa" w:w="6480"/>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Benign results below C1</w:t>
            </w:r>
          </w:p>
        </w:tc>
        <w:tc>
          <w:tcPr>
            <w:tcW w:type="dxa" w:w="244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184 (2.35%)</w:t>
            </w:r>
          </w:p>
        </w:tc>
      </w:tr>
    </w:tbl>
    <w:p>
      <w:pPr>
        <w:spacing w:after="0"/>
      </w:pPr>
    </w:p>
    <w:p>
      <w:r>
        <w:t>The 184 under-counts are coefficient cancellations, not failures. In those layouts, entries of F^-1 become zero, reducing the actual number of region operations below the paper's generic-position expression. The measured count still equals u(S) + u(F^-1) in every tested layout.</w:t>
      </w:r>
    </w:p>
    <w:p>
      <w:pPr>
        <w:pStyle w:val="Heading2"/>
      </w:pPr>
      <w:r>
        <w:t>Baseline Benchmark</w:t>
      </w:r>
    </w:p>
    <w:p>
      <w:r>
        <w:t>The compact benchmark fixes n = 16, r = 16, z = 1 and evaluates every m,s in {1,2,3} pair. Each codeword is exactly 32 MiB, comprising 256 sectors of 128 KiB. One warm-up precedes ten encode and ten decode trials per configuration. Random generation, erasure injection, validation, checksums, and CSV output are outside the timed interval.</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024"/>
            <w:shd w:fill="17365D"/>
            <w:tcBorders>
              <w:top w:val="single" w:sz="4" w:color="17365D"/>
              <w:left w:val="single" w:sz="4" w:color="17365D"/>
              <w:bottom w:val="single" w:sz="4" w:color="17365D"/>
              <w:right w:val="single" w:sz="4" w:color="17365D"/>
            </w:tcBorders>
            <w:vAlign w:val="center"/>
          </w:tcPr>
          <w:p>
            <w:pPr>
              <w:jc w:val="center"/>
            </w:pPr>
            <w:r>
              <w:rPr>
                <w:rFonts w:ascii="Liberation Sans" w:hAnsi="Liberation Sans"/>
                <w:b/>
                <w:color w:val="FFFFFF"/>
                <w:sz w:val="17"/>
              </w:rPr>
              <w:t>Item</w:t>
            </w:r>
          </w:p>
        </w:tc>
        <w:tc>
          <w:tcPr>
            <w:tcW w:type="dxa" w:w="5904"/>
            <w:shd w:fill="17365D"/>
            <w:tcBorders>
              <w:top w:val="single" w:sz="4" w:color="17365D"/>
              <w:left w:val="single" w:sz="4" w:color="17365D"/>
              <w:bottom w:val="single" w:sz="4" w:color="17365D"/>
              <w:right w:val="single" w:sz="4" w:color="17365D"/>
            </w:tcBorders>
            <w:vAlign w:val="center"/>
          </w:tcPr>
          <w:p>
            <w:pPr>
              <w:jc w:val="center"/>
            </w:pPr>
            <w:r>
              <w:rPr>
                <w:rFonts w:ascii="Liberation Sans" w:hAnsi="Liberation Sans"/>
                <w:b/>
                <w:color w:val="FFFFFF"/>
                <w:sz w:val="17"/>
              </w:rPr>
              <w:t>Recorded setting</w:t>
            </w:r>
          </w:p>
        </w:tc>
      </w:tr>
      <w:tr>
        <w:trPr>
          <w:cantSplit/>
        </w:trPr>
        <w:tc>
          <w:tcPr>
            <w:tcW w:type="dxa" w:w="302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Processor</w:t>
            </w:r>
          </w:p>
        </w:tc>
        <w:tc>
          <w:tcPr>
            <w:tcW w:type="dxa" w:w="590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Intel Core Ultra 9 185H</w:t>
            </w:r>
          </w:p>
        </w:tc>
      </w:tr>
      <w:tr>
        <w:trPr>
          <w:cantSplit/>
        </w:trPr>
        <w:tc>
          <w:tcPr>
            <w:tcW w:type="dxa" w:w="302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Compiler</w:t>
            </w:r>
          </w:p>
        </w:tc>
        <w:tc>
          <w:tcPr>
            <w:tcW w:type="dxa" w:w="590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GCC 11.4.0, -O2</w:t>
            </w:r>
          </w:p>
        </w:tc>
      </w:tr>
      <w:tr>
        <w:trPr>
          <w:cantSplit/>
        </w:trPr>
        <w:tc>
          <w:tcPr>
            <w:tcW w:type="dxa" w:w="302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Execution</w:t>
            </w:r>
          </w:p>
        </w:tc>
        <w:tc>
          <w:tcPr>
            <w:tcW w:type="dxa" w:w="590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One thread, scalar, no SIMD</w:t>
            </w:r>
          </w:p>
        </w:tc>
      </w:tr>
      <w:tr>
        <w:trPr>
          <w:cantSplit/>
        </w:trPr>
        <w:tc>
          <w:tcPr>
            <w:tcW w:type="dxa" w:w="302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Code parameters</w:t>
            </w:r>
          </w:p>
        </w:tc>
        <w:tc>
          <w:tcPr>
            <w:tcW w:type="dxa" w:w="590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n=16, r=16, z=1; all m,s in {1,2,3}</w:t>
            </w:r>
          </w:p>
        </w:tc>
      </w:tr>
      <w:tr>
        <w:trPr>
          <w:cantSplit/>
        </w:trPr>
        <w:tc>
          <w:tcPr>
            <w:tcW w:type="dxa" w:w="302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Codeword / sector size</w:t>
            </w:r>
          </w:p>
        </w:tc>
        <w:tc>
          <w:tcPr>
            <w:tcW w:type="dxa" w:w="590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32 MiB / 128 KiB</w:t>
            </w:r>
          </w:p>
        </w:tc>
      </w:tr>
      <w:tr>
        <w:trPr>
          <w:cantSplit/>
        </w:trPr>
        <w:tc>
          <w:tcPr>
            <w:tcW w:type="dxa" w:w="302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Trials</w:t>
            </w:r>
          </w:p>
        </w:tc>
        <w:tc>
          <w:tcPr>
            <w:tcW w:type="dxa" w:w="590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7"/>
              </w:rPr>
              <w:t>1 warm-up + 10 measured per operation</w:t>
            </w:r>
          </w:p>
        </w:tc>
      </w:tr>
      <w:tr>
        <w:trPr>
          <w:cantSplit/>
        </w:trPr>
        <w:tc>
          <w:tcPr>
            <w:tcW w:type="dxa" w:w="302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Primary metric</w:t>
            </w:r>
          </w:p>
        </w:tc>
        <w:tc>
          <w:tcPr>
            <w:tcW w:type="dxa" w:w="590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7"/>
              </w:rPr>
              <w:t>Useful non-parity MiB/s</w:t>
            </w:r>
          </w:p>
        </w:tc>
      </w:tr>
    </w:tbl>
    <w:p>
      <w:pPr>
        <w:spacing w:after="0"/>
      </w:pP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648"/>
            <w:shd w:fill="17365D"/>
            <w:tcBorders>
              <w:top w:val="single" w:sz="4" w:color="17365D"/>
              <w:left w:val="single" w:sz="4" w:color="17365D"/>
              <w:bottom w:val="single" w:sz="4" w:color="17365D"/>
              <w:right w:val="single" w:sz="4" w:color="17365D"/>
            </w:tcBorders>
            <w:vAlign w:val="center"/>
          </w:tcPr>
          <w:p>
            <w:pPr>
              <w:jc w:val="center"/>
            </w:pPr>
            <w:r>
              <w:rPr>
                <w:rFonts w:ascii="Liberation Sans" w:hAnsi="Liberation Sans"/>
                <w:b/>
                <w:color w:val="FFFFFF"/>
                <w:sz w:val="16"/>
              </w:rPr>
              <w:t>m</w:t>
            </w:r>
          </w:p>
        </w:tc>
        <w:tc>
          <w:tcPr>
            <w:tcW w:type="dxa" w:w="648"/>
            <w:shd w:fill="17365D"/>
            <w:tcBorders>
              <w:top w:val="single" w:sz="4" w:color="17365D"/>
              <w:left w:val="single" w:sz="4" w:color="17365D"/>
              <w:bottom w:val="single" w:sz="4" w:color="17365D"/>
              <w:right w:val="single" w:sz="4" w:color="17365D"/>
            </w:tcBorders>
            <w:vAlign w:val="center"/>
          </w:tcPr>
          <w:p>
            <w:pPr>
              <w:jc w:val="center"/>
            </w:pPr>
            <w:r>
              <w:rPr>
                <w:rFonts w:ascii="Liberation Sans" w:hAnsi="Liberation Sans"/>
                <w:b/>
                <w:color w:val="FFFFFF"/>
                <w:sz w:val="16"/>
              </w:rPr>
              <w:t>s</w:t>
            </w:r>
          </w:p>
        </w:tc>
        <w:tc>
          <w:tcPr>
            <w:tcW w:type="dxa" w:w="1512"/>
            <w:shd w:fill="17365D"/>
            <w:tcBorders>
              <w:top w:val="single" w:sz="4" w:color="17365D"/>
              <w:left w:val="single" w:sz="4" w:color="17365D"/>
              <w:bottom w:val="single" w:sz="4" w:color="17365D"/>
              <w:right w:val="single" w:sz="4" w:color="17365D"/>
            </w:tcBorders>
            <w:vAlign w:val="center"/>
          </w:tcPr>
          <w:p>
            <w:pPr>
              <w:jc w:val="center"/>
            </w:pPr>
            <w:r>
              <w:rPr>
                <w:rFonts w:ascii="Liberation Sans" w:hAnsi="Liberation Sans"/>
                <w:b/>
                <w:color w:val="FFFFFF"/>
                <w:sz w:val="16"/>
              </w:rPr>
              <w:t>Field</w:t>
            </w:r>
          </w:p>
        </w:tc>
        <w:tc>
          <w:tcPr>
            <w:tcW w:type="dxa" w:w="1008"/>
            <w:shd w:fill="17365D"/>
            <w:tcBorders>
              <w:top w:val="single" w:sz="4" w:color="17365D"/>
              <w:left w:val="single" w:sz="4" w:color="17365D"/>
              <w:bottom w:val="single" w:sz="4" w:color="17365D"/>
              <w:right w:val="single" w:sz="4" w:color="17365D"/>
            </w:tcBorders>
            <w:vAlign w:val="center"/>
          </w:tcPr>
          <w:p>
            <w:pPr>
              <w:jc w:val="center"/>
            </w:pPr>
            <w:r>
              <w:rPr>
                <w:rFonts w:ascii="Liberation Sans" w:hAnsi="Liberation Sans"/>
                <w:b/>
                <w:color w:val="FFFFFF"/>
                <w:sz w:val="16"/>
              </w:rPr>
              <w:t>C</w:t>
            </w:r>
          </w:p>
        </w:tc>
        <w:tc>
          <w:tcPr>
            <w:tcW w:type="dxa" w:w="1944"/>
            <w:shd w:fill="17365D"/>
            <w:tcBorders>
              <w:top w:val="single" w:sz="4" w:color="17365D"/>
              <w:left w:val="single" w:sz="4" w:color="17365D"/>
              <w:bottom w:val="single" w:sz="4" w:color="17365D"/>
              <w:right w:val="single" w:sz="4" w:color="17365D"/>
            </w:tcBorders>
            <w:vAlign w:val="center"/>
          </w:tcPr>
          <w:p>
            <w:pPr>
              <w:jc w:val="center"/>
            </w:pPr>
            <w:r>
              <w:rPr>
                <w:rFonts w:ascii="Liberation Sans" w:hAnsi="Liberation Sans"/>
                <w:b/>
                <w:color w:val="FFFFFF"/>
                <w:sz w:val="16"/>
              </w:rPr>
              <w:t>Encode MiB/s</w:t>
            </w:r>
          </w:p>
        </w:tc>
        <w:tc>
          <w:tcPr>
            <w:tcW w:type="dxa" w:w="1944"/>
            <w:shd w:fill="17365D"/>
            <w:tcBorders>
              <w:top w:val="single" w:sz="4" w:color="17365D"/>
              <w:left w:val="single" w:sz="4" w:color="17365D"/>
              <w:bottom w:val="single" w:sz="4" w:color="17365D"/>
              <w:right w:val="single" w:sz="4" w:color="17365D"/>
            </w:tcBorders>
            <w:vAlign w:val="center"/>
          </w:tcPr>
          <w:p>
            <w:pPr>
              <w:jc w:val="center"/>
            </w:pPr>
            <w:r>
              <w:rPr>
                <w:rFonts w:ascii="Liberation Sans" w:hAnsi="Liberation Sans"/>
                <w:b/>
                <w:color w:val="FFFFFF"/>
                <w:sz w:val="16"/>
              </w:rPr>
              <w:t>Decode MiB/s</w:t>
            </w:r>
          </w:p>
        </w:tc>
      </w:tr>
      <w:tr>
        <w:trPr>
          <w:cantSplit/>
        </w:trPr>
        <w:tc>
          <w:tcPr>
            <w:tcW w:type="dxa" w:w="6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1</w:t>
            </w:r>
          </w:p>
        </w:tc>
        <w:tc>
          <w:tcPr>
            <w:tcW w:type="dxa" w:w="6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1</w:t>
            </w:r>
          </w:p>
        </w:tc>
        <w:tc>
          <w:tcPr>
            <w:tcW w:type="dxa" w:w="1512"/>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GF(2^8)</w:t>
            </w:r>
          </w:p>
        </w:tc>
        <w:tc>
          <w:tcPr>
            <w:tcW w:type="dxa" w:w="100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527</w:t>
            </w:r>
          </w:p>
        </w:tc>
        <w:tc>
          <w:tcPr>
            <w:tcW w:type="dxa" w:w="194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852.60</w:t>
            </w:r>
          </w:p>
        </w:tc>
        <w:tc>
          <w:tcPr>
            <w:tcW w:type="dxa" w:w="194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854.58</w:t>
            </w:r>
          </w:p>
        </w:tc>
      </w:tr>
      <w:tr>
        <w:trPr>
          <w:cantSplit/>
        </w:trPr>
        <w:tc>
          <w:tcPr>
            <w:tcW w:type="dxa" w:w="64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1</w:t>
            </w:r>
          </w:p>
        </w:tc>
        <w:tc>
          <w:tcPr>
            <w:tcW w:type="dxa" w:w="64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2</w:t>
            </w:r>
          </w:p>
        </w:tc>
        <w:tc>
          <w:tcPr>
            <w:tcW w:type="dxa" w:w="1512"/>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GF(2^16)</w:t>
            </w:r>
          </w:p>
        </w:tc>
        <w:tc>
          <w:tcPr>
            <w:tcW w:type="dxa" w:w="100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783</w:t>
            </w:r>
          </w:p>
        </w:tc>
        <w:tc>
          <w:tcPr>
            <w:tcW w:type="dxa" w:w="194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634.68</w:t>
            </w:r>
          </w:p>
        </w:tc>
        <w:tc>
          <w:tcPr>
            <w:tcW w:type="dxa" w:w="194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631.51</w:t>
            </w:r>
          </w:p>
        </w:tc>
      </w:tr>
      <w:tr>
        <w:trPr>
          <w:cantSplit/>
        </w:trPr>
        <w:tc>
          <w:tcPr>
            <w:tcW w:type="dxa" w:w="6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1</w:t>
            </w:r>
          </w:p>
        </w:tc>
        <w:tc>
          <w:tcPr>
            <w:tcW w:type="dxa" w:w="6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3</w:t>
            </w:r>
          </w:p>
        </w:tc>
        <w:tc>
          <w:tcPr>
            <w:tcW w:type="dxa" w:w="1512"/>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GF(2^32)</w:t>
            </w:r>
          </w:p>
        </w:tc>
        <w:tc>
          <w:tcPr>
            <w:tcW w:type="dxa" w:w="100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1039</w:t>
            </w:r>
          </w:p>
        </w:tc>
        <w:tc>
          <w:tcPr>
            <w:tcW w:type="dxa" w:w="194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673.01</w:t>
            </w:r>
          </w:p>
        </w:tc>
        <w:tc>
          <w:tcPr>
            <w:tcW w:type="dxa" w:w="194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671.77</w:t>
            </w:r>
          </w:p>
        </w:tc>
      </w:tr>
      <w:tr>
        <w:trPr>
          <w:cantSplit/>
        </w:trPr>
        <w:tc>
          <w:tcPr>
            <w:tcW w:type="dxa" w:w="64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2</w:t>
            </w:r>
          </w:p>
        </w:tc>
        <w:tc>
          <w:tcPr>
            <w:tcW w:type="dxa" w:w="64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1</w:t>
            </w:r>
          </w:p>
        </w:tc>
        <w:tc>
          <w:tcPr>
            <w:tcW w:type="dxa" w:w="1512"/>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GF(2^8)</w:t>
            </w:r>
          </w:p>
        </w:tc>
        <w:tc>
          <w:tcPr>
            <w:tcW w:type="dxa" w:w="100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828</w:t>
            </w:r>
          </w:p>
        </w:tc>
        <w:tc>
          <w:tcPr>
            <w:tcW w:type="dxa" w:w="194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444.98</w:t>
            </w:r>
          </w:p>
        </w:tc>
        <w:tc>
          <w:tcPr>
            <w:tcW w:type="dxa" w:w="194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447.81</w:t>
            </w:r>
          </w:p>
        </w:tc>
      </w:tr>
      <w:tr>
        <w:trPr>
          <w:cantSplit/>
        </w:trPr>
        <w:tc>
          <w:tcPr>
            <w:tcW w:type="dxa" w:w="6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2</w:t>
            </w:r>
          </w:p>
        </w:tc>
        <w:tc>
          <w:tcPr>
            <w:tcW w:type="dxa" w:w="6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2</w:t>
            </w:r>
          </w:p>
        </w:tc>
        <w:tc>
          <w:tcPr>
            <w:tcW w:type="dxa" w:w="1512"/>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GF(2^16)</w:t>
            </w:r>
          </w:p>
        </w:tc>
        <w:tc>
          <w:tcPr>
            <w:tcW w:type="dxa" w:w="100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1084</w:t>
            </w:r>
          </w:p>
        </w:tc>
        <w:tc>
          <w:tcPr>
            <w:tcW w:type="dxa" w:w="194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399.48</w:t>
            </w:r>
          </w:p>
        </w:tc>
        <w:tc>
          <w:tcPr>
            <w:tcW w:type="dxa" w:w="194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401.21</w:t>
            </w:r>
          </w:p>
        </w:tc>
      </w:tr>
      <w:tr>
        <w:trPr>
          <w:cantSplit/>
        </w:trPr>
        <w:tc>
          <w:tcPr>
            <w:tcW w:type="dxa" w:w="64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2</w:t>
            </w:r>
          </w:p>
        </w:tc>
        <w:tc>
          <w:tcPr>
            <w:tcW w:type="dxa" w:w="64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3</w:t>
            </w:r>
          </w:p>
        </w:tc>
        <w:tc>
          <w:tcPr>
            <w:tcW w:type="dxa" w:w="1512"/>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GF(2^32)</w:t>
            </w:r>
          </w:p>
        </w:tc>
        <w:tc>
          <w:tcPr>
            <w:tcW w:type="dxa" w:w="100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1340</w:t>
            </w:r>
          </w:p>
        </w:tc>
        <w:tc>
          <w:tcPr>
            <w:tcW w:type="dxa" w:w="194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479.27</w:t>
            </w:r>
          </w:p>
        </w:tc>
        <w:tc>
          <w:tcPr>
            <w:tcW w:type="dxa" w:w="194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476.19</w:t>
            </w:r>
          </w:p>
        </w:tc>
      </w:tr>
      <w:tr>
        <w:trPr>
          <w:cantSplit/>
        </w:trPr>
        <w:tc>
          <w:tcPr>
            <w:tcW w:type="dxa" w:w="6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3</w:t>
            </w:r>
          </w:p>
        </w:tc>
        <w:tc>
          <w:tcPr>
            <w:tcW w:type="dxa" w:w="6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1</w:t>
            </w:r>
          </w:p>
        </w:tc>
        <w:tc>
          <w:tcPr>
            <w:tcW w:type="dxa" w:w="1512"/>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GF(2^8)</w:t>
            </w:r>
          </w:p>
        </w:tc>
        <w:tc>
          <w:tcPr>
            <w:tcW w:type="dxa" w:w="100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1159</w:t>
            </w:r>
          </w:p>
        </w:tc>
        <w:tc>
          <w:tcPr>
            <w:tcW w:type="dxa" w:w="194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282.56</w:t>
            </w:r>
          </w:p>
        </w:tc>
        <w:tc>
          <w:tcPr>
            <w:tcW w:type="dxa" w:w="194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275.55</w:t>
            </w:r>
          </w:p>
        </w:tc>
      </w:tr>
      <w:tr>
        <w:trPr>
          <w:cantSplit/>
        </w:trPr>
        <w:tc>
          <w:tcPr>
            <w:tcW w:type="dxa" w:w="64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3</w:t>
            </w:r>
          </w:p>
        </w:tc>
        <w:tc>
          <w:tcPr>
            <w:tcW w:type="dxa" w:w="64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2</w:t>
            </w:r>
          </w:p>
        </w:tc>
        <w:tc>
          <w:tcPr>
            <w:tcW w:type="dxa" w:w="1512"/>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GF(2^16)</w:t>
            </w:r>
          </w:p>
        </w:tc>
        <w:tc>
          <w:tcPr>
            <w:tcW w:type="dxa" w:w="1008"/>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1415</w:t>
            </w:r>
          </w:p>
        </w:tc>
        <w:tc>
          <w:tcPr>
            <w:tcW w:type="dxa" w:w="194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276.56</w:t>
            </w:r>
          </w:p>
        </w:tc>
        <w:tc>
          <w:tcPr>
            <w:tcW w:type="dxa" w:w="1944"/>
            <w:tcBorders>
              <w:top w:val="single" w:sz="4" w:color="B8C2CC"/>
              <w:left w:val="single" w:sz="4" w:color="B8C2CC"/>
              <w:bottom w:val="single" w:sz="4" w:color="B8C2CC"/>
              <w:right w:val="single" w:sz="4" w:color="B8C2CC"/>
            </w:tcBorders>
            <w:shd w:fill="F2F4F5"/>
            <w:vAlign w:val="center"/>
          </w:tcPr>
          <w:p>
            <w:pPr>
              <w:jc w:val="center"/>
            </w:pPr>
            <w:r>
              <w:rPr>
                <w:rFonts w:ascii="Liberation Sans" w:hAnsi="Liberation Sans"/>
                <w:sz w:val="16"/>
              </w:rPr>
              <w:t>279.68</w:t>
            </w:r>
          </w:p>
        </w:tc>
      </w:tr>
      <w:tr>
        <w:trPr>
          <w:cantSplit/>
        </w:trPr>
        <w:tc>
          <w:tcPr>
            <w:tcW w:type="dxa" w:w="6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3</w:t>
            </w:r>
          </w:p>
        </w:tc>
        <w:tc>
          <w:tcPr>
            <w:tcW w:type="dxa" w:w="64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3</w:t>
            </w:r>
          </w:p>
        </w:tc>
        <w:tc>
          <w:tcPr>
            <w:tcW w:type="dxa" w:w="1512"/>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GF(2^32)</w:t>
            </w:r>
          </w:p>
        </w:tc>
        <w:tc>
          <w:tcPr>
            <w:tcW w:type="dxa" w:w="1008"/>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1671</w:t>
            </w:r>
          </w:p>
        </w:tc>
        <w:tc>
          <w:tcPr>
            <w:tcW w:type="dxa" w:w="194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352.91</w:t>
            </w:r>
          </w:p>
        </w:tc>
        <w:tc>
          <w:tcPr>
            <w:tcW w:type="dxa" w:w="1944"/>
            <w:tcBorders>
              <w:top w:val="single" w:sz="4" w:color="B8C2CC"/>
              <w:left w:val="single" w:sz="4" w:color="B8C2CC"/>
              <w:bottom w:val="single" w:sz="4" w:color="B8C2CC"/>
              <w:right w:val="single" w:sz="4" w:color="B8C2CC"/>
            </w:tcBorders>
            <w:vAlign w:val="center"/>
          </w:tcPr>
          <w:p>
            <w:pPr>
              <w:jc w:val="center"/>
            </w:pPr>
            <w:r>
              <w:rPr>
                <w:rFonts w:ascii="Liberation Sans" w:hAnsi="Liberation Sans"/>
                <w:sz w:val="16"/>
              </w:rPr>
              <w:t>349.51</w:t>
            </w:r>
          </w:p>
        </w:tc>
      </w:tr>
    </w:tbl>
    <w:p>
      <w:pPr>
        <w:spacing w:after="0"/>
      </w:pPr>
    </w:p>
    <w:p>
      <w:r>
        <w:drawing>
          <wp:inline>
            <wp:extent cx="5806440" cy="2496740"/>
            <wp:docPr id="1" name="Picture 1"/>
            <wp:cNvGraphicFramePr>
              <a:graphicFrameLocks noChangeAspect="1"/>
            </wp:cNvGraphicFramePr>
            <a:graphic>
              <a:graphicData uri="http://schemas.openxmlformats.org/drawingml/2006/picture">
                <pic:pic>
                  <pic:nvPicPr>
                    <pic:cNvPr id="0" name="milestone1_throughput.png"/>
                    <pic:cNvPicPr/>
                  </pic:nvPicPr>
                  <pic:blipFill>
                    <a:blip r:embed="rId6"/>
                    <a:stretch>
                      <a:fillRect/>
                    </a:stretch>
                  </pic:blipFill>
                  <pic:spPr>
                    <a:xfrm>
                      <a:off x="0" y="0"/>
                      <a:ext cx="5806440" cy="2496740"/>
                    </a:xfrm>
                    <a:prstGeom prst="rect"/>
                  </pic:spPr>
                </pic:pic>
              </a:graphicData>
            </a:graphic>
          </wp:inline>
        </w:drawing>
      </w:r>
    </w:p>
    <w:p>
      <w:pPr>
        <w:spacing w:before="40" w:after="160"/>
        <w:jc w:val="center"/>
      </w:pPr>
      <w:r>
        <w:rPr>
          <w:i/>
          <w:color w:val="505A64"/>
          <w:sz w:val="17"/>
        </w:rPr>
        <w:t>Figure 1. Mean sequential useful-data throughput; error bars show one standard deviation across ten trials.</w:t>
      </w:r>
    </w:p>
    <w:p>
      <w:r>
        <w:t>All 180 measured trials pass byte comparison, syndrome, and operation-count validation. Throughput falls as parity work increases because more nonzero matrix coefficients are applied to each stripe. Field width alone does not determine speed because the three scalar field backends use different table organizations. These local values are not directly comparable with the paper's SIMD results on older processors; they are the baseline for this repository.</w:t>
      </w:r>
    </w:p>
    <w:p>
      <w:pPr>
        <w:pStyle w:val="Heading2"/>
      </w:pPr>
      <w:r>
        <w:t>Reproducibility and Scope</w:t>
      </w:r>
    </w:p>
    <w:p>
      <w:pPr>
        <w:ind w:left="288"/>
      </w:pPr>
      <w:r>
        <w:rPr>
          <w:rFonts w:ascii="Liberation Mono" w:hAnsi="Liberation Mono"/>
          <w:b/>
        </w:rPr>
        <w:t>make test</w:t>
      </w:r>
      <w:r>
        <w:t xml:space="preserve"> - Run arithmetic, parser, construction, and GF(2^32) tests.</w:t>
      </w:r>
    </w:p>
    <w:p>
      <w:pPr>
        <w:ind w:left="288"/>
      </w:pPr>
      <w:r>
        <w:rPr>
          <w:rFonts w:ascii="Liberation Mono" w:hAnsi="Liberation Mono"/>
          <w:b/>
        </w:rPr>
        <w:t>make run</w:t>
      </w:r>
      <w:r>
        <w:t xml:space="preserve"> - Reproduce the Figure 2 smoke test.</w:t>
      </w:r>
    </w:p>
    <w:p>
      <w:pPr>
        <w:ind w:left="288"/>
      </w:pPr>
      <w:r>
        <w:rPr>
          <w:rFonts w:ascii="Liberation Mono" w:hAnsi="Liberation Mono"/>
          <w:b/>
        </w:rPr>
        <w:t>make sweep</w:t>
      </w:r>
      <w:r>
        <w:t xml:space="preserve"> - Regenerate full parameter-grid correctness results.</w:t>
      </w:r>
    </w:p>
    <w:p>
      <w:pPr>
        <w:ind w:left="288"/>
      </w:pPr>
      <w:r>
        <w:rPr>
          <w:rFonts w:ascii="Liberation Mono" w:hAnsi="Liberation Mono"/>
          <w:b/>
        </w:rPr>
        <w:t>make benchmark</w:t>
      </w:r>
      <w:r>
        <w:t xml:space="preserve"> - Regenerate the 180 timed baseline trials.</w:t>
      </w:r>
    </w:p>
    <w:p>
      <w:r>
        <w:t>Detailed evidence is retained in sweep_results.csv and benchmark_results.csv. The next milestone should compare an OpenMP PPM implementation against exactly these correctness checks, configurations, data sizes, and throughput definitions.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