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color w:val="17365D"/>
          <w:sz w:val="60"/>
        </w:rPr>
        <w:t>Literature Review and</w:t>
        <w:br/>
        <w:t>Sequential Baseline</w:t>
      </w:r>
    </w:p>
    <w:p>
      <w:pPr>
        <w:spacing w:before="240"/>
        <w:jc w:val="center"/>
      </w:pPr>
      <w:r>
        <w:rPr>
          <w:rFonts w:ascii="Liberation Sans" w:hAnsi="Liberation Sans"/>
          <w:color w:val="1F7A8C"/>
          <w:sz w:val="32"/>
        </w:rPr>
        <w:t>gPPM: Generalized Matrix Operations for</w:t>
        <w:br/>
        <w:t>Erasure-Code Encoding and Decoding</w:t>
      </w:r>
    </w:p>
    <w:p>
      <w:pPr>
        <w:spacing w:before="600"/>
        <w:jc w:val="center"/>
      </w:pPr>
      <w:r>
        <w:rPr>
          <w:rFonts w:ascii="Liberation Sans" w:hAnsi="Liberation Sans"/>
          <w:b/>
          <w:color w:val="E07A3F"/>
          <w:sz w:val="22"/>
        </w:rPr>
        <w:t>PARALLEL COMPUTING PROJECT  |  MILESTONE 1</w:t>
      </w:r>
    </w:p>
    <w:p>
      <w:pPr>
        <w:spacing w:before="1700"/>
        <w:jc w:val="center"/>
      </w:pPr>
      <w:r>
        <w:rPr>
          <w:b/>
        </w:rPr>
        <w:t>Selected paper</w:t>
        <w:br/>
      </w:r>
      <w:r>
        <w:t>S. Li, Q. Cao, S. Wan, W. Xia, and C. Xie</w:t>
        <w:br/>
        <w:t>ACM Transactions on Architecture and Code Optimization, 2023</w:t>
      </w:r>
    </w:p>
    <w:p>
      <w:pPr>
        <w:spacing w:before="600"/>
        <w:jc w:val="center"/>
      </w:pPr>
      <w:r>
        <w:t>Baseline evaluated: 7 September 2026</w:t>
      </w:r>
    </w:p>
    <w:p>
      <w:r>
        <w:br w:type="page"/>
      </w:r>
    </w:p>
    <w:p>
      <w:pPr>
        <w:pStyle w:val="Heading1"/>
      </w:pPr>
      <w:r>
        <w:t>Executive Summary</w:t>
      </w:r>
    </w:p>
    <w:p>
      <w:r>
        <w:t>Erasure codes reduce the storage overhead of replication, but encoding and recovery require large finite-field matrix operations. The selected gPPM paper argues that traditional parity-check decoding overlooks independence among failed blocks and may choose an unnecessarily expensive multiplication order. It introduces PPM to partition and parallelize asymmetric codes, then gPPM to select calculation sequences for both asymmetric and symmetric codes [1].</w:t>
      </w:r>
    </w:p>
    <w:p>
      <w:r>
        <w:t>Milestone 1 establishes the reference point required to evaluate those ideas. A scalar, single-threaded SD encoder/decoder was implemented in C, validated over the complete published parameter grid using one representative fault layout per feasible tuple, and benchmarked on exact 32 MiB codewords. All 7,833 representative recovery layouts and all 180 timed trials pass.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3888"/>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7"/>
              </w:rPr>
              <w:t>Milestone requirement</w:t>
            </w:r>
          </w:p>
        </w:tc>
        <w:tc>
          <w:tcPr>
            <w:tcW w:type="dxa" w:w="5040"/>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7"/>
              </w:rPr>
              <w:t>Evidence in this work</w:t>
            </w:r>
          </w:p>
        </w:tc>
      </w:tr>
      <w:tr>
        <w:trPr>
          <w:cantSplit/>
        </w:trPr>
        <w:tc>
          <w:tcPr>
            <w:tcW w:type="dxa" w:w="388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Problem definition</w:t>
            </w:r>
          </w:p>
        </w:tc>
        <w:tc>
          <w:tcPr>
            <w:tcW w:type="dxa" w:w="5040"/>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Sections 1 and 2</w:t>
            </w:r>
          </w:p>
        </w:tc>
      </w:tr>
      <w:tr>
        <w:trPr>
          <w:cantSplit/>
        </w:trPr>
        <w:tc>
          <w:tcPr>
            <w:tcW w:type="dxa" w:w="388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Literature review with references</w:t>
            </w:r>
          </w:p>
        </w:tc>
        <w:tc>
          <w:tcPr>
            <w:tcW w:type="dxa" w:w="5040"/>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Section 2 and References</w:t>
            </w:r>
          </w:p>
        </w:tc>
      </w:tr>
      <w:tr>
        <w:trPr>
          <w:cantSplit/>
        </w:trPr>
        <w:tc>
          <w:tcPr>
            <w:tcW w:type="dxa" w:w="388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Target problem metrics</w:t>
            </w:r>
          </w:p>
        </w:tc>
        <w:tc>
          <w:tcPr>
            <w:tcW w:type="dxa" w:w="5040"/>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Section 4</w:t>
            </w:r>
          </w:p>
        </w:tc>
      </w:tr>
      <w:tr>
        <w:trPr>
          <w:cantSplit/>
        </w:trPr>
        <w:tc>
          <w:tcPr>
            <w:tcW w:type="dxa" w:w="388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Sequential C reference model</w:t>
            </w:r>
          </w:p>
        </w:tc>
        <w:tc>
          <w:tcPr>
            <w:tcW w:type="dxa" w:w="5040"/>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Section 3 and repository source</w:t>
            </w:r>
          </w:p>
        </w:tc>
      </w:tr>
      <w:tr>
        <w:trPr>
          <w:cantSplit/>
        </w:trPr>
        <w:tc>
          <w:tcPr>
            <w:tcW w:type="dxa" w:w="388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Correctness validation</w:t>
            </w:r>
          </w:p>
        </w:tc>
        <w:tc>
          <w:tcPr>
            <w:tcW w:type="dxa" w:w="5040"/>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Section 5.1; sweep_results.csv</w:t>
            </w:r>
          </w:p>
        </w:tc>
      </w:tr>
      <w:tr>
        <w:trPr>
          <w:cantSplit/>
        </w:trPr>
        <w:tc>
          <w:tcPr>
            <w:tcW w:type="dxa" w:w="388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Baseline performance results</w:t>
            </w:r>
          </w:p>
        </w:tc>
        <w:tc>
          <w:tcPr>
            <w:tcW w:type="dxa" w:w="5040"/>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Section 5.2; benchmark_results.csv</w:t>
            </w:r>
          </w:p>
        </w:tc>
      </w:tr>
    </w:tbl>
    <w:p>
      <w:pPr>
        <w:spacing w:after="0"/>
      </w:pPr>
    </w:p>
    <w:p>
      <w:pPr>
        <w:pStyle w:val="Heading1"/>
      </w:pPr>
      <w:r>
        <w:t>1. Problem Definition</w:t>
      </w:r>
    </w:p>
    <w:p>
      <w:r>
        <w:t>Large storage systems must continue operating when disks, sectors, or nodes become unavailable. Replication is simple but expensive: multiple complete copies consume substantial capacity. Erasure coding instead stores k data units and m parity units so missing data can be reconstructed from the survivors [2]. This reduces redundancy overhead but introduces computation during writes, degraded reads, and repairs.</w:t>
      </w:r>
    </w:p>
    <w:p>
      <w:r>
        <w:t>The computational problem is most visible when parity relationships are represented as a matrix over GF(2^w). Recovery applies many field multiply-and-XOR operations to full sectors. Modern storage devices can make this coding work a bottleneck rather than a negligible background cost [1,9].</w:t>
      </w:r>
    </w:p>
    <w:tbl>
      <w:tblPr>
        <w:tblW w:type="auto" w:w="0"/>
        <w:jc w:val="center"/>
        <w:tblLook w:firstColumn="1" w:firstRow="1" w:lastColumn="0" w:lastRow="0" w:noHBand="0" w:noVBand="1" w:val="04A0"/>
      </w:tblPr>
      <w:tblGrid>
        <w:gridCol w:w="9638"/>
      </w:tblGrid>
      <w:tr>
        <w:tc>
          <w:tcPr>
            <w:tcW w:type="dxa" w:w="9638"/>
            <w:shd w:fill="EAF2F8"/>
            <w:tcBorders>
              <w:top w:val="single" w:sz="8" w:color="1F7A8C"/>
              <w:left w:val="single" w:sz="8" w:color="1F7A8C"/>
              <w:bottom w:val="single" w:sz="8" w:color="1F7A8C"/>
              <w:right w:val="single" w:sz="8" w:color="1F7A8C"/>
            </w:tcBorders>
          </w:tcPr>
          <w:p>
            <w:pPr>
              <w:spacing w:after="60"/>
            </w:pPr>
            <w:r>
              <w:rPr>
                <w:b/>
                <w:color w:val="17365D"/>
              </w:rPr>
              <w:t>Project question</w:t>
              <w:br/>
            </w:r>
            <w:r>
              <w:t>Can the traditional sequential SD-code matrix decoder be reproduced correctly, measured with hardware-independent and wall-clock metrics, and used as a fair reference for later PPM/OpenMP optimization?</w:t>
            </w:r>
          </w:p>
        </w:tc>
      </w:tr>
    </w:tbl>
    <w:p>
      <w:pPr>
        <w:spacing w:after="0"/>
      </w:pPr>
    </w:p>
    <w:p>
      <w:pPr>
        <w:pStyle w:val="Heading1"/>
      </w:pPr>
      <w:r>
        <w:t>2. Literature Review</w:t>
      </w:r>
    </w:p>
    <w:p>
      <w:pPr>
        <w:pStyle w:val="Heading2"/>
      </w:pPr>
      <w:r>
        <w:t>2.1 Erasure-code families</w:t>
      </w:r>
    </w:p>
    <w:p>
      <w:r>
        <w:t>Reed-Solomon (RS) codes are the canonical maximum-distance-separable codes: any k of n encoded symbols are sufficient to reconstruct the original data [2]. Cauchy RS, EVENODD, and RDP offer alternative formulations or efficient RAID-oriented implementations [3-5]. In the terminology used by Li et al., these are symmetric-parity codes because parity blocks have comparable dependency structure [1].</w:t>
      </w:r>
    </w:p>
    <w:p>
      <w:r>
        <w:t>Real systems encounter mixed failures. A complete disk may fail while one or more surviving disks contain latent sector errors. Sector-Disk (SD) codes target exactly this model: m disk failures plus s additional sector failures [6]. Locally repairable codes use local and global parity to reduce degraded-read I/O in cloud storage [7,8]. Their unequal parity dependencies make them asymmetric in the gPPM classification.</w:t>
      </w:r>
    </w:p>
    <w:p>
      <w:pPr>
        <w:pStyle w:val="Heading2"/>
      </w:pPr>
      <w:r>
        <w:t>2.2 Traditional matrix decoding</w:t>
      </w:r>
    </w:p>
    <w:p>
      <w:r>
        <w:t>Parity-check decoding represents a valid stripe B with H x B = 0. Columns for missing blocks form F; columns for surviving blocks form S. Solving the linear system recovers B_F = F^-1 x S x B_S. This formulation is general, but the normal sequence first computes S x B_S and then applies F^-1, treating all missing blocks as one recovery unit [1,6].</w:t>
      </w:r>
    </w:p>
    <w:p>
      <w:pPr>
        <w:pStyle w:val="Heading2"/>
      </w:pPr>
      <w:r>
        <w:t>2.3 Prior acceleration approaches</w:t>
      </w:r>
    </w:p>
    <w:p>
      <w:r>
        <w:t>Finite-field libraries accelerate the inner multiply-XOR primitive using careful tables and SIMD instructions; GF-Complete and Intel ISA-L are prominent examples [9,10]. GPU and multicore work parallelizes coding at block, equation, or stripe granularity [14]. These techniques improve execution of the chosen operation schedule but do not necessarily reduce the number of full-sector operations. APCM transforms RS parity-check matrices to reduce decoding cost, while EC-Wide focuses on topology and wide-stripe placement [12,13].</w:t>
      </w:r>
    </w:p>
    <w:p>
      <w:pPr>
        <w:pStyle w:val="Heading2"/>
      </w:pPr>
      <w:r>
        <w:t>2.4 PPM and gPPM</w:t>
      </w:r>
    </w:p>
    <w:p>
      <w:r>
        <w:t>PPM identifies groups of faulty blocks that can be solved independently. It extracts corresponding sub-matrices, schedules independent groups across threads, and solves the dependent remainder after those groups complete [11]. The 2023 journal paper generalizes the idea: gPPM evaluates both normal and matrix-first sequences per matrix using C = u + c v, where u counts nonzero coefficients and v counts coefficients requiring multiplication [1].</w:t>
      </w:r>
    </w:p>
    <w:p>
      <w:r>
        <w:t>The key distinction is complementary optimization. SIMD makes each field operation faster; PPM exposes concurrency and reduces work through partitioning; gPPM also changes operation order. A trustworthy sequential implementation is therefore necessary before speedup claims can be made.</w:t>
      </w:r>
    </w:p>
    <w:p>
      <w:pPr>
        <w:pStyle w:val="Heading1"/>
      </w:pPr>
      <w:r>
        <w:t>3. Sequential Baseline Design</w:t>
      </w:r>
    </w:p>
    <w:p>
      <w:pPr>
        <w:pStyle w:val="Heading2"/>
      </w:pPr>
      <w:r>
        <w:t>3.1 SD model</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440"/>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7"/>
              </w:rPr>
              <w:t>Symbol</w:t>
            </w:r>
          </w:p>
        </w:tc>
        <w:tc>
          <w:tcPr>
            <w:tcW w:type="dxa" w:w="7488"/>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7"/>
              </w:rPr>
              <w:t>Meaning</w:t>
            </w:r>
          </w:p>
        </w:tc>
      </w:tr>
      <w:tr>
        <w:trPr>
          <w:cantSplit/>
        </w:trPr>
        <w:tc>
          <w:tcPr>
            <w:tcW w:type="dxa" w:w="1440"/>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n</w:t>
            </w:r>
          </w:p>
        </w:tc>
        <w:tc>
          <w:tcPr>
            <w:tcW w:type="dxa" w:w="748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Disks in a stripe</w:t>
            </w:r>
          </w:p>
        </w:tc>
      </w:tr>
      <w:tr>
        <w:trPr>
          <w:cantSplit/>
        </w:trPr>
        <w:tc>
          <w:tcPr>
            <w:tcW w:type="dxa" w:w="1440"/>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r</w:t>
            </w:r>
          </w:p>
        </w:tc>
        <w:tc>
          <w:tcPr>
            <w:tcW w:type="dxa" w:w="748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Sector rows per disk</w:t>
            </w:r>
          </w:p>
        </w:tc>
      </w:tr>
      <w:tr>
        <w:trPr>
          <w:cantSplit/>
        </w:trPr>
        <w:tc>
          <w:tcPr>
            <w:tcW w:type="dxa" w:w="1440"/>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m</w:t>
            </w:r>
          </w:p>
        </w:tc>
        <w:tc>
          <w:tcPr>
            <w:tcW w:type="dxa" w:w="748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Complete disk failures tolerated</w:t>
            </w:r>
          </w:p>
        </w:tc>
      </w:tr>
      <w:tr>
        <w:trPr>
          <w:cantSplit/>
        </w:trPr>
        <w:tc>
          <w:tcPr>
            <w:tcW w:type="dxa" w:w="1440"/>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s</w:t>
            </w:r>
          </w:p>
        </w:tc>
        <w:tc>
          <w:tcPr>
            <w:tcW w:type="dxa" w:w="748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Additional sector failures tolerated</w:t>
            </w:r>
          </w:p>
        </w:tc>
      </w:tr>
      <w:tr>
        <w:trPr>
          <w:cantSplit/>
        </w:trPr>
        <w:tc>
          <w:tcPr>
            <w:tcW w:type="dxa" w:w="1440"/>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z</w:t>
            </w:r>
          </w:p>
        </w:tc>
        <w:tc>
          <w:tcPr>
            <w:tcW w:type="dxa" w:w="748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Rows containing the s additional failures</w:t>
            </w:r>
          </w:p>
        </w:tc>
      </w:tr>
      <w:tr>
        <w:trPr>
          <w:cantSplit/>
        </w:trPr>
        <w:tc>
          <w:tcPr>
            <w:tcW w:type="dxa" w:w="1440"/>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w</w:t>
            </w:r>
          </w:p>
        </w:tc>
        <w:tc>
          <w:tcPr>
            <w:tcW w:type="dxa" w:w="748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Field width in GF(2^w)</w:t>
            </w:r>
          </w:p>
        </w:tc>
      </w:tr>
      <w:tr>
        <w:trPr>
          <w:cantSplit/>
        </w:trPr>
        <w:tc>
          <w:tcPr>
            <w:tcW w:type="dxa" w:w="1440"/>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H</w:t>
            </w:r>
          </w:p>
        </w:tc>
        <w:tc>
          <w:tcPr>
            <w:tcW w:type="dxa" w:w="748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Parity-check matrix, (mr+s) x (nr)</w:t>
            </w:r>
          </w:p>
        </w:tc>
      </w:tr>
      <w:tr>
        <w:trPr>
          <w:cantSplit/>
        </w:trPr>
        <w:tc>
          <w:tcPr>
            <w:tcW w:type="dxa" w:w="1440"/>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u(M)</w:t>
            </w:r>
          </w:p>
        </w:tc>
        <w:tc>
          <w:tcPr>
            <w:tcW w:type="dxa" w:w="748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Number of nonzero coefficients in M</w:t>
            </w:r>
          </w:p>
        </w:tc>
      </w:tr>
    </w:tbl>
    <w:p>
      <w:pPr>
        <w:spacing w:after="0"/>
      </w:pPr>
    </w:p>
    <w:p>
      <w:r>
        <w:t>The first mr rows of H contain row-local disk-parity equations; the final s rows contain dense sector-parity equations spanning the stripe. This sparse/dense asymmetry is the structure later exploited by PPM. The implementation constructs the FAST matrix with published coefficients and global column exponents.</w:t>
      </w:r>
    </w:p>
    <w:p>
      <w:pPr>
        <w:pStyle w:val="Heading2"/>
      </w:pPr>
      <w:r>
        <w:t>3.2 Recovery algorithm</w:t>
      </w:r>
    </w:p>
    <w:p>
      <w:pPr>
        <w:pStyle w:val="ListNumber"/>
      </w:pPr>
      <w:r>
        <w:t>Construct H from the SD parameters and published coefficients.</w:t>
      </w:r>
    </w:p>
    <w:p>
      <w:pPr>
        <w:pStyle w:val="ListNumber"/>
      </w:pPr>
      <w:r>
        <w:t>Extract faulty columns into square matrix F and surviving columns into S.</w:t>
      </w:r>
    </w:p>
    <w:p>
      <w:pPr>
        <w:pStyle w:val="ListNumber"/>
      </w:pPr>
      <w:r>
        <w:t>Invert F by Gauss-Jordan elimination over GF(2^w).</w:t>
      </w:r>
    </w:p>
    <w:p>
      <w:pPr>
        <w:pStyle w:val="ListNumber"/>
      </w:pPr>
      <w:r>
        <w:t>Compute T = S x B_S, then B_F = F^-1 x T.</w:t>
      </w:r>
    </w:p>
    <w:p>
      <w:pPr>
        <w:pStyle w:val="ListNumber"/>
      </w:pPr>
      <w:r>
        <w:t>Write the reconstructed sectors in place and verify H x B = 0.</w:t>
      </w:r>
    </w:p>
    <w:tbl>
      <w:tblPr>
        <w:tblW w:type="auto" w:w="0"/>
        <w:jc w:val="center"/>
        <w:tblLook w:firstColumn="1" w:firstRow="1" w:lastColumn="0" w:lastRow="0" w:noHBand="0" w:noVBand="1" w:val="04A0"/>
      </w:tblPr>
      <w:tblGrid>
        <w:gridCol w:w="9638"/>
      </w:tblGrid>
      <w:tr>
        <w:tc>
          <w:tcPr>
            <w:tcW w:type="dxa" w:w="9638"/>
            <w:shd w:fill="F2F4F5"/>
            <w:tcBorders>
              <w:top w:val="single" w:sz="4" w:color="D5DADE"/>
              <w:left w:val="single" w:sz="4" w:color="D5DADE"/>
              <w:bottom w:val="single" w:sz="4" w:color="D5DADE"/>
              <w:right w:val="single" w:sz="4" w:color="D5DADE"/>
            </w:tcBorders>
          </w:tcPr>
          <w:p>
            <w:pPr>
              <w:spacing w:before="100" w:after="100"/>
              <w:jc w:val="center"/>
            </w:pPr>
            <w:r>
              <w:rPr>
                <w:rFonts w:ascii="Liberation Serif" w:hAnsi="Liberation Serif"/>
                <w:b/>
                <w:sz w:val="22"/>
              </w:rPr>
              <w:t>H x B = 0   =&gt;   F x B_F = S x B_S   =&gt;   B_F = F^-1 x S x B_S</w:t>
            </w:r>
          </w:p>
        </w:tc>
      </w:tr>
    </w:tbl>
    <w:p>
      <w:pPr>
        <w:spacing w:after="0"/>
      </w:pPr>
    </w:p>
    <w:p>
      <w:pPr>
        <w:pStyle w:val="Heading2"/>
      </w:pPr>
      <w:r>
        <w:t>3.3 Software structure</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944"/>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7"/>
              </w:rPr>
              <w:t>Component</w:t>
            </w:r>
          </w:p>
        </w:tc>
        <w:tc>
          <w:tcPr>
            <w:tcW w:type="dxa" w:w="6984"/>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7"/>
              </w:rPr>
              <w:t>Responsibility</w:t>
            </w:r>
          </w:p>
        </w:tc>
      </w:tr>
      <w:tr>
        <w:trPr>
          <w:cantSplit/>
        </w:trPr>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gf.c</w:t>
            </w:r>
          </w:p>
        </w:tc>
        <w:tc>
          <w:tcPr>
            <w:tcW w:type="dxa" w:w="698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GF(2^8/16/32) arithmetic and counted mult_XORs regions</w:t>
            </w:r>
          </w:p>
        </w:tc>
      </w:tr>
      <w:tr>
        <w:trPr>
          <w:cantSplit/>
        </w:trPr>
        <w:tc>
          <w:tcPr>
            <w:tcW w:type="dxa" w:w="194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matrix.c</w:t>
            </w:r>
          </w:p>
        </w:tc>
        <w:tc>
          <w:tcPr>
            <w:tcW w:type="dxa" w:w="698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Dense matrices, nonzero metrics, and inversion</w:t>
            </w:r>
          </w:p>
        </w:tc>
      </w:tr>
      <w:tr>
        <w:trPr>
          <w:cantSplit/>
        </w:trPr>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sd_code.c</w:t>
            </w:r>
          </w:p>
        </w:tc>
        <w:tc>
          <w:tcPr>
            <w:tcW w:type="dxa" w:w="698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FAST parity-check matrix, parity and fault layouts</w:t>
            </w:r>
          </w:p>
        </w:tc>
      </w:tr>
      <w:tr>
        <w:trPr>
          <w:cantSplit/>
        </w:trPr>
        <w:tc>
          <w:tcPr>
            <w:tcW w:type="dxa" w:w="194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codec.c</w:t>
            </w:r>
          </w:p>
        </w:tc>
        <w:tc>
          <w:tcPr>
            <w:tcW w:type="dxa" w:w="698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H split, normal-sequence encoding/recovery, syndrome</w:t>
            </w:r>
          </w:p>
        </w:tc>
      </w:tr>
      <w:tr>
        <w:trPr>
          <w:cantSplit/>
        </w:trPr>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sweep.c</w:t>
            </w:r>
          </w:p>
        </w:tc>
        <w:tc>
          <w:tcPr>
            <w:tcW w:type="dxa" w:w="698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Complete parameter-grid validation</w:t>
            </w:r>
          </w:p>
        </w:tc>
      </w:tr>
      <w:tr>
        <w:trPr>
          <w:cantSplit/>
        </w:trPr>
        <w:tc>
          <w:tcPr>
            <w:tcW w:type="dxa" w:w="194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benchmark.c</w:t>
            </w:r>
          </w:p>
        </w:tc>
        <w:tc>
          <w:tcPr>
            <w:tcW w:type="dxa" w:w="698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32 MiB sequential timing harness</w:t>
            </w:r>
          </w:p>
        </w:tc>
      </w:tr>
    </w:tbl>
    <w:p>
      <w:pPr>
        <w:spacing w:after="0"/>
      </w:pPr>
    </w:p>
    <w:p>
      <w:pPr>
        <w:pStyle w:val="Heading1"/>
      </w:pPr>
      <w:r>
        <w:t>4. Metrics and Methodology</w:t>
      </w:r>
    </w:p>
    <w:p>
      <w:pPr>
        <w:pStyle w:val="Heading2"/>
      </w:pPr>
      <w:r>
        <w:t>4.1 Cost metric</w:t>
      </w:r>
    </w:p>
    <w:p>
      <w:r>
        <w:t>A mult_XORs call multiplies a full source region by one GF coefficient and XORs the result into a destination. The counter is independent of processor frequency and sector size, making it suitable for algorithmic comparisons.</w:t>
      </w:r>
    </w:p>
    <w:tbl>
      <w:tblPr>
        <w:tblW w:type="auto" w:w="0"/>
        <w:jc w:val="center"/>
        <w:tblLook w:firstColumn="1" w:firstRow="1" w:lastColumn="0" w:lastRow="0" w:noHBand="0" w:noVBand="1" w:val="04A0"/>
      </w:tblPr>
      <w:tblGrid>
        <w:gridCol w:w="9638"/>
      </w:tblGrid>
      <w:tr>
        <w:tc>
          <w:tcPr>
            <w:tcW w:type="dxa" w:w="9638"/>
            <w:shd w:fill="F2F4F5"/>
            <w:tcBorders>
              <w:top w:val="single" w:sz="4" w:color="D5DADE"/>
              <w:left w:val="single" w:sz="4" w:color="D5DADE"/>
              <w:bottom w:val="single" w:sz="4" w:color="D5DADE"/>
              <w:right w:val="single" w:sz="4" w:color="D5DADE"/>
            </w:tcBorders>
          </w:tcPr>
          <w:p>
            <w:pPr>
              <w:spacing w:before="100" w:after="100"/>
              <w:jc w:val="center"/>
            </w:pPr>
            <w:r>
              <w:rPr>
                <w:rFonts w:ascii="Liberation Serif" w:hAnsi="Liberation Serif"/>
                <w:b/>
                <w:sz w:val="22"/>
              </w:rPr>
              <w:t>C = u(S) + u(F^-1)</w:t>
            </w:r>
          </w:p>
        </w:tc>
      </w:tr>
    </w:tbl>
    <w:p>
      <w:pPr>
        <w:spacing w:after="0"/>
      </w:pPr>
    </w:p>
    <w:tbl>
      <w:tblPr>
        <w:tblW w:type="auto" w:w="0"/>
        <w:jc w:val="center"/>
        <w:tblLook w:firstColumn="1" w:firstRow="1" w:lastColumn="0" w:lastRow="0" w:noHBand="0" w:noVBand="1" w:val="04A0"/>
      </w:tblPr>
      <w:tblGrid>
        <w:gridCol w:w="9638"/>
      </w:tblGrid>
      <w:tr>
        <w:tc>
          <w:tcPr>
            <w:tcW w:type="dxa" w:w="9638"/>
            <w:shd w:fill="F2F4F5"/>
            <w:tcBorders>
              <w:top w:val="single" w:sz="4" w:color="D5DADE"/>
              <w:left w:val="single" w:sz="4" w:color="D5DADE"/>
              <w:bottom w:val="single" w:sz="4" w:color="D5DADE"/>
              <w:right w:val="single" w:sz="4" w:color="D5DADE"/>
            </w:tcBorders>
          </w:tcPr>
          <w:p>
            <w:pPr>
              <w:spacing w:before="100" w:after="100"/>
              <w:jc w:val="center"/>
            </w:pPr>
            <w:r>
              <w:rPr>
                <w:rFonts w:ascii="Liberation Serif" w:hAnsi="Liberation Serif"/>
                <w:b/>
                <w:sz w:val="22"/>
              </w:rPr>
              <w:t>C1 = nr(m+s) + m(mr+s)(z-1) + m^2(r-z)</w:t>
            </w:r>
          </w:p>
        </w:tc>
      </w:tr>
    </w:tbl>
    <w:p>
      <w:pPr>
        <w:spacing w:after="0"/>
      </w:pPr>
    </w:p>
    <w:p>
      <w:r>
        <w:t>C1 assumes generic nonzero structure in F^-1. Particular valid coefficients can cancel to zero, so measured C may be below C1. The strict invariants used here are C = u(S)+u(F^-1) and C &lt;= C1.</w:t>
      </w:r>
    </w:p>
    <w:p>
      <w:pPr>
        <w:pStyle w:val="Heading2"/>
      </w:pPr>
      <w:r>
        <w:t>4.2 Correctness method</w:t>
      </w:r>
    </w:p>
    <w:p>
      <w:pPr>
        <w:pStyle w:val="ListBullet"/>
      </w:pPr>
      <w:r>
        <w:t>Encode random data and require a zero syndrome H x B.</w:t>
      </w:r>
    </w:p>
    <w:p>
      <w:pPr>
        <w:pStyle w:val="ListBullet"/>
      </w:pPr>
      <w:r>
        <w:t>Save the encoded stripe, erase m disks and s sectors, and recover it.</w:t>
      </w:r>
    </w:p>
    <w:p>
      <w:pPr>
        <w:pStyle w:val="ListBullet"/>
      </w:pPr>
      <w:r>
        <w:t>Require byte-for-byte equality with the saved stripe and a zero final syndrome.</w:t>
      </w:r>
    </w:p>
    <w:p>
      <w:pPr>
        <w:pStyle w:val="ListBullet"/>
      </w:pPr>
      <w:r>
        <w:t>Require a nonsingular F, an exact internal operation count, and no C1 over-count.</w:t>
      </w:r>
    </w:p>
    <w:p>
      <w:pPr>
        <w:pStyle w:val="Heading2"/>
      </w:pPr>
      <w:r>
        <w:t>4.3 Benchmark method</w:t>
      </w:r>
    </w:p>
    <w:p>
      <w:r>
        <w:t>Wall-clock throughput uses CLOCK_MONOTONIC around the complete sequential encode/recover call. The primary numerator is useful non-parity data, matching the upstream SD convention. Full-codeword throughput is also recorded. The benchmark validates each result outside the timed region.</w:t>
      </w:r>
    </w:p>
    <w:p>
      <w:pPr>
        <w:pStyle w:val="Heading1"/>
      </w:pPr>
      <w:r>
        <w:t>5. Results</w:t>
      </w:r>
    </w:p>
    <w:p>
      <w:pPr>
        <w:pStyle w:val="Heading2"/>
      </w:pPr>
      <w:r>
        <w:t>5.1 Correctness and coverage</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6480"/>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7"/>
              </w:rPr>
              <w:t>Measure</w:t>
            </w:r>
          </w:p>
        </w:tc>
        <w:tc>
          <w:tcPr>
            <w:tcW w:type="dxa" w:w="2448"/>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7"/>
              </w:rPr>
              <w:t>Result</w:t>
            </w:r>
          </w:p>
        </w:tc>
      </w:tr>
      <w:tr>
        <w:trPr>
          <w:cantSplit/>
        </w:trPr>
        <w:tc>
          <w:tcPr>
            <w:tcW w:type="dxa" w:w="6480"/>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Figure 2 smoke test</w:t>
            </w:r>
          </w:p>
        </w:tc>
        <w:tc>
          <w:tcPr>
            <w:tcW w:type="dxa" w:w="24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PASS; C=35=C1</w:t>
            </w:r>
          </w:p>
        </w:tc>
      </w:tr>
      <w:tr>
        <w:trPr>
          <w:cantSplit/>
        </w:trPr>
        <w:tc>
          <w:tcPr>
            <w:tcW w:type="dxa" w:w="6480"/>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Published coefficient configurations</w:t>
            </w:r>
          </w:p>
        </w:tc>
        <w:tc>
          <w:tcPr>
            <w:tcW w:type="dxa" w:w="24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3,969</w:t>
            </w:r>
          </w:p>
        </w:tc>
      </w:tr>
      <w:tr>
        <w:trPr>
          <w:cantSplit/>
        </w:trPr>
        <w:tc>
          <w:tcPr>
            <w:tcW w:type="dxa" w:w="6480"/>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Total (configuration, z) points</w:t>
            </w:r>
          </w:p>
        </w:tc>
        <w:tc>
          <w:tcPr>
            <w:tcW w:type="dxa" w:w="24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7,938</w:t>
            </w:r>
          </w:p>
        </w:tc>
      </w:tr>
      <w:tr>
        <w:trPr>
          <w:cantSplit/>
        </w:trPr>
        <w:tc>
          <w:tcPr>
            <w:tcW w:type="dxa" w:w="6480"/>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Geometrically infeasible points</w:t>
            </w:r>
          </w:p>
        </w:tc>
        <w:tc>
          <w:tcPr>
            <w:tcW w:type="dxa" w:w="24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105</w:t>
            </w:r>
          </w:p>
        </w:tc>
      </w:tr>
      <w:tr>
        <w:trPr>
          <w:cantSplit/>
        </w:trPr>
        <w:tc>
          <w:tcPr>
            <w:tcW w:type="dxa" w:w="6480"/>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Representative feasible layouts tested</w:t>
            </w:r>
          </w:p>
        </w:tc>
        <w:tc>
          <w:tcPr>
            <w:tcW w:type="dxa" w:w="24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7,833</w:t>
            </w:r>
          </w:p>
        </w:tc>
      </w:tr>
      <w:tr>
        <w:trPr>
          <w:cantSplit/>
        </w:trPr>
        <w:tc>
          <w:tcPr>
            <w:tcW w:type="dxa" w:w="6480"/>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Round trips passed</w:t>
            </w:r>
          </w:p>
        </w:tc>
        <w:tc>
          <w:tcPr>
            <w:tcW w:type="dxa" w:w="24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7,833 / 7,833</w:t>
            </w:r>
          </w:p>
        </w:tc>
      </w:tr>
      <w:tr>
        <w:trPr>
          <w:cantSplit/>
        </w:trPr>
        <w:tc>
          <w:tcPr>
            <w:tcW w:type="dxa" w:w="6480"/>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Singular matrices / over-counts / count errors</w:t>
            </w:r>
          </w:p>
        </w:tc>
        <w:tc>
          <w:tcPr>
            <w:tcW w:type="dxa" w:w="24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0 / 0 / 0</w:t>
            </w:r>
          </w:p>
        </w:tc>
      </w:tr>
      <w:tr>
        <w:trPr>
          <w:cantSplit/>
        </w:trPr>
        <w:tc>
          <w:tcPr>
            <w:tcW w:type="dxa" w:w="6480"/>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Exact C1 / benign under C1</w:t>
            </w:r>
          </w:p>
        </w:tc>
        <w:tc>
          <w:tcPr>
            <w:tcW w:type="dxa" w:w="24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7,649 / 184</w:t>
            </w:r>
          </w:p>
        </w:tc>
      </w:tr>
    </w:tbl>
    <w:p>
      <w:pPr>
        <w:spacing w:after="0"/>
      </w:pPr>
    </w:p>
    <w:p>
      <w:r>
        <w:t>These results validate the implementation over the complete parameter grid for the selected deterministic layout at each point. They do not constitute exhaustive enumeration of all possible fault placements.</w:t>
      </w:r>
    </w:p>
    <w:p>
      <w:pPr>
        <w:pStyle w:val="Heading2"/>
      </w:pPr>
      <w:r>
        <w:t>5.2 Sequential throughput</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648"/>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6"/>
              </w:rPr>
              <w:t>m</w:t>
            </w:r>
          </w:p>
        </w:tc>
        <w:tc>
          <w:tcPr>
            <w:tcW w:type="dxa" w:w="648"/>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6"/>
              </w:rPr>
              <w:t>s</w:t>
            </w:r>
          </w:p>
        </w:tc>
        <w:tc>
          <w:tcPr>
            <w:tcW w:type="dxa" w:w="1512"/>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6"/>
              </w:rPr>
              <w:t>Field</w:t>
            </w:r>
          </w:p>
        </w:tc>
        <w:tc>
          <w:tcPr>
            <w:tcW w:type="dxa" w:w="1008"/>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6"/>
              </w:rPr>
              <w:t>C</w:t>
            </w:r>
          </w:p>
        </w:tc>
        <w:tc>
          <w:tcPr>
            <w:tcW w:type="dxa" w:w="1944"/>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6"/>
              </w:rPr>
              <w:t>Encode MiB/s</w:t>
            </w:r>
          </w:p>
        </w:tc>
        <w:tc>
          <w:tcPr>
            <w:tcW w:type="dxa" w:w="1944"/>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6"/>
              </w:rPr>
              <w:t>Decode MiB/s</w:t>
            </w:r>
          </w:p>
        </w:tc>
      </w:tr>
      <w:tr>
        <w:trPr>
          <w:cantSplit/>
        </w:trPr>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1</w:t>
            </w:r>
          </w:p>
        </w:tc>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1</w:t>
            </w:r>
          </w:p>
        </w:tc>
        <w:tc>
          <w:tcPr>
            <w:tcW w:type="dxa" w:w="1512"/>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GF(2^8)</w:t>
            </w:r>
          </w:p>
        </w:tc>
        <w:tc>
          <w:tcPr>
            <w:tcW w:type="dxa" w:w="100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527</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852.60</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854.58</w:t>
            </w:r>
          </w:p>
        </w:tc>
      </w:tr>
      <w:tr>
        <w:trPr>
          <w:cantSplit/>
        </w:trPr>
        <w:tc>
          <w:tcPr>
            <w:tcW w:type="dxa" w:w="6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1</w:t>
            </w:r>
          </w:p>
        </w:tc>
        <w:tc>
          <w:tcPr>
            <w:tcW w:type="dxa" w:w="6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2</w:t>
            </w:r>
          </w:p>
        </w:tc>
        <w:tc>
          <w:tcPr>
            <w:tcW w:type="dxa" w:w="1512"/>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GF(2^16)</w:t>
            </w:r>
          </w:p>
        </w:tc>
        <w:tc>
          <w:tcPr>
            <w:tcW w:type="dxa" w:w="100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783</w:t>
            </w:r>
          </w:p>
        </w:tc>
        <w:tc>
          <w:tcPr>
            <w:tcW w:type="dxa" w:w="194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634.68</w:t>
            </w:r>
          </w:p>
        </w:tc>
        <w:tc>
          <w:tcPr>
            <w:tcW w:type="dxa" w:w="194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631.51</w:t>
            </w:r>
          </w:p>
        </w:tc>
      </w:tr>
      <w:tr>
        <w:trPr>
          <w:cantSplit/>
        </w:trPr>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1</w:t>
            </w:r>
          </w:p>
        </w:tc>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3</w:t>
            </w:r>
          </w:p>
        </w:tc>
        <w:tc>
          <w:tcPr>
            <w:tcW w:type="dxa" w:w="1512"/>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GF(2^32)</w:t>
            </w:r>
          </w:p>
        </w:tc>
        <w:tc>
          <w:tcPr>
            <w:tcW w:type="dxa" w:w="100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1039</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673.01</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671.77</w:t>
            </w:r>
          </w:p>
        </w:tc>
      </w:tr>
      <w:tr>
        <w:trPr>
          <w:cantSplit/>
        </w:trPr>
        <w:tc>
          <w:tcPr>
            <w:tcW w:type="dxa" w:w="6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2</w:t>
            </w:r>
          </w:p>
        </w:tc>
        <w:tc>
          <w:tcPr>
            <w:tcW w:type="dxa" w:w="6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1</w:t>
            </w:r>
          </w:p>
        </w:tc>
        <w:tc>
          <w:tcPr>
            <w:tcW w:type="dxa" w:w="1512"/>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GF(2^8)</w:t>
            </w:r>
          </w:p>
        </w:tc>
        <w:tc>
          <w:tcPr>
            <w:tcW w:type="dxa" w:w="100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828</w:t>
            </w:r>
          </w:p>
        </w:tc>
        <w:tc>
          <w:tcPr>
            <w:tcW w:type="dxa" w:w="194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444.98</w:t>
            </w:r>
          </w:p>
        </w:tc>
        <w:tc>
          <w:tcPr>
            <w:tcW w:type="dxa" w:w="194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447.81</w:t>
            </w:r>
          </w:p>
        </w:tc>
      </w:tr>
      <w:tr>
        <w:trPr>
          <w:cantSplit/>
        </w:trPr>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2</w:t>
            </w:r>
          </w:p>
        </w:tc>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2</w:t>
            </w:r>
          </w:p>
        </w:tc>
        <w:tc>
          <w:tcPr>
            <w:tcW w:type="dxa" w:w="1512"/>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GF(2^16)</w:t>
            </w:r>
          </w:p>
        </w:tc>
        <w:tc>
          <w:tcPr>
            <w:tcW w:type="dxa" w:w="100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1084</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399.48</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401.21</w:t>
            </w:r>
          </w:p>
        </w:tc>
      </w:tr>
      <w:tr>
        <w:trPr>
          <w:cantSplit/>
        </w:trPr>
        <w:tc>
          <w:tcPr>
            <w:tcW w:type="dxa" w:w="6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2</w:t>
            </w:r>
          </w:p>
        </w:tc>
        <w:tc>
          <w:tcPr>
            <w:tcW w:type="dxa" w:w="6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3</w:t>
            </w:r>
          </w:p>
        </w:tc>
        <w:tc>
          <w:tcPr>
            <w:tcW w:type="dxa" w:w="1512"/>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GF(2^32)</w:t>
            </w:r>
          </w:p>
        </w:tc>
        <w:tc>
          <w:tcPr>
            <w:tcW w:type="dxa" w:w="100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1340</w:t>
            </w:r>
          </w:p>
        </w:tc>
        <w:tc>
          <w:tcPr>
            <w:tcW w:type="dxa" w:w="194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479.27</w:t>
            </w:r>
          </w:p>
        </w:tc>
        <w:tc>
          <w:tcPr>
            <w:tcW w:type="dxa" w:w="194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476.19</w:t>
            </w:r>
          </w:p>
        </w:tc>
      </w:tr>
      <w:tr>
        <w:trPr>
          <w:cantSplit/>
        </w:trPr>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3</w:t>
            </w:r>
          </w:p>
        </w:tc>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1</w:t>
            </w:r>
          </w:p>
        </w:tc>
        <w:tc>
          <w:tcPr>
            <w:tcW w:type="dxa" w:w="1512"/>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GF(2^8)</w:t>
            </w:r>
          </w:p>
        </w:tc>
        <w:tc>
          <w:tcPr>
            <w:tcW w:type="dxa" w:w="100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1159</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282.56</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275.55</w:t>
            </w:r>
          </w:p>
        </w:tc>
      </w:tr>
      <w:tr>
        <w:trPr>
          <w:cantSplit/>
        </w:trPr>
        <w:tc>
          <w:tcPr>
            <w:tcW w:type="dxa" w:w="6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3</w:t>
            </w:r>
          </w:p>
        </w:tc>
        <w:tc>
          <w:tcPr>
            <w:tcW w:type="dxa" w:w="6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2</w:t>
            </w:r>
          </w:p>
        </w:tc>
        <w:tc>
          <w:tcPr>
            <w:tcW w:type="dxa" w:w="1512"/>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GF(2^16)</w:t>
            </w:r>
          </w:p>
        </w:tc>
        <w:tc>
          <w:tcPr>
            <w:tcW w:type="dxa" w:w="100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1415</w:t>
            </w:r>
          </w:p>
        </w:tc>
        <w:tc>
          <w:tcPr>
            <w:tcW w:type="dxa" w:w="194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276.56</w:t>
            </w:r>
          </w:p>
        </w:tc>
        <w:tc>
          <w:tcPr>
            <w:tcW w:type="dxa" w:w="194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279.68</w:t>
            </w:r>
          </w:p>
        </w:tc>
      </w:tr>
      <w:tr>
        <w:trPr>
          <w:cantSplit/>
        </w:trPr>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3</w:t>
            </w:r>
          </w:p>
        </w:tc>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3</w:t>
            </w:r>
          </w:p>
        </w:tc>
        <w:tc>
          <w:tcPr>
            <w:tcW w:type="dxa" w:w="1512"/>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GF(2^32)</w:t>
            </w:r>
          </w:p>
        </w:tc>
        <w:tc>
          <w:tcPr>
            <w:tcW w:type="dxa" w:w="100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1671</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352.91</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349.51</w:t>
            </w:r>
          </w:p>
        </w:tc>
      </w:tr>
    </w:tbl>
    <w:p>
      <w:pPr>
        <w:spacing w:after="0"/>
      </w:pPr>
    </w:p>
    <w:p>
      <w:r>
        <w:drawing>
          <wp:inline xmlns:a="http://schemas.openxmlformats.org/drawingml/2006/main" xmlns:pic="http://schemas.openxmlformats.org/drawingml/2006/picture">
            <wp:extent cx="5806440" cy="2496740"/>
            <wp:docPr id="1" name="Picture 1"/>
            <wp:cNvGraphicFramePr>
              <a:graphicFrameLocks noChangeAspect="1"/>
            </wp:cNvGraphicFramePr>
            <a:graphic>
              <a:graphicData uri="http://schemas.openxmlformats.org/drawingml/2006/picture">
                <pic:pic>
                  <pic:nvPicPr>
                    <pic:cNvPr id="0" name="milestone1_throughput.png"/>
                    <pic:cNvPicPr/>
                  </pic:nvPicPr>
                  <pic:blipFill>
                    <a:blip r:embed="rId11"/>
                    <a:stretch>
                      <a:fillRect/>
                    </a:stretch>
                  </pic:blipFill>
                  <pic:spPr>
                    <a:xfrm>
                      <a:off x="0" y="0"/>
                      <a:ext cx="5806440" cy="2496740"/>
                    </a:xfrm>
                    <a:prstGeom prst="rect"/>
                  </pic:spPr>
                </pic:pic>
              </a:graphicData>
            </a:graphic>
          </wp:inline>
        </w:drawing>
      </w:r>
    </w:p>
    <w:p>
      <w:pPr>
        <w:spacing w:before="40" w:after="160"/>
        <w:jc w:val="center"/>
      </w:pPr>
      <w:r>
        <w:rPr>
          <w:i/>
          <w:color w:val="505A64"/>
          <w:sz w:val="17"/>
        </w:rPr>
        <w:t>Figure 1. Mean scalar baseline throughput; error bars show one standard deviation across ten trials.</w:t>
      </w:r>
    </w:p>
    <w:p>
      <w:r>
        <w:t>The measured C rises from 527 at (m,s)=(1,1) to 1,671 at (3,3), while decode throughput falls from 854.58 to 349.51 MiB/s. This supports the paper's premise that full-sector operation count is a useful performance indicator. The relationship is not perfectly monotonic because each field width uses a different scalar backend and runtime also includes setup and matrix inversion.</w:t>
      </w:r>
    </w:p>
    <w:p>
      <w:pPr>
        <w:pStyle w:val="Heading1"/>
      </w:pPr>
      <w:r>
        <w:t>6. Discussion and Limitations</w:t>
      </w:r>
    </w:p>
    <w:p>
      <w:pPr>
        <w:pStyle w:val="ListBullet"/>
      </w:pPr>
      <w:r>
        <w:t>Internal validity: byte equality, syndrome, operation count, and independent unit tests all pass.</w:t>
      </w:r>
    </w:p>
    <w:p>
      <w:pPr>
        <w:pStyle w:val="ListBullet"/>
      </w:pPr>
      <w:r>
        <w:t>Coverage: all parameter tuples are tested, but only one deterministic fault placement per feasible tuple.</w:t>
      </w:r>
    </w:p>
    <w:p>
      <w:pPr>
        <w:pStyle w:val="ListBullet"/>
      </w:pPr>
      <w:r>
        <w:t>Performance scope: results come from one modern CPU and one compiler configuration.</w:t>
      </w:r>
    </w:p>
    <w:p>
      <w:pPr>
        <w:pStyle w:val="ListBullet"/>
      </w:pPr>
      <w:r>
        <w:t>Comparison scope: the paper used SIMD and different CPUs, so absolute rates should not be compared directly.</w:t>
      </w:r>
    </w:p>
    <w:p>
      <w:pPr>
        <w:pStyle w:val="ListBullet"/>
      </w:pPr>
      <w:r>
        <w:t>Code scope: the current implementation covers SD only; RS, LRC, PPM, gPPM, and SIMD remain later work.</w:t>
      </w:r>
    </w:p>
    <w:p>
      <w:r>
        <w:t>The baseline is nevertheless appropriate for measuring future speedup because the same executable, datasets, fault layouts, metrics, and validation gates can be retained while only the recovery strategy changes.</w:t>
      </w:r>
    </w:p>
    <w:p>
      <w:pPr>
        <w:pStyle w:val="Heading1"/>
      </w:pPr>
      <w:r>
        <w:t>7. Conclusion and Milestone Status</w:t>
      </w:r>
    </w:p>
    <w:p>
      <w:r>
        <w:t>Milestone 1's technical requirements are satisfied: the target problem and metrics are defined, relevant literature is reviewed, a sequential C reference model is implemented, correctness is demonstrated over the complete SD parameter grid using representative fault layouts, and 32 MiB baseline throughput is recorded. The next milestone can now implement PPM partitioning and OpenMP while using this baseline as the correctness and performance reference.</w:t>
      </w:r>
    </w:p>
    <w:tbl>
      <w:tblPr>
        <w:tblW w:type="auto" w:w="0"/>
        <w:jc w:val="center"/>
        <w:tblLook w:firstColumn="1" w:firstRow="1" w:lastColumn="0" w:lastRow="0" w:noHBand="0" w:noVBand="1" w:val="04A0"/>
      </w:tblPr>
      <w:tblGrid>
        <w:gridCol w:w="9638"/>
      </w:tblGrid>
      <w:tr>
        <w:tc>
          <w:tcPr>
            <w:tcW w:type="dxa" w:w="9638"/>
            <w:shd w:fill="FFF3E8"/>
            <w:tcBorders>
              <w:top w:val="single" w:sz="8" w:color="1F7A8C"/>
              <w:left w:val="single" w:sz="8" w:color="1F7A8C"/>
              <w:bottom w:val="single" w:sz="8" w:color="1F7A8C"/>
              <w:right w:val="single" w:sz="8" w:color="1F7A8C"/>
            </w:tcBorders>
          </w:tcPr>
          <w:p>
            <w:pPr>
              <w:spacing w:after="60"/>
            </w:pPr>
            <w:r>
              <w:rPr>
                <w:b/>
                <w:color w:val="17365D"/>
              </w:rPr>
              <w:t>Milestone 2 handoff</w:t>
              <w:br/>
            </w:r>
            <w:r>
              <w:t>Preserve the existing validation gates, make operation counters thread-safe, partition H into independent sub-matrices, and compare speedup across thread counts.</w:t>
            </w:r>
          </w:p>
        </w:tc>
      </w:tr>
    </w:tbl>
    <w:p>
      <w:pPr>
        <w:spacing w:after="0"/>
      </w:pPr>
    </w:p>
    <w:p>
      <w:pPr>
        <w:pStyle w:val="Heading1"/>
      </w:pPr>
      <w:r>
        <w:t>References</w:t>
      </w:r>
    </w:p>
    <w:p>
      <w:pPr>
        <w:spacing w:after="60"/>
        <w:ind w:left="360" w:hanging="360"/>
      </w:pPr>
      <w:r>
        <w:rPr>
          <w:sz w:val="17"/>
        </w:rPr>
        <w:t>[1] S. Li, Q. Cao, S. Wan, W. Xia, and C. Xie, 'gPPM: A Generalized Matrix Operation and Parallel Algorithm to Accelerate the Encoding/Decoding Process of Erasure Codes,' ACM TACO, vol. 20, no. 4, 2023.</w:t>
      </w:r>
    </w:p>
    <w:p>
      <w:pPr>
        <w:spacing w:after="60"/>
        <w:ind w:left="360" w:hanging="360"/>
      </w:pPr>
      <w:r>
        <w:rPr>
          <w:sz w:val="17"/>
        </w:rPr>
        <w:t>[2] I. Reed and G. Solomon, 'Polynomial Codes over Certain Finite Fields,' Journal of the Society for Industrial and Applied Mathematics, vol. 8, no. 2, 1960.</w:t>
      </w:r>
    </w:p>
    <w:p>
      <w:pPr>
        <w:spacing w:after="60"/>
        <w:ind w:left="360" w:hanging="360"/>
      </w:pPr>
      <w:r>
        <w:rPr>
          <w:sz w:val="17"/>
        </w:rPr>
        <w:t>[3] J. Blomer et al., 'An XOR-Based Erasure-Resilient Coding Scheme,' ICSI Technical Report TR-95-048, 1995.</w:t>
      </w:r>
    </w:p>
    <w:p>
      <w:pPr>
        <w:spacing w:after="60"/>
        <w:ind w:left="360" w:hanging="360"/>
      </w:pPr>
      <w:r>
        <w:rPr>
          <w:sz w:val="17"/>
        </w:rPr>
        <w:t>[4] M. Blaum, J. Brady, J. Bruck, and J. Menon, 'EVENODD: An Efficient Scheme for Tolerating Double Disk Failures in RAID Architectures,' IEEE Transactions on Computers, vol. 44, no. 2, 1995.</w:t>
      </w:r>
    </w:p>
    <w:p>
      <w:pPr>
        <w:spacing w:after="60"/>
        <w:ind w:left="360" w:hanging="360"/>
      </w:pPr>
      <w:r>
        <w:rPr>
          <w:sz w:val="17"/>
        </w:rPr>
        <w:t>[5] P. Corbett et al., 'Row-Diagonal Parity for Double Disk Failure Correction,' FAST, 2004.</w:t>
      </w:r>
    </w:p>
    <w:p>
      <w:pPr>
        <w:spacing w:after="60"/>
        <w:ind w:left="360" w:hanging="360"/>
      </w:pPr>
      <w:r>
        <w:rPr>
          <w:sz w:val="17"/>
        </w:rPr>
        <w:t>[6] J. S. Plank, M. Blaum, and J. L. Hafner, 'SD Codes: Erasure Codes Designed for How Storage Systems Really Fail,' FAST, 2013.</w:t>
      </w:r>
    </w:p>
    <w:p>
      <w:pPr>
        <w:spacing w:after="60"/>
        <w:ind w:left="360" w:hanging="360"/>
      </w:pPr>
      <w:r>
        <w:rPr>
          <w:sz w:val="17"/>
        </w:rPr>
        <w:t>[7] C. Huang et al., 'Erasure Coding in Windows Azure Storage,' USENIX ATC, 2012.</w:t>
      </w:r>
    </w:p>
    <w:p>
      <w:pPr>
        <w:spacing w:after="60"/>
        <w:ind w:left="360" w:hanging="360"/>
      </w:pPr>
      <w:r>
        <w:rPr>
          <w:sz w:val="17"/>
        </w:rPr>
        <w:t>[8] M. Sathiamoorthy et al., 'XORing Elephants: Novel Erasure Codes for Big Data,' Proceedings of the VLDB Endowment, vol. 6, 2013.</w:t>
      </w:r>
    </w:p>
    <w:p>
      <w:pPr>
        <w:spacing w:after="60"/>
        <w:ind w:left="360" w:hanging="360"/>
      </w:pPr>
      <w:r>
        <w:rPr>
          <w:sz w:val="17"/>
        </w:rPr>
        <w:t>[9] J. S. Plank, K. M. Greenan, and E. L. Miller, 'Screaming Fast Galois Field Arithmetic Using Intel SIMD Instructions,' FAST, 2013.</w:t>
      </w:r>
    </w:p>
    <w:p>
      <w:pPr>
        <w:spacing w:after="60"/>
        <w:ind w:left="360" w:hanging="360"/>
      </w:pPr>
      <w:r>
        <w:rPr>
          <w:sz w:val="17"/>
        </w:rPr>
        <w:t>[10] Intel Corporation, 'Intel Intelligent Storage Acceleration Library (ISA-L),' 2023.</w:t>
      </w:r>
    </w:p>
    <w:p>
      <w:pPr>
        <w:spacing w:after="60"/>
        <w:ind w:left="360" w:hanging="360"/>
      </w:pPr>
      <w:r>
        <w:rPr>
          <w:sz w:val="17"/>
        </w:rPr>
        <w:t>[11] S. Li et al., 'PPM: A Partitioned and Parallel Matrix Algorithm to Accelerate Encoding/Decoding Process of Asymmetric Parity Erasure Codes,' ICPP, 2015.</w:t>
      </w:r>
    </w:p>
    <w:p>
      <w:pPr>
        <w:spacing w:after="60"/>
        <w:ind w:left="360" w:hanging="360"/>
      </w:pPr>
      <w:r>
        <w:rPr>
          <w:sz w:val="17"/>
        </w:rPr>
        <w:t>[12] J. Gu et al., 'Optimizing the Parity Check Matrix for Efficient Decoding of RS-Based Cloud Storage Systems,' IPDPS, 2019.</w:t>
      </w:r>
    </w:p>
    <w:p>
      <w:pPr>
        <w:spacing w:after="60"/>
        <w:ind w:left="360" w:hanging="360"/>
      </w:pPr>
      <w:r>
        <w:rPr>
          <w:sz w:val="17"/>
        </w:rPr>
        <w:t>[13] Y. Hu et al., 'Exploiting Combined Locality for Wide-Stripe Erasure Coding in Distributed Storage,' FAST, 2021.</w:t>
      </w:r>
    </w:p>
    <w:p>
      <w:pPr>
        <w:spacing w:after="60"/>
        <w:ind w:left="360" w:hanging="360"/>
      </w:pPr>
      <w:r>
        <w:rPr>
          <w:sz w:val="17"/>
        </w:rPr>
        <w:t>[14] P. Sobe, 'Parallel Reed/Solomon Coding on Multicore Processors,' International Workshop on Storage Network Architecture and Parallel I/Os, 2010.</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A6978"/>
        <w:sz w:val="16"/>
      </w:rPr>
      <w:t>PARALLEL COMPUTING  |  MILESTONE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ans" w:hAnsi="Liberation San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1F7A8C"/>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E07A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Liberation Sans" w:hAnsi="Liberation Sans"/>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