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60" w:lineRule="auto"/>
        <w:jc w:val="center"/>
      </w:pPr>
      <w:r>
        <w:rPr>
          <w:rFonts w:ascii="Calibri" w:cs="Calibri" w:eastAsia="Calibri" w:hAnsi="Calibri"/>
          <w:sz w:val="44"/>
          <w:szCs w:val="44"/>
        </w:rPr>
        <w:t xml:space="preserve">gPPM Milestone 3: Cost-Selected Decoding, SIMD, and Parallel Remainder</w:t>
      </w:r>
    </w:p>
    <w:p>
      <w:pPr>
        <w:spacing w:after="0"/>
        <w:jc w:val="center"/>
      </w:pPr>
      <w:r>
        <w:rPr>
          <w:rFonts w:ascii="Calibri" w:cs="Calibri" w:eastAsia="Calibri" w:hAnsi="Calibri"/>
          <w:sz w:val="24"/>
          <w:szCs w:val="24"/>
        </w:rPr>
        <w:t xml:space="preserve">[Author Name(s)]</w:t>
      </w:r>
    </w:p>
    <w:p>
      <w:pPr>
        <w:spacing w:after="200"/>
        <w:jc w:val="center"/>
      </w:pPr>
      <w:r>
        <w:rPr>
          <w:rFonts w:ascii="Calibri" w:cs="Calibri" w:eastAsia="Calibri" w:hAnsi="Calibri"/>
          <w:i/>
          <w:iCs/>
          <w:sz w:val="21"/>
          <w:szCs w:val="21"/>
        </w:rPr>
        <w:t xml:space="preserve">[Department, Institution, City, Country]</w:t>
      </w:r>
    </w:p>
    <w:p>
      <w:pPr>
        <w:sectPr>
          <w:pgSz w:w="12240" w:h="15840" w:orient="portrait"/>
          <w:pgMar w:top="1080" w:right="900" w:bottom="1440" w:left="900" w:header="708" w:footer="708" w:gutter="0"/>
          <w:pgNumType/>
          <w:docGrid w:linePitch="360"/>
        </w:sectPr>
      </w:pPr>
    </w:p>
    <w:p>
      <w:pPr>
        <w:spacing w:after="100" w:line="240"/>
        <w:jc w:val="both"/>
      </w:pPr>
      <w:r>
        <w:rPr>
          <w:rFonts w:ascii="Calibri" w:cs="Calibri" w:eastAsia="Calibri" w:hAnsi="Calibri"/>
          <w:b/>
          <w:bCs/>
          <w:i/>
          <w:iCs/>
          <w:sz w:val="21"/>
          <w:szCs w:val="21"/>
        </w:rPr>
        <w:t xml:space="preserve">Abstract—</w:t>
      </w:r>
      <w:r>
        <w:rPr>
          <w:rFonts w:ascii="Calibri" w:cs="Calibri" w:eastAsia="Calibri" w:hAnsi="Calibri"/>
          <w:b/>
          <w:bCs/>
          <w:sz w:val="21"/>
          <w:szCs w:val="21"/>
        </w:rPr>
        <w:t xml:space="preserve">Sector-disk (SD) erasure codes are decoded with a serial parity-check-matrix method that treats all lost blocks as one large system. This report covers the third milestone of our gPPM implementation for SD codes, which adds a cost model that selects between whole-matrix normal, whole-matrix matrix-first, and partitioned PPM decoding, SSSE3 and AVX2 region arithmetic for GF(2^8), GF(2^16), and GF(2^32), and byte-range parallelism in the dependent remainder. On a 32 MiB stripe at T=8 on an Intel Core Ultra 9 185H, cost-selected PPM gives 1.09×–2.24× over the scalar normal baseline, SIMD raises this to 1.52×–23.94×, and the parallel remainder reaches 1.76×–43.91×. All 7,833 feasible published SD points and all benchmark trials pass validation.</w:t>
      </w:r>
    </w:p>
    <w:p>
      <w:pPr>
        <w:spacing w:after="100" w:line="240"/>
        <w:jc w:val="both"/>
      </w:pPr>
      <w:r>
        <w:rPr>
          <w:rFonts w:ascii="Calibri" w:cs="Calibri" w:eastAsia="Calibri" w:hAnsi="Calibri"/>
          <w:b/>
          <w:bCs/>
          <w:i/>
          <w:iCs/>
          <w:sz w:val="21"/>
          <w:szCs w:val="21"/>
        </w:rPr>
        <w:t xml:space="preserve">Index Terms—</w:t>
      </w:r>
      <w:r>
        <w:rPr>
          <w:rFonts w:ascii="Calibri" w:cs="Calibri" w:eastAsia="Calibri" w:hAnsi="Calibri"/>
          <w:b/>
          <w:bCs/>
          <w:sz w:val="21"/>
          <w:szCs w:val="21"/>
        </w:rPr>
        <w:t xml:space="preserve">erasure codes, SD codes, gPPM, SIMD, OpenMP, parallel decoding, Galois field arithmetic</w:t>
      </w:r>
    </w:p>
    <w:p>
      <w:pPr>
        <w:keepNext/>
        <w:keepLines/>
        <w:spacing w:after="80" w:before="200"/>
        <w:jc w:val="center"/>
      </w:pPr>
      <w:r>
        <w:rPr>
          <w:rFonts w:ascii="Calibri" w:cs="Calibri" w:eastAsia="Calibri" w:hAnsi="Calibri"/>
          <w:smallCaps/>
          <w:sz w:val="22"/>
          <w:szCs w:val="22"/>
        </w:rPr>
        <w:t xml:space="preserve">I. Overview</w:t>
      </w:r>
    </w:p>
    <w:p>
      <w:pPr>
        <w:spacing w:after="0" w:line="240" w:lineRule="auto"/>
        <w:ind w:firstLine="288"/>
        <w:jc w:val="both"/>
      </w:pPr>
      <w:r>
        <w:rPr>
          <w:rFonts w:ascii="Calibri" w:cs="Calibri" w:eastAsia="Calibri" w:hAnsi="Calibri"/>
          <w:sz w:val="22"/>
          <w:szCs w:val="22"/>
        </w:rPr>
        <w:t xml:space="preserve">At T=8, Milestone 3 speeds up 32 MiB SD-code decoding by 1.76×–43.91× over the scalar normal baseline. The gain comes from three changes layered on top of the earlier milestones: cost-selected PPM, SIMD region arithmetic, and a parallel remainder. The work follows the gPPM algorithm [1], which extends the earlier PPM algorithm [2] for the SD codes of [3].</w:t>
      </w:r>
    </w:p>
    <w:p>
      <w:pPr>
        <w:spacing w:after="0" w:line="240" w:lineRule="auto"/>
        <w:ind w:firstLine="288"/>
        <w:jc w:val="both"/>
      </w:pPr>
      <w:r>
        <w:rPr>
          <w:rFonts w:ascii="Calibri" w:cs="Calibri" w:eastAsia="Calibri" w:hAnsi="Calibri"/>
          <w:sz w:val="22"/>
          <w:szCs w:val="22"/>
        </w:rPr>
        <w:t xml:space="preserve">Milestone 1 supplied the sequential baseline, which is scalar, single-threaded, and limited to the normal calculation sequence. Milestone 2 added PPM, which decodes independent failure groups in parallel with a fixed matrix-first sequence and then decodes the dependent remainder serially with the normal sequence. Milestone 3 adds:</w:t>
      </w:r>
    </w:p>
    <w:p>
      <w:pPr>
        <w:pStyle w:val="ListParagraph"/>
        <w:numPr>
          <w:ilvl w:val="0"/>
          <w:numId w:val="2"/>
        </w:numPr>
        <w:spacing w:after="20" w:line="240"/>
        <w:jc w:val="both"/>
      </w:pPr>
      <w:r>
        <w:rPr>
          <w:rFonts w:ascii="Calibri" w:cs="Calibri" w:eastAsia="Calibri" w:hAnsi="Calibri"/>
          <w:b/>
          <w:bCs/>
          <w:sz w:val="22"/>
          <w:szCs w:val="22"/>
        </w:rPr>
        <w:t xml:space="preserve">gPPM selection</w:t>
      </w:r>
      <w:r>
        <w:rPr>
          <w:rFonts w:ascii="Calibri" w:cs="Calibri" w:eastAsia="Calibri" w:hAnsi="Calibri"/>
          <w:sz w:val="22"/>
          <w:szCs w:val="22"/>
        </w:rPr>
        <w:t xml:space="preserve"> — a cost model, C = u + c·v, compares whole-matrix normal, whole-matrix matrix-first, and partitioned PPM for each recovery.</w:t>
      </w:r>
    </w:p>
    <w:p>
      <w:pPr>
        <w:pStyle w:val="ListParagraph"/>
        <w:numPr>
          <w:ilvl w:val="0"/>
          <w:numId w:val="2"/>
        </w:numPr>
        <w:spacing w:after="20" w:line="240"/>
        <w:jc w:val="both"/>
      </w:pPr>
      <w:r>
        <w:rPr>
          <w:rFonts w:ascii="Calibri" w:cs="Calibri" w:eastAsia="Calibri" w:hAnsi="Calibri"/>
          <w:b/>
          <w:bCs/>
          <w:sz w:val="22"/>
          <w:szCs w:val="22"/>
        </w:rPr>
        <w:t xml:space="preserve">SIMD</w:t>
      </w:r>
      <w:r>
        <w:rPr>
          <w:rFonts w:ascii="Calibri" w:cs="Calibri" w:eastAsia="Calibri" w:hAnsi="Calibri"/>
          <w:sz w:val="22"/>
          <w:szCs w:val="22"/>
        </w:rPr>
        <w:t xml:space="preserve"> — SSSE3 and AVX2 region paths for GF(2^8), GF(2^16), and GF(2^32), with a scalar fallback and verified results.</w:t>
      </w:r>
    </w:p>
    <w:p>
      <w:pPr>
        <w:pStyle w:val="ListParagraph"/>
        <w:numPr>
          <w:ilvl w:val="0"/>
          <w:numId w:val="2"/>
        </w:numPr>
        <w:spacing w:after="20" w:line="240"/>
        <w:jc w:val="both"/>
      </w:pPr>
      <w:r>
        <w:rPr>
          <w:rFonts w:ascii="Calibri" w:cs="Calibri" w:eastAsia="Calibri" w:hAnsi="Calibri"/>
          <w:b/>
          <w:bCs/>
          <w:sz w:val="22"/>
          <w:szCs w:val="22"/>
        </w:rPr>
        <w:t xml:space="preserve">Parallel remainder</w:t>
      </w:r>
      <w:r>
        <w:rPr>
          <w:rFonts w:ascii="Calibri" w:cs="Calibri" w:eastAsia="Calibri" w:hAnsi="Calibri"/>
          <w:sz w:val="22"/>
          <w:szCs w:val="22"/>
        </w:rPr>
        <w:t xml:space="preserve"> — the dependent remainder is split by byte range across OpenMP workers.</w:t>
      </w:r>
    </w:p>
    <w:p>
      <w:pPr>
        <w:keepNext/>
        <w:keepLines/>
        <w:spacing w:after="80" w:before="200"/>
        <w:jc w:val="center"/>
      </w:pPr>
      <w:r>
        <w:rPr>
          <w:rFonts w:ascii="Calibri" w:cs="Calibri" w:eastAsia="Calibri" w:hAnsi="Calibri"/>
          <w:smallCaps/>
          <w:sz w:val="22"/>
          <w:szCs w:val="22"/>
        </w:rPr>
        <w:t xml:space="preserve">II. Implementation Scope</w:t>
      </w:r>
    </w:p>
    <w:p>
      <w:pPr>
        <w:spacing w:after="0" w:line="240" w:lineRule="auto"/>
        <w:ind w:firstLine="288"/>
        <w:jc w:val="both"/>
      </w:pPr>
      <w:r>
        <w:rPr>
          <w:rFonts w:ascii="Calibri" w:cs="Calibri" w:eastAsia="Calibri" w:hAnsi="Calibri"/>
          <w:sz w:val="22"/>
          <w:szCs w:val="22"/>
        </w:rPr>
        <w:t xml:space="preserve">Milestone 2 provided two relevant paths: the sequential whole-matrix normal decoder, and fixed PPM. It did not select between whole-matrix decoding and PPM based on estimated cost, and its region arithmetic was scalar.</w:t>
      </w:r>
    </w:p>
    <w:p>
      <w:pPr>
        <w:spacing w:after="0" w:line="240" w:lineRule="auto"/>
        <w:ind w:firstLine="288"/>
        <w:jc w:val="both"/>
      </w:pPr>
      <w:r>
        <w:rPr>
          <w:rFonts w:ascii="Calibri" w:cs="Calibri" w:eastAsia="Calibri" w:hAnsi="Calibri"/>
          <w:sz w:val="22"/>
          <w:szCs w:val="22"/>
        </w:rPr>
        <w:t xml:space="preserve">The evaluation is organized as an optimization ladder (Table I), in which each layer adds one change to the layer before it.</w:t>
      </w:r>
    </w:p>
    <w:p>
      <w:pPr>
        <w:keepNext/>
        <w:spacing w:after="0" w:before="100"/>
        <w:jc w:val="center"/>
      </w:pPr>
      <w:r>
        <w:rPr>
          <w:rFonts w:ascii="Calibri" w:cs="Calibri" w:eastAsia="Calibri" w:hAnsi="Calibri"/>
          <w:smallCaps/>
          <w:sz w:val="20"/>
          <w:szCs w:val="20"/>
        </w:rPr>
        <w:t xml:space="preserve">Table I</w:t>
      </w:r>
    </w:p>
    <w:p>
      <w:pPr>
        <w:keepNext/>
        <w:spacing w:after="50"/>
        <w:jc w:val="center"/>
      </w:pPr>
      <w:r>
        <w:rPr>
          <w:rFonts w:ascii="Calibri" w:cs="Calibri" w:eastAsia="Calibri" w:hAnsi="Calibri"/>
          <w:smallCaps/>
          <w:sz w:val="20"/>
          <w:szCs w:val="20"/>
        </w:rPr>
        <w:t xml:space="preserve">Optimization Ladder</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640"/>
        <w:gridCol w:w="2250"/>
        <w:gridCol w:w="2150"/>
      </w:tblGrid>
      <w:tr>
        <w:trPr>
          <w:cantSplit/>
          <w:tblHeader/>
        </w:trPr>
        <w:tc>
          <w:tcPr>
            <w:tcW w:type="dxa" w:w="640"/>
            <w:tcBorders>
              <w:top w:val="single" w:color="000000" w:sz="8"/>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Calibri" w:cs="Calibri" w:eastAsia="Calibri" w:hAnsi="Calibri"/>
                <w:b/>
                <w:bCs/>
                <w:sz w:val="20"/>
                <w:szCs w:val="20"/>
              </w:rPr>
              <w:t xml:space="preserve">Layer</w:t>
            </w:r>
          </w:p>
        </w:tc>
        <w:tc>
          <w:tcPr>
            <w:tcW w:type="dxa" w:w="2250"/>
            <w:tcBorders>
              <w:top w:val="single" w:color="000000" w:sz="8"/>
              <w:left w:val="none" w:color="FFFFFF" w:sz="0"/>
              <w:bottom w:val="single" w:color="000000" w:sz="4"/>
              <w:right w:val="none" w:color="FFFFFF" w:sz="0"/>
            </w:tcBorders>
            <w:tcMar>
              <w:top w:type="dxa" w:w="20"/>
              <w:left w:type="dxa" w:w="40"/>
              <w:bottom w:type="dxa" w:w="20"/>
              <w:right w:type="dxa" w:w="40"/>
            </w:tcMar>
            <w:vAlign w:val="center"/>
          </w:tcPr>
          <w:p>
            <w:pPr>
              <w:jc w:val="left"/>
            </w:pPr>
            <w:r>
              <w:rPr>
                <w:rFonts w:ascii="Calibri" w:cs="Calibri" w:eastAsia="Calibri" w:hAnsi="Calibri"/>
                <w:b/>
                <w:bCs/>
                <w:sz w:val="20"/>
                <w:szCs w:val="20"/>
              </w:rPr>
              <w:t xml:space="preserve">Implementation</w:t>
            </w:r>
          </w:p>
        </w:tc>
        <w:tc>
          <w:tcPr>
            <w:tcW w:type="dxa" w:w="2150"/>
            <w:tcBorders>
              <w:top w:val="single" w:color="000000" w:sz="8"/>
              <w:left w:val="none" w:color="FFFFFF" w:sz="0"/>
              <w:bottom w:val="single" w:color="000000" w:sz="4"/>
              <w:right w:val="none" w:color="FFFFFF" w:sz="0"/>
            </w:tcBorders>
            <w:tcMar>
              <w:top w:type="dxa" w:w="20"/>
              <w:left w:type="dxa" w:w="40"/>
              <w:bottom w:type="dxa" w:w="20"/>
              <w:right w:type="dxa" w:w="40"/>
            </w:tcMar>
            <w:vAlign w:val="center"/>
          </w:tcPr>
          <w:p>
            <w:pPr>
              <w:jc w:val="left"/>
            </w:pPr>
            <w:r>
              <w:rPr>
                <w:rFonts w:ascii="Calibri" w:cs="Calibri" w:eastAsia="Calibri" w:hAnsi="Calibri"/>
                <w:b/>
                <w:bCs/>
                <w:sz w:val="20"/>
                <w:szCs w:val="20"/>
              </w:rPr>
              <w:t xml:space="preserve">What it adds</w:t>
            </w:r>
          </w:p>
        </w:tc>
      </w:tr>
      <w:tr>
        <w:trPr>
          <w:cantSplit/>
        </w:trPr>
        <w:tc>
          <w:tcPr>
            <w:tcW w:type="dxa" w:w="6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L0</w:t>
            </w:r>
          </w:p>
        </w:tc>
        <w:tc>
          <w:tcPr>
            <w:tcW w:type="dxa" w:w="2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left"/>
            </w:pPr>
            <w:r>
              <w:rPr>
                <w:rFonts w:ascii="Calibri" w:cs="Calibri" w:eastAsia="Calibri" w:hAnsi="Calibri"/>
                <w:b w:val="false"/>
                <w:bCs w:val="false"/>
                <w:sz w:val="20"/>
                <w:szCs w:val="20"/>
              </w:rPr>
              <w:t xml:space="preserve">Scalar whole-matrix normal</w:t>
            </w:r>
          </w:p>
        </w:tc>
        <w:tc>
          <w:tcPr>
            <w:tcW w:type="dxa" w:w="21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left"/>
            </w:pPr>
            <w:r>
              <w:rPr>
                <w:rFonts w:ascii="Calibri" w:cs="Calibri" w:eastAsia="Calibri" w:hAnsi="Calibri"/>
                <w:b w:val="false"/>
                <w:bCs w:val="false"/>
                <w:sz w:val="20"/>
                <w:szCs w:val="20"/>
              </w:rPr>
              <w:t xml:space="preserve">Reference baseline</w:t>
            </w:r>
          </w:p>
        </w:tc>
      </w:tr>
      <w:tr>
        <w:trPr>
          <w:cantSplit/>
        </w:trPr>
        <w:tc>
          <w:tcPr>
            <w:tcW w:type="dxa" w:w="6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L1</w:t>
            </w:r>
          </w:p>
        </w:tc>
        <w:tc>
          <w:tcPr>
            <w:tcW w:type="dxa" w:w="2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left"/>
            </w:pPr>
            <w:r>
              <w:rPr>
                <w:rFonts w:ascii="Calibri" w:cs="Calibri" w:eastAsia="Calibri" w:hAnsi="Calibri"/>
                <w:b w:val="false"/>
                <w:bCs w:val="false"/>
                <w:sz w:val="20"/>
                <w:szCs w:val="20"/>
              </w:rPr>
              <w:t xml:space="preserve">Scalar cost-selected gPPM, serial remainder</w:t>
            </w:r>
          </w:p>
        </w:tc>
        <w:tc>
          <w:tcPr>
            <w:tcW w:type="dxa" w:w="21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left"/>
            </w:pPr>
            <w:r>
              <w:rPr>
                <w:rFonts w:ascii="Calibri" w:cs="Calibri" w:eastAsia="Calibri" w:hAnsi="Calibri"/>
                <w:b w:val="false"/>
                <w:bCs w:val="false"/>
                <w:sz w:val="20"/>
                <w:szCs w:val="20"/>
              </w:rPr>
              <w:t xml:space="preserve">Cost selection and PPM independent-group parallelism</w:t>
            </w:r>
          </w:p>
        </w:tc>
      </w:tr>
      <w:tr>
        <w:trPr>
          <w:cantSplit/>
        </w:trPr>
        <w:tc>
          <w:tcPr>
            <w:tcW w:type="dxa" w:w="6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L2</w:t>
            </w:r>
          </w:p>
        </w:tc>
        <w:tc>
          <w:tcPr>
            <w:tcW w:type="dxa" w:w="22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left"/>
            </w:pPr>
            <w:r>
              <w:rPr>
                <w:rFonts w:ascii="Calibri" w:cs="Calibri" w:eastAsia="Calibri" w:hAnsi="Calibri"/>
                <w:b w:val="false"/>
                <w:bCs w:val="false"/>
                <w:sz w:val="20"/>
                <w:szCs w:val="20"/>
              </w:rPr>
              <w:t xml:space="preserve">SIMD cost-selected gPPM, serial remainder</w:t>
            </w:r>
          </w:p>
        </w:tc>
        <w:tc>
          <w:tcPr>
            <w:tcW w:type="dxa" w:w="215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left"/>
            </w:pPr>
            <w:r>
              <w:rPr>
                <w:rFonts w:ascii="Calibri" w:cs="Calibri" w:eastAsia="Calibri" w:hAnsi="Calibri"/>
                <w:b w:val="false"/>
                <w:bCs w:val="false"/>
                <w:sz w:val="20"/>
                <w:szCs w:val="20"/>
              </w:rPr>
              <w:t xml:space="preserve">SIMD arithmetic on top of L1</w:t>
            </w:r>
          </w:p>
        </w:tc>
      </w:tr>
      <w:tr>
        <w:trPr>
          <w:cantSplit/>
        </w:trPr>
        <w:tc>
          <w:tcPr>
            <w:tcW w:type="dxa" w:w="640"/>
            <w:tcBorders>
              <w:top w:val="none" w:color="FFFFFF" w:sz="0"/>
              <w:left w:val="none" w:color="FFFFFF" w:sz="0"/>
              <w:bottom w:val="single" w:color="000000" w:sz="8"/>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L3</w:t>
            </w:r>
          </w:p>
        </w:tc>
        <w:tc>
          <w:tcPr>
            <w:tcW w:type="dxa" w:w="2250"/>
            <w:tcBorders>
              <w:top w:val="none" w:color="FFFFFF" w:sz="0"/>
              <w:left w:val="none" w:color="FFFFFF" w:sz="0"/>
              <w:bottom w:val="single" w:color="000000" w:sz="8"/>
              <w:right w:val="none" w:color="FFFFFF" w:sz="0"/>
            </w:tcBorders>
            <w:tcMar>
              <w:top w:type="dxa" w:w="20"/>
              <w:left w:type="dxa" w:w="40"/>
              <w:bottom w:type="dxa" w:w="20"/>
              <w:right w:type="dxa" w:w="40"/>
            </w:tcMar>
            <w:vAlign w:val="center"/>
          </w:tcPr>
          <w:p>
            <w:pPr>
              <w:jc w:val="left"/>
            </w:pPr>
            <w:r>
              <w:rPr>
                <w:rFonts w:ascii="Calibri" w:cs="Calibri" w:eastAsia="Calibri" w:hAnsi="Calibri"/>
                <w:b w:val="false"/>
                <w:bCs w:val="false"/>
                <w:sz w:val="20"/>
                <w:szCs w:val="20"/>
              </w:rPr>
              <w:t xml:space="preserve">SIMD cost-selected gPPM, parallel remainder</w:t>
            </w:r>
          </w:p>
        </w:tc>
        <w:tc>
          <w:tcPr>
            <w:tcW w:type="dxa" w:w="2150"/>
            <w:tcBorders>
              <w:top w:val="none" w:color="FFFFFF" w:sz="0"/>
              <w:left w:val="none" w:color="FFFFFF" w:sz="0"/>
              <w:bottom w:val="single" w:color="000000" w:sz="8"/>
              <w:right w:val="none" w:color="FFFFFF" w:sz="0"/>
            </w:tcBorders>
            <w:tcMar>
              <w:top w:type="dxa" w:w="20"/>
              <w:left w:type="dxa" w:w="40"/>
              <w:bottom w:type="dxa" w:w="20"/>
              <w:right w:type="dxa" w:w="40"/>
            </w:tcMar>
            <w:vAlign w:val="center"/>
          </w:tcPr>
          <w:p>
            <w:pPr>
              <w:jc w:val="left"/>
            </w:pPr>
            <w:r>
              <w:rPr>
                <w:rFonts w:ascii="Calibri" w:cs="Calibri" w:eastAsia="Calibri" w:hAnsi="Calibri"/>
                <w:b w:val="false"/>
                <w:bCs w:val="false"/>
                <w:sz w:val="20"/>
                <w:szCs w:val="20"/>
              </w:rPr>
              <w:t xml:space="preserve">Byte-range parallelism on top of L2</w:t>
            </w:r>
          </w:p>
        </w:tc>
      </w:tr>
    </w:tbl>
    <w:p>
      <w:pPr>
        <w:spacing w:after="60"/>
      </w:pPr>
    </w:p>
    <w:p>
      <w:pPr>
        <w:spacing w:after="0" w:line="240" w:lineRule="auto"/>
        <w:ind w:firstLine="288"/>
        <w:jc w:val="both"/>
      </w:pPr>
      <w:r>
        <w:rPr>
          <w:rFonts w:ascii="Calibri" w:cs="Calibri" w:eastAsia="Calibri" w:hAnsi="Calibri"/>
          <w:sz w:val="22"/>
          <w:szCs w:val="22"/>
        </w:rPr>
        <w:t xml:space="preserve">For each layer, cumulative speedup is L0 time divided by the layer’s time, and incremental gain is the previous layer’s time divided by the current layer’s time. The comparison is reported at T=4 and T=8.</w:t>
      </w:r>
    </w:p>
    <w:p>
      <w:pPr>
        <w:spacing w:after="0" w:line="240" w:lineRule="auto"/>
        <w:ind w:firstLine="288"/>
        <w:jc w:val="both"/>
      </w:pPr>
      <w:r>
        <w:rPr>
          <w:rFonts w:ascii="Calibri" w:cs="Calibri" w:eastAsia="Calibri" w:hAnsi="Calibri"/>
          <w:sz w:val="22"/>
          <w:szCs w:val="22"/>
        </w:rPr>
        <w:t xml:space="preserve">To measure the final decoder-level SIMD gain, the same Milestone 3 source and gPPM selection are benchmarked twice. The scalar build is compiled with M3_DISABLE_SIMD, so all region operations use the scalar region routine. The SIMD build dispatches region operations to SSSE3 or AVX2 when supported and otherwise falls back to scalar. The scalar run uses T=4/8 independent groups and a serial remainder. The SIMD run measures both serial and parallel remainder variants at T=4/8 in the same process, so L2 and L3 share the same SIMD cost calibration. The scalar-versus-SIMD comparison is therefore an end-to-end decoder comparison, not an isolated arithmetic-loop comparison.</w:t>
      </w:r>
    </w:p>
    <w:p>
      <w:pPr>
        <w:keepNext/>
        <w:keepLines/>
        <w:spacing w:after="80" w:before="200"/>
        <w:jc w:val="center"/>
      </w:pPr>
      <w:r>
        <w:rPr>
          <w:rFonts w:ascii="Calibri" w:cs="Calibri" w:eastAsia="Calibri" w:hAnsi="Calibri"/>
          <w:smallCaps/>
          <w:sz w:val="22"/>
          <w:szCs w:val="22"/>
        </w:rPr>
        <w:t xml:space="preserve">III. Cost Model and Sequence Selector</w:t>
      </w:r>
    </w:p>
    <w:p>
      <w:pPr>
        <w:spacing w:after="0" w:line="240" w:lineRule="auto"/>
        <w:ind w:firstLine="288"/>
        <w:jc w:val="both"/>
      </w:pPr>
      <w:r>
        <w:rPr>
          <w:rFonts w:ascii="Calibri" w:cs="Calibri" w:eastAsia="Calibri" w:hAnsi="Calibri"/>
          <w:sz w:val="22"/>
          <w:szCs w:val="22"/>
        </w:rPr>
        <w:t xml:space="preserve">The cost model compares three candidates for each recovery. u(M) counts nonzero coefficients and v(M) counts coefficients greater than one. Thus u models the region operations, and c·v weights the additional field-multiplication work. The whole-matrix normal candidate costs</w:t>
      </w:r>
    </w:p>
    <w:p>
      <w:pPr>
        <w:spacing w:after="60" w:before="40"/>
        <w:jc w:val="center"/>
      </w:pPr>
      <w:r>
        <w:rPr>
          <w:rFonts w:ascii="Calibri" w:cs="Calibri" w:eastAsia="Calibri" w:hAnsi="Calibri"/>
          <w:i/>
          <w:iCs/>
          <w:sz w:val="22"/>
          <w:szCs w:val="22"/>
        </w:rPr>
        <w:t xml:space="preserve">C</w:t>
      </w:r>
      <w:r>
        <w:rPr>
          <w:rFonts w:ascii="Calibri" w:cs="Calibri" w:eastAsia="Calibri" w:hAnsi="Calibri"/>
          <w:i/>
          <w:iCs/>
          <w:sz w:val="22"/>
          <w:szCs w:val="22"/>
          <w:vertAlign w:val="subscript"/>
        </w:rPr>
        <w:t xml:space="preserve">normal</w:t>
      </w:r>
      <w:r>
        <w:rPr>
          <w:rFonts w:ascii="Calibri" w:cs="Calibri" w:eastAsia="Calibri" w:hAnsi="Calibri"/>
          <w:i/>
          <w:iCs/>
          <w:sz w:val="22"/>
          <w:szCs w:val="22"/>
        </w:rPr>
        <w:t xml:space="preserve"> = u(S) + u(F</w:t>
      </w:r>
      <w:r>
        <w:rPr>
          <w:rFonts w:ascii="Calibri" w:cs="Calibri" w:eastAsia="Calibri" w:hAnsi="Calibri"/>
          <w:i/>
          <w:iCs/>
          <w:sz w:val="22"/>
          <w:szCs w:val="22"/>
          <w:vertAlign w:val="superscript"/>
        </w:rPr>
        <w:t xml:space="preserve">−1</w:t>
      </w:r>
      <w:r>
        <w:rPr>
          <w:rFonts w:ascii="Calibri" w:cs="Calibri" w:eastAsia="Calibri" w:hAnsi="Calibri"/>
          <w:i/>
          <w:iCs/>
          <w:sz w:val="22"/>
          <w:szCs w:val="22"/>
        </w:rPr>
        <w:t xml:space="preserve">) + c·(v(S) + v(F</w:t>
      </w:r>
      <w:r>
        <w:rPr>
          <w:rFonts w:ascii="Calibri" w:cs="Calibri" w:eastAsia="Calibri" w:hAnsi="Calibri"/>
          <w:i/>
          <w:iCs/>
          <w:sz w:val="22"/>
          <w:szCs w:val="22"/>
          <w:vertAlign w:val="superscript"/>
        </w:rPr>
        <w:t xml:space="preserve">−1</w:t>
      </w:r>
      <w:r>
        <w:rPr>
          <w:rFonts w:ascii="Calibri" w:cs="Calibri" w:eastAsia="Calibri" w:hAnsi="Calibri"/>
          <w:i/>
          <w:iCs/>
          <w:sz w:val="22"/>
          <w:szCs w:val="22"/>
        </w:rPr>
        <w:t xml:space="preserve">))</w:t>
      </w:r>
    </w:p>
    <w:p>
      <w:pPr>
        <w:spacing w:after="0" w:line="240" w:lineRule="auto"/>
        <w:ind w:firstLine="0"/>
        <w:jc w:val="both"/>
      </w:pPr>
      <w:r>
        <w:rPr>
          <w:rFonts w:ascii="Calibri" w:cs="Calibri" w:eastAsia="Calibri" w:hAnsi="Calibri"/>
          <w:sz w:val="22"/>
          <w:szCs w:val="22"/>
        </w:rPr>
        <w:t xml:space="preserve">and the whole-matrix matrix-first candidate costs</w:t>
      </w:r>
    </w:p>
    <w:p>
      <w:pPr>
        <w:spacing w:after="60" w:before="40"/>
        <w:jc w:val="center"/>
      </w:pPr>
      <w:r>
        <w:rPr>
          <w:rFonts w:ascii="Calibri" w:cs="Calibri" w:eastAsia="Calibri" w:hAnsi="Calibri"/>
          <w:i/>
          <w:iCs/>
          <w:sz w:val="22"/>
          <w:szCs w:val="22"/>
        </w:rPr>
        <w:t xml:space="preserve">C</w:t>
      </w:r>
      <w:r>
        <w:rPr>
          <w:rFonts w:ascii="Calibri" w:cs="Calibri" w:eastAsia="Calibri" w:hAnsi="Calibri"/>
          <w:i/>
          <w:iCs/>
          <w:sz w:val="22"/>
          <w:szCs w:val="22"/>
          <w:vertAlign w:val="subscript"/>
        </w:rPr>
        <w:t xml:space="preserve">matrix</w:t>
      </w:r>
      <w:r>
        <w:rPr>
          <w:rFonts w:ascii="Calibri" w:cs="Calibri" w:eastAsia="Calibri" w:hAnsi="Calibri"/>
          <w:i/>
          <w:iCs/>
          <w:sz w:val="22"/>
          <w:szCs w:val="22"/>
        </w:rPr>
        <w:t xml:space="preserve"> = u(F</w:t>
      </w:r>
      <w:r>
        <w:rPr>
          <w:rFonts w:ascii="Calibri" w:cs="Calibri" w:eastAsia="Calibri" w:hAnsi="Calibri"/>
          <w:i/>
          <w:iCs/>
          <w:sz w:val="22"/>
          <w:szCs w:val="22"/>
          <w:vertAlign w:val="superscript"/>
        </w:rPr>
        <w:t xml:space="preserve">−1</w:t>
      </w:r>
      <w:r>
        <w:rPr>
          <w:rFonts w:ascii="Calibri" w:cs="Calibri" w:eastAsia="Calibri" w:hAnsi="Calibri"/>
          <w:i/>
          <w:iCs/>
          <w:sz w:val="22"/>
          <w:szCs w:val="22"/>
        </w:rPr>
        <w:t xml:space="preserve">·S) + c·v(F</w:t>
      </w:r>
      <w:r>
        <w:rPr>
          <w:rFonts w:ascii="Calibri" w:cs="Calibri" w:eastAsia="Calibri" w:hAnsi="Calibri"/>
          <w:i/>
          <w:iCs/>
          <w:sz w:val="22"/>
          <w:szCs w:val="22"/>
          <w:vertAlign w:val="superscript"/>
        </w:rPr>
        <w:t xml:space="preserve">−1</w:t>
      </w:r>
      <w:r>
        <w:rPr>
          <w:rFonts w:ascii="Calibri" w:cs="Calibri" w:eastAsia="Calibri" w:hAnsi="Calibri"/>
          <w:i/>
          <w:iCs/>
          <w:sz w:val="22"/>
          <w:szCs w:val="22"/>
        </w:rPr>
        <w:t xml:space="preserve">·S)</w:t>
      </w:r>
    </w:p>
    <w:p>
      <w:pPr>
        <w:spacing w:after="0" w:line="240" w:lineRule="auto"/>
        <w:ind w:firstLine="288"/>
        <w:jc w:val="both"/>
      </w:pPr>
      <w:r>
        <w:rPr>
          <w:rFonts w:ascii="Calibri" w:cs="Calibri" w:eastAsia="Calibri" w:hAnsi="Calibri"/>
          <w:sz w:val="22"/>
          <w:szCs w:val="22"/>
        </w:rPr>
        <w:t xml:space="preserve">The third candidate is partitioned PPM: for every independent group and the remainder, the cheaper normal or matrix-first sequence is selected, and the component costs are summed. The model estimates arithmetic work, not elapsed time or thread overhead.</w:t>
      </w:r>
    </w:p>
    <w:p>
      <w:pPr>
        <w:spacing w:after="0" w:line="240" w:lineRule="auto"/>
        <w:ind w:firstLine="288"/>
        <w:jc w:val="both"/>
      </w:pPr>
      <w:r>
        <w:rPr>
          <w:rFonts w:ascii="Calibri" w:cs="Calibri" w:eastAsia="Calibri" w:hAnsi="Calibri"/>
          <w:sz w:val="22"/>
          <w:szCs w:val="22"/>
        </w:rPr>
        <w:t xml:space="preserve">The implementation is organized as follows:</w:t>
      </w:r>
    </w:p>
    <w:p>
      <w:pPr>
        <w:pStyle w:val="ListParagraph"/>
        <w:numPr>
          <w:ilvl w:val="0"/>
          <w:numId w:val="2"/>
        </w:numPr>
        <w:spacing w:after="20" w:line="240"/>
        <w:jc w:val="both"/>
      </w:pPr>
      <w:r>
        <w:rPr>
          <w:rFonts w:ascii="Calibri" w:cs="Calibri" w:eastAsia="Calibri" w:hAnsi="Calibri"/>
          <w:sz w:val="22"/>
          <w:szCs w:val="22"/>
        </w:rPr>
        <w:t xml:space="preserve">The sequence chooser calculates the normal and matrix-first costs for one (F^-1, S) pair.</w:t>
      </w:r>
    </w:p>
    <w:p>
      <w:pPr>
        <w:pStyle w:val="ListParagraph"/>
        <w:numPr>
          <w:ilvl w:val="0"/>
          <w:numId w:val="2"/>
        </w:numPr>
        <w:spacing w:after="20" w:line="240"/>
        <w:jc w:val="both"/>
      </w:pPr>
      <w:r>
        <w:rPr>
          <w:rFonts w:ascii="Calibri" w:cs="Calibri" w:eastAsia="Calibri" w:hAnsi="Calibri"/>
          <w:sz w:val="22"/>
          <w:szCs w:val="22"/>
        </w:rPr>
        <w:t xml:space="preserve">Matrix helper routines provide u, v, and the matrix-first product.</w:t>
      </w:r>
    </w:p>
    <w:p>
      <w:pPr>
        <w:pStyle w:val="ListParagraph"/>
        <w:numPr>
          <w:ilvl w:val="0"/>
          <w:numId w:val="2"/>
        </w:numPr>
        <w:spacing w:after="20" w:line="240"/>
        <w:jc w:val="both"/>
      </w:pPr>
      <w:r>
        <w:rPr>
          <w:rFonts w:ascii="Calibri" w:cs="Calibri" w:eastAsia="Calibri" w:hAnsi="Calibri"/>
          <w:sz w:val="22"/>
          <w:szCs w:val="22"/>
        </w:rPr>
        <w:t xml:space="preserve">The recovery driver compares the whole-matrix cost with the sum of the PPM component costs. It selects PPM only when that estimate is lower, then executes the selected sequence for each component.</w:t>
      </w:r>
    </w:p>
    <w:p>
      <w:pPr>
        <w:pStyle w:val="ListParagraph"/>
        <w:numPr>
          <w:ilvl w:val="0"/>
          <w:numId w:val="2"/>
        </w:numPr>
        <w:spacing w:after="20" w:line="240"/>
        <w:jc w:val="both"/>
      </w:pPr>
      <w:r>
        <w:rPr>
          <w:rFonts w:ascii="Calibri" w:cs="Calibri" w:eastAsia="Calibri" w:hAnsi="Calibri"/>
          <w:sz w:val="22"/>
          <w:szCs w:val="22"/>
        </w:rPr>
        <w:t xml:space="preserve">The calibration step times coefficient-one XOR against coefficient-two multiply-XOR on 256 KiB regions for eight rounds. It calculates c = multiply-XOR time / XOR time − 1 and caches one value per field width.</w:t>
      </w:r>
    </w:p>
    <w:p>
      <w:pPr>
        <w:spacing w:after="0" w:before="40" w:line="240"/>
        <w:ind w:firstLine="288"/>
        <w:jc w:val="both"/>
      </w:pPr>
      <w:r>
        <w:rPr>
          <w:rFonts w:ascii="Calibri" w:cs="Calibri" w:eastAsia="Calibri" w:hAnsi="Calibri"/>
          <w:sz w:val="22"/>
          <w:szCs w:val="22"/>
        </w:rPr>
        <w:t xml:space="preserve">The benchmark calibrated the c values in Table II independently for each build.</w:t>
      </w:r>
    </w:p>
    <w:p>
      <w:pPr>
        <w:keepNext/>
        <w:spacing w:after="0" w:before="100"/>
        <w:jc w:val="center"/>
      </w:pPr>
      <w:r>
        <w:rPr>
          <w:rFonts w:ascii="Calibri" w:cs="Calibri" w:eastAsia="Calibri" w:hAnsi="Calibri"/>
          <w:smallCaps/>
          <w:sz w:val="20"/>
          <w:szCs w:val="20"/>
        </w:rPr>
        <w:t xml:space="preserve">Table II</w:t>
      </w:r>
    </w:p>
    <w:p>
      <w:pPr>
        <w:keepNext/>
        <w:spacing w:after="50"/>
        <w:jc w:val="center"/>
      </w:pPr>
      <w:r>
        <w:rPr>
          <w:rFonts w:ascii="Calibri" w:cs="Calibri" w:eastAsia="Calibri" w:hAnsi="Calibri"/>
          <w:smallCaps/>
          <w:sz w:val="20"/>
          <w:szCs w:val="20"/>
        </w:rPr>
        <w:t xml:space="preserve">Calibrated Multiply Weight c</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tblGrid>
      <w:tr>
        <w:trPr>
          <w:cantSplit/>
          <w:tblHeader/>
        </w:trPr>
        <w:tc>
          <w:tcPr>
            <w:tcW w:type="dxa" w:w="1680"/>
            <w:tcBorders>
              <w:top w:val="single" w:color="000000" w:sz="8"/>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Calibri" w:cs="Calibri" w:eastAsia="Calibri" w:hAnsi="Calibri"/>
                <w:b/>
                <w:bCs/>
                <w:sz w:val="20"/>
                <w:szCs w:val="20"/>
              </w:rPr>
              <w:t xml:space="preserve">Field</w:t>
            </w:r>
          </w:p>
        </w:tc>
        <w:tc>
          <w:tcPr>
            <w:tcW w:type="dxa" w:w="1680"/>
            <w:tcBorders>
              <w:top w:val="single" w:color="000000" w:sz="8"/>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Calibri" w:cs="Calibri" w:eastAsia="Calibri" w:hAnsi="Calibri"/>
                <w:b/>
                <w:bCs/>
                <w:sz w:val="20"/>
                <w:szCs w:val="20"/>
              </w:rPr>
              <w:t xml:space="preserve">Scalar build c</w:t>
            </w:r>
          </w:p>
        </w:tc>
        <w:tc>
          <w:tcPr>
            <w:tcW w:type="dxa" w:w="1680"/>
            <w:tcBorders>
              <w:top w:val="single" w:color="000000" w:sz="8"/>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Calibri" w:cs="Calibri" w:eastAsia="Calibri" w:hAnsi="Calibri"/>
                <w:b/>
                <w:bCs/>
                <w:sz w:val="20"/>
                <w:szCs w:val="20"/>
              </w:rPr>
              <w:t xml:space="preserve">SIMD build c</w:t>
            </w:r>
          </w:p>
        </w:tc>
      </w:tr>
      <w:tr>
        <w:trPr>
          <w:cantSplit/>
        </w:trPr>
        <w:tc>
          <w:tcPr>
            <w:tcW w:type="dxa" w:w="16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GF(2^8)</w:t>
            </w:r>
          </w:p>
        </w:tc>
        <w:tc>
          <w:tcPr>
            <w:tcW w:type="dxa" w:w="16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1.3264</w:t>
            </w:r>
          </w:p>
        </w:tc>
        <w:tc>
          <w:tcPr>
            <w:tcW w:type="dxa" w:w="16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0.1625</w:t>
            </w:r>
          </w:p>
        </w:tc>
      </w:tr>
      <w:tr>
        <w:trPr>
          <w:cantSplit/>
        </w:trPr>
        <w:tc>
          <w:tcPr>
            <w:tcW w:type="dxa" w:w="16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GF(2^16)</w:t>
            </w:r>
          </w:p>
        </w:tc>
        <w:tc>
          <w:tcPr>
            <w:tcW w:type="dxa" w:w="16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1.1222</w:t>
            </w:r>
          </w:p>
        </w:tc>
        <w:tc>
          <w:tcPr>
            <w:tcW w:type="dxa" w:w="16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6.2941</w:t>
            </w:r>
          </w:p>
        </w:tc>
      </w:tr>
      <w:tr>
        <w:trPr>
          <w:cantSplit/>
        </w:trPr>
        <w:tc>
          <w:tcPr>
            <w:tcW w:type="dxa" w:w="1680"/>
            <w:tcBorders>
              <w:top w:val="none" w:color="FFFFFF" w:sz="0"/>
              <w:left w:val="none" w:color="FFFFFF" w:sz="0"/>
              <w:bottom w:val="single" w:color="000000" w:sz="8"/>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GF(2^32)</w:t>
            </w:r>
          </w:p>
        </w:tc>
        <w:tc>
          <w:tcPr>
            <w:tcW w:type="dxa" w:w="1680"/>
            <w:tcBorders>
              <w:top w:val="none" w:color="FFFFFF" w:sz="0"/>
              <w:left w:val="none" w:color="FFFFFF" w:sz="0"/>
              <w:bottom w:val="single" w:color="000000" w:sz="8"/>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0.0000</w:t>
            </w:r>
          </w:p>
        </w:tc>
        <w:tc>
          <w:tcPr>
            <w:tcW w:type="dxa" w:w="1680"/>
            <w:tcBorders>
              <w:top w:val="none" w:color="FFFFFF" w:sz="0"/>
              <w:left w:val="none" w:color="FFFFFF" w:sz="0"/>
              <w:bottom w:val="single" w:color="000000" w:sz="8"/>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7.0000</w:t>
            </w:r>
          </w:p>
        </w:tc>
      </w:tr>
    </w:tbl>
    <w:p>
      <w:pPr>
        <w:spacing w:after="60"/>
      </w:pPr>
    </w:p>
    <w:p>
      <w:pPr>
        <w:spacing w:after="0" w:line="240" w:lineRule="auto"/>
        <w:ind w:firstLine="288"/>
        <w:jc w:val="both"/>
      </w:pPr>
      <w:r>
        <w:rPr>
          <w:rFonts w:ascii="Calibri" w:cs="Calibri" w:eastAsia="Calibri" w:hAnsi="Calibri"/>
          <w:sz w:val="22"/>
          <w:szCs w:val="22"/>
        </w:rPr>
        <w:t xml:space="preserve">The values are specific to this CPU and arithmetic implementation. In particular, scalar GF(2^32) measured a coefficient-two multiply-XOR no slower than a coefficient-one XOR, so the formula clamps the estimated extra cost to zero. This is a measured model input, not a claim that multiplication takes no hardware work. Because SIMD changes c, the selector can choose a different strategy in L2 than in L1.</w:t>
      </w:r>
    </w:p>
    <w:p>
      <w:pPr>
        <w:keepNext/>
        <w:keepLines/>
        <w:spacing w:after="80" w:before="200"/>
        <w:jc w:val="center"/>
      </w:pPr>
      <w:r>
        <w:rPr>
          <w:rFonts w:ascii="Calibri" w:cs="Calibri" w:eastAsia="Calibri" w:hAnsi="Calibri"/>
          <w:smallCaps/>
          <w:sz w:val="22"/>
          <w:szCs w:val="22"/>
        </w:rPr>
        <w:t xml:space="preserve">IV. SIMD Design</w:t>
      </w:r>
    </w:p>
    <w:p>
      <w:pPr>
        <w:spacing w:after="0" w:line="240" w:lineRule="auto"/>
        <w:ind w:firstLine="288"/>
        <w:jc w:val="both"/>
      </w:pPr>
      <w:r>
        <w:rPr>
          <w:rFonts w:ascii="Calibri" w:cs="Calibri" w:eastAsia="Calibri" w:hAnsi="Calibri"/>
          <w:sz w:val="22"/>
          <w:szCs w:val="22"/>
        </w:rPr>
        <w:t xml:space="preserve">SSE3 is a 128-bit packed-integer SIMD extension. Milestone 3 uses SSSE3, an extension to SSE3 that provides a byte-shuffle instruction. AVX2 provides 256-bit packed-integer operations and integer gathers. These were chosen because region symbols are contiguous and each output symbol can be computed independently. The SIMD paths keep the existing scalar path as a runtime fallback. Table III lists the kernel used for each field.</w:t>
      </w:r>
    </w:p>
    <w:p>
      <w:pPr>
        <w:keepNext/>
        <w:spacing w:after="0" w:before="100"/>
        <w:jc w:val="center"/>
      </w:pPr>
      <w:r>
        <w:rPr>
          <w:rFonts w:ascii="Calibri" w:cs="Calibri" w:eastAsia="Calibri" w:hAnsi="Calibri"/>
          <w:smallCaps/>
          <w:sz w:val="20"/>
          <w:szCs w:val="20"/>
        </w:rPr>
        <w:t xml:space="preserve">Table III</w:t>
      </w:r>
    </w:p>
    <w:p>
      <w:pPr>
        <w:keepNext/>
        <w:spacing w:after="50"/>
        <w:jc w:val="center"/>
      </w:pPr>
      <w:r>
        <w:rPr>
          <w:rFonts w:ascii="Calibri" w:cs="Calibri" w:eastAsia="Calibri" w:hAnsi="Calibri"/>
          <w:smallCaps/>
          <w:sz w:val="20"/>
          <w:szCs w:val="20"/>
        </w:rPr>
        <w:t xml:space="preserve">SIMD Kernels per Field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920"/>
        <w:gridCol w:w="720"/>
        <w:gridCol w:w="2300"/>
        <w:gridCol w:w="1100"/>
      </w:tblGrid>
      <w:tr>
        <w:trPr>
          <w:cantSplit/>
          <w:tblHeader/>
        </w:trPr>
        <w:tc>
          <w:tcPr>
            <w:tcW w:type="dxa" w:w="920"/>
            <w:tcBorders>
              <w:top w:val="single" w:color="000000" w:sz="8"/>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Calibri" w:cs="Calibri" w:eastAsia="Calibri" w:hAnsi="Calibri"/>
                <w:b/>
                <w:bCs/>
                <w:sz w:val="20"/>
                <w:szCs w:val="20"/>
              </w:rPr>
              <w:t xml:space="preserve">Field</w:t>
            </w:r>
          </w:p>
        </w:tc>
        <w:tc>
          <w:tcPr>
            <w:tcW w:type="dxa" w:w="720"/>
            <w:tcBorders>
              <w:top w:val="single" w:color="000000" w:sz="8"/>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Calibri" w:cs="Calibri" w:eastAsia="Calibri" w:hAnsi="Calibri"/>
                <w:b/>
                <w:bCs/>
                <w:sz w:val="20"/>
                <w:szCs w:val="20"/>
              </w:rPr>
              <w:t xml:space="preserve">ISA</w:t>
            </w:r>
          </w:p>
        </w:tc>
        <w:tc>
          <w:tcPr>
            <w:tcW w:type="dxa" w:w="2300"/>
            <w:tcBorders>
              <w:top w:val="single" w:color="000000" w:sz="8"/>
              <w:left w:val="none" w:color="FFFFFF" w:sz="0"/>
              <w:bottom w:val="single" w:color="000000" w:sz="4"/>
              <w:right w:val="none" w:color="FFFFFF" w:sz="0"/>
            </w:tcBorders>
            <w:tcMar>
              <w:top w:type="dxa" w:w="20"/>
              <w:left w:type="dxa" w:w="40"/>
              <w:bottom w:type="dxa" w:w="20"/>
              <w:right w:type="dxa" w:w="40"/>
            </w:tcMar>
            <w:vAlign w:val="center"/>
          </w:tcPr>
          <w:p>
            <w:pPr>
              <w:jc w:val="left"/>
            </w:pPr>
            <w:r>
              <w:rPr>
                <w:rFonts w:ascii="Calibri" w:cs="Calibri" w:eastAsia="Calibri" w:hAnsi="Calibri"/>
                <w:b/>
                <w:bCs/>
                <w:sz w:val="20"/>
                <w:szCs w:val="20"/>
              </w:rPr>
              <w:t xml:space="preserve">Method</w:t>
            </w:r>
          </w:p>
        </w:tc>
        <w:tc>
          <w:tcPr>
            <w:tcW w:type="dxa" w:w="1100"/>
            <w:tcBorders>
              <w:top w:val="single" w:color="000000" w:sz="8"/>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Calibri" w:cs="Calibri" w:eastAsia="Calibri" w:hAnsi="Calibri"/>
                <w:b/>
                <w:bCs/>
                <w:sz w:val="20"/>
                <w:szCs w:val="20"/>
              </w:rPr>
              <w:t xml:space="preserve">Per vector</w:t>
            </w:r>
          </w:p>
        </w:tc>
      </w:tr>
      <w:tr>
        <w:trPr>
          <w:cantSplit/>
        </w:trPr>
        <w:tc>
          <w:tcPr>
            <w:tcW w:type="dxa" w:w="92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GF(2^8)</w:t>
            </w:r>
          </w:p>
        </w:tc>
        <w:tc>
          <w:tcPr>
            <w:tcW w:type="dxa" w:w="72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SSSE3</w:t>
            </w:r>
          </w:p>
        </w:tc>
        <w:tc>
          <w:tcPr>
            <w:tcW w:type="dxa" w:w="23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left"/>
            </w:pPr>
            <w:r>
              <w:rPr>
                <w:rFonts w:ascii="Calibri" w:cs="Calibri" w:eastAsia="Calibri" w:hAnsi="Calibri"/>
                <w:b w:val="false"/>
                <w:bCs w:val="false"/>
                <w:sz w:val="20"/>
                <w:szCs w:val="20"/>
              </w:rPr>
              <w:t xml:space="preserve">Nibble contribution tables and byte shuffles</w:t>
            </w:r>
          </w:p>
        </w:tc>
        <w:tc>
          <w:tcPr>
            <w:tcW w:type="dxa" w:w="11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16 bytes</w:t>
            </w:r>
          </w:p>
        </w:tc>
      </w:tr>
      <w:tr>
        <w:trPr>
          <w:cantSplit/>
        </w:trPr>
        <w:tc>
          <w:tcPr>
            <w:tcW w:type="dxa" w:w="92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GF(2^16)</w:t>
            </w:r>
          </w:p>
        </w:tc>
        <w:tc>
          <w:tcPr>
            <w:tcW w:type="dxa" w:w="72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AVX2</w:t>
            </w:r>
          </w:p>
        </w:tc>
        <w:tc>
          <w:tcPr>
            <w:tcW w:type="dxa" w:w="23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left"/>
            </w:pPr>
            <w:r>
              <w:rPr>
                <w:rFonts w:ascii="Calibri" w:cs="Calibri" w:eastAsia="Calibri" w:hAnsi="Calibri"/>
                <w:b w:val="false"/>
                <w:bCs w:val="false"/>
                <w:sz w:val="20"/>
                <w:szCs w:val="20"/>
              </w:rPr>
              <w:t xml:space="preserve">Low/high-byte contribution tables and gathers</w:t>
            </w:r>
          </w:p>
        </w:tc>
        <w:tc>
          <w:tcPr>
            <w:tcW w:type="dxa" w:w="11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8 symbols</w:t>
            </w:r>
          </w:p>
        </w:tc>
      </w:tr>
      <w:tr>
        <w:trPr>
          <w:cantSplit/>
        </w:trPr>
        <w:tc>
          <w:tcPr>
            <w:tcW w:type="dxa" w:w="920"/>
            <w:tcBorders>
              <w:top w:val="none" w:color="FFFFFF" w:sz="0"/>
              <w:left w:val="none" w:color="FFFFFF" w:sz="0"/>
              <w:bottom w:val="single" w:color="000000" w:sz="8"/>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GF(2^32)</w:t>
            </w:r>
          </w:p>
        </w:tc>
        <w:tc>
          <w:tcPr>
            <w:tcW w:type="dxa" w:w="720"/>
            <w:tcBorders>
              <w:top w:val="none" w:color="FFFFFF" w:sz="0"/>
              <w:left w:val="none" w:color="FFFFFF" w:sz="0"/>
              <w:bottom w:val="single" w:color="000000" w:sz="8"/>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AVX2</w:t>
            </w:r>
          </w:p>
        </w:tc>
        <w:tc>
          <w:tcPr>
            <w:tcW w:type="dxa" w:w="2300"/>
            <w:tcBorders>
              <w:top w:val="none" w:color="FFFFFF" w:sz="0"/>
              <w:left w:val="none" w:color="FFFFFF" w:sz="0"/>
              <w:bottom w:val="single" w:color="000000" w:sz="8"/>
              <w:right w:val="none" w:color="FFFFFF" w:sz="0"/>
            </w:tcBorders>
            <w:tcMar>
              <w:top w:type="dxa" w:w="20"/>
              <w:left w:type="dxa" w:w="40"/>
              <w:bottom w:type="dxa" w:w="20"/>
              <w:right w:type="dxa" w:w="40"/>
            </w:tcMar>
            <w:vAlign w:val="center"/>
          </w:tcPr>
          <w:p>
            <w:pPr>
              <w:jc w:val="left"/>
            </w:pPr>
            <w:r>
              <w:rPr>
                <w:rFonts w:ascii="Calibri" w:cs="Calibri" w:eastAsia="Calibri" w:hAnsi="Calibri"/>
                <w:b w:val="false"/>
                <w:bCs w:val="false"/>
                <w:sz w:val="20"/>
                <w:szCs w:val="20"/>
              </w:rPr>
              <w:t xml:space="preserve">Four byte-contribution tables and gathers</w:t>
            </w:r>
          </w:p>
        </w:tc>
        <w:tc>
          <w:tcPr>
            <w:tcW w:type="dxa" w:w="1100"/>
            <w:tcBorders>
              <w:top w:val="none" w:color="FFFFFF" w:sz="0"/>
              <w:left w:val="none" w:color="FFFFFF" w:sz="0"/>
              <w:bottom w:val="single" w:color="000000" w:sz="8"/>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8 symbols</w:t>
            </w:r>
          </w:p>
        </w:tc>
      </w:tr>
    </w:tbl>
    <w:p>
      <w:pPr>
        <w:spacing w:after="60"/>
      </w:pPr>
    </w:p>
    <w:p>
      <w:pPr>
        <w:spacing w:after="0" w:line="240" w:lineRule="auto"/>
        <w:ind w:firstLine="288"/>
        <w:jc w:val="both"/>
      </w:pPr>
      <w:r>
        <w:rPr>
          <w:rFonts w:ascii="Calibri" w:cs="Calibri" w:eastAsia="Calibri" w:hAnsi="Calibri"/>
          <w:sz w:val="22"/>
          <w:szCs w:val="22"/>
        </w:rPr>
        <w:t xml:space="preserve">The build without M3_DISABLE_SIMD dispatches to these kernels at runtime when the instruction set is supported. The benchmark builds both variants from the same source, and the scalar binary uses -DM3_DISABLE_SIMD.</w:t>
      </w:r>
    </w:p>
    <w:p>
      <w:pPr>
        <w:keepNext/>
        <w:keepLines/>
        <w:spacing w:after="80" w:before="200"/>
        <w:jc w:val="center"/>
      </w:pPr>
      <w:r>
        <w:rPr>
          <w:rFonts w:ascii="Calibri" w:cs="Calibri" w:eastAsia="Calibri" w:hAnsi="Calibri"/>
          <w:smallCaps/>
          <w:sz w:val="22"/>
          <w:szCs w:val="22"/>
        </w:rPr>
        <w:t xml:space="preserve">V. Parallel Remainder</w:t>
      </w:r>
    </w:p>
    <w:p>
      <w:pPr>
        <w:spacing w:after="0" w:line="240" w:lineRule="auto"/>
        <w:ind w:firstLine="288"/>
        <w:jc w:val="both"/>
      </w:pPr>
      <w:r>
        <w:rPr>
          <w:rFonts w:ascii="Calibri" w:cs="Calibri" w:eastAsia="Calibri" w:hAnsi="Calibri"/>
          <w:sz w:val="22"/>
          <w:szCs w:val="22"/>
        </w:rPr>
        <w:t xml:space="preserve">Layer L3 is the additional optimization after L2. It measures byte-range parallelism in the dependent remainder while the independent-group phase uses the same thread count. The parallel normal decoder assigns symbol-aligned byte ranges to OpenMP workers. Each worker computes its own range of T = S·BS and then its range of BF = F^-1·T, writing disjoint bytes in the shared T buffer and the stripe. The logical operation counter still counts one full-region operation, not one per chunk.</w:t>
      </w:r>
    </w:p>
    <w:p>
      <w:pPr>
        <w:spacing w:after="0" w:line="240" w:lineRule="auto"/>
        <w:ind w:firstLine="288"/>
        <w:jc w:val="both"/>
      </w:pPr>
      <w:r>
        <w:rPr>
          <w:rFonts w:ascii="Calibri" w:cs="Calibri" w:eastAsia="Calibri" w:hAnsi="Calibri"/>
          <w:sz w:val="22"/>
          <w:szCs w:val="22"/>
        </w:rPr>
        <w:t xml:space="preserve">In the 32 MiB, 10-trial experiment, T=4 improved eight of nine configurations, and (m, s) = (3, 1) was about 6% slower. At T=8, all nine configurations improved. The T=8 gains are given in Section VI.</w:t>
      </w:r>
    </w:p>
    <w:p>
      <w:pPr>
        <w:keepNext/>
        <w:keepLines/>
        <w:spacing w:after="80" w:before="200"/>
        <w:jc w:val="center"/>
      </w:pPr>
      <w:r>
        <w:rPr>
          <w:rFonts w:ascii="Calibri" w:cs="Calibri" w:eastAsia="Calibri" w:hAnsi="Calibri"/>
          <w:smallCaps/>
          <w:sz w:val="22"/>
          <w:szCs w:val="22"/>
        </w:rPr>
        <w:t xml:space="preserve">VI. Results</w:t>
      </w:r>
    </w:p>
    <w:p>
      <w:pPr>
        <w:keepNext/>
        <w:keepLines/>
        <w:spacing w:after="40" w:before="120"/>
      </w:pPr>
      <w:r>
        <w:rPr>
          <w:rFonts w:ascii="Calibri" w:cs="Calibri" w:eastAsia="Calibri" w:hAnsi="Calibri"/>
          <w:i/>
          <w:iCs/>
          <w:sz w:val="22"/>
          <w:szCs w:val="22"/>
        </w:rPr>
        <w:t xml:space="preserve">A. Benchmark Setup</w:t>
      </w:r>
    </w:p>
    <w:p>
      <w:pPr>
        <w:spacing w:after="0" w:line="240" w:lineRule="auto"/>
        <w:ind w:firstLine="288"/>
        <w:jc w:val="both"/>
      </w:pPr>
      <w:r>
        <w:rPr>
          <w:rFonts w:ascii="Calibri" w:cs="Calibri" w:eastAsia="Calibri" w:hAnsi="Calibri"/>
          <w:sz w:val="22"/>
          <w:szCs w:val="22"/>
        </w:rPr>
        <w:t xml:space="preserve">The platform is an Intel Core Ultra 9 185H with GCC 11.4.0 and -O2 -fopenmp. All runs use 10 trials per configuration, a 32 MiB stripe, and T=4/8 independent groups. Table IV reports median recovery times in milliseconds at T=8, for the nine (m, s) pairs with m, s in {1, 2, 3}. All cumulative speedups use the same L0 scalar-normal baseline.</w:t>
      </w:r>
    </w:p>
    <w:p>
      <w:pPr>
        <w:keepNext/>
        <w:keepLines/>
        <w:spacing w:after="40" w:before="120"/>
      </w:pPr>
      <w:r>
        <w:rPr>
          <w:rFonts w:ascii="Calibri" w:cs="Calibri" w:eastAsia="Calibri" w:hAnsi="Calibri"/>
          <w:i/>
          <w:iCs/>
          <w:sz w:val="22"/>
          <w:szCs w:val="22"/>
        </w:rPr>
        <w:t xml:space="preserve">B. Layer Ladder at T=8</w:t>
      </w:r>
    </w:p>
    <w:p>
      <w:pPr>
        <w:spacing w:after="0" w:line="240" w:lineRule="auto"/>
        <w:ind w:firstLine="288"/>
        <w:jc w:val="both"/>
      </w:pPr>
      <w:r>
        <w:rPr>
          <w:rFonts w:ascii="Calibri" w:cs="Calibri" w:eastAsia="Calibri" w:hAnsi="Calibri"/>
          <w:sz w:val="22"/>
          <w:szCs w:val="22"/>
        </w:rPr>
        <w:t xml:space="preserve">L0 is the scalar whole-matrix normal decoder, L1 is scalar gPPM, L2 is SIMD gPPM, and L3 is SIMD gPPM with a parallel remainder. In Table V, the Lx/Ly columns are speedups of layer Lx relative to Ly.</w:t>
      </w:r>
    </w:p>
    <w:p>
      <w:pPr>
        <w:keepNext/>
        <w:spacing w:after="0" w:before="100"/>
        <w:jc w:val="center"/>
      </w:pPr>
      <w:r>
        <w:rPr>
          <w:rFonts w:ascii="Calibri" w:cs="Calibri" w:eastAsia="Calibri" w:hAnsi="Calibri"/>
          <w:smallCaps/>
          <w:sz w:val="20"/>
          <w:szCs w:val="20"/>
        </w:rPr>
        <w:t xml:space="preserve">Table IV</w:t>
      </w:r>
    </w:p>
    <w:p>
      <w:pPr>
        <w:keepNext/>
        <w:spacing w:after="50"/>
        <w:jc w:val="center"/>
      </w:pPr>
      <w:r>
        <w:rPr>
          <w:rFonts w:ascii="Calibri" w:cs="Calibri" w:eastAsia="Calibri" w:hAnsi="Calibri"/>
          <w:smallCaps/>
          <w:sz w:val="20"/>
          <w:szCs w:val="20"/>
        </w:rPr>
        <w:t xml:space="preserve">Median Recovery Time at T=8 (ms)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860"/>
        <w:gridCol w:w="860"/>
        <w:gridCol w:w="860"/>
        <w:gridCol w:w="860"/>
      </w:tblGrid>
      <w:tr>
        <w:trPr>
          <w:cantSplit/>
          <w:tblHeader/>
        </w:trPr>
        <w:tc>
          <w:tcPr>
            <w:tcW w:type="dxa" w:w="600"/>
            <w:tcBorders>
              <w:top w:val="single" w:color="000000" w:sz="8"/>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Calibri" w:cs="Calibri" w:eastAsia="Calibri" w:hAnsi="Calibri"/>
                <w:b/>
                <w:bCs/>
                <w:sz w:val="20"/>
                <w:szCs w:val="20"/>
              </w:rPr>
              <w:t xml:space="preserve">(m, s)</w:t>
            </w:r>
          </w:p>
        </w:tc>
        <w:tc>
          <w:tcPr>
            <w:tcW w:type="dxa" w:w="1000"/>
            <w:tcBorders>
              <w:top w:val="single" w:color="000000" w:sz="8"/>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Calibri" w:cs="Calibri" w:eastAsia="Calibri" w:hAnsi="Calibri"/>
                <w:b/>
                <w:bCs/>
                <w:sz w:val="20"/>
                <w:szCs w:val="20"/>
              </w:rPr>
              <w:t xml:space="preserve">Field</w:t>
            </w:r>
          </w:p>
        </w:tc>
        <w:tc>
          <w:tcPr>
            <w:tcW w:type="dxa" w:w="860"/>
            <w:tcBorders>
              <w:top w:val="single" w:color="000000" w:sz="8"/>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Calibri" w:cs="Calibri" w:eastAsia="Calibri" w:hAnsi="Calibri"/>
                <w:b/>
                <w:bCs/>
                <w:sz w:val="20"/>
                <w:szCs w:val="20"/>
              </w:rPr>
              <w:t xml:space="preserve">L0</w:t>
            </w:r>
          </w:p>
        </w:tc>
        <w:tc>
          <w:tcPr>
            <w:tcW w:type="dxa" w:w="860"/>
            <w:tcBorders>
              <w:top w:val="single" w:color="000000" w:sz="8"/>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Calibri" w:cs="Calibri" w:eastAsia="Calibri" w:hAnsi="Calibri"/>
                <w:b/>
                <w:bCs/>
                <w:sz w:val="20"/>
                <w:szCs w:val="20"/>
              </w:rPr>
              <w:t xml:space="preserve">L1</w:t>
            </w:r>
          </w:p>
        </w:tc>
        <w:tc>
          <w:tcPr>
            <w:tcW w:type="dxa" w:w="860"/>
            <w:tcBorders>
              <w:top w:val="single" w:color="000000" w:sz="8"/>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Calibri" w:cs="Calibri" w:eastAsia="Calibri" w:hAnsi="Calibri"/>
                <w:b/>
                <w:bCs/>
                <w:sz w:val="20"/>
                <w:szCs w:val="20"/>
              </w:rPr>
              <w:t xml:space="preserve">L2</w:t>
            </w:r>
          </w:p>
        </w:tc>
        <w:tc>
          <w:tcPr>
            <w:tcW w:type="dxa" w:w="860"/>
            <w:tcBorders>
              <w:top w:val="single" w:color="000000" w:sz="8"/>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Calibri" w:cs="Calibri" w:eastAsia="Calibri" w:hAnsi="Calibri"/>
                <w:b/>
                <w:bCs/>
                <w:sz w:val="20"/>
                <w:szCs w:val="20"/>
              </w:rPr>
              <w:t xml:space="preserve">L3</w:t>
            </w:r>
          </w:p>
        </w:tc>
      </w:tr>
      <w:tr>
        <w:trPr>
          <w:cantSplit/>
        </w:trPr>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1,1</w:t>
            </w:r>
          </w:p>
        </w:tc>
        <w:tc>
          <w:tcPr>
            <w:tcW w:type="dxa" w:w="10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GF(2^8)</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37.117</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30.355</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3.620</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1.824</w:t>
            </w:r>
          </w:p>
        </w:tc>
      </w:tr>
      <w:tr>
        <w:trPr>
          <w:cantSplit/>
        </w:trPr>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1,2</w:t>
            </w:r>
          </w:p>
        </w:tc>
        <w:tc>
          <w:tcPr>
            <w:tcW w:type="dxa" w:w="10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GF(2^16)</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58.476</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53.766</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16.490</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9.074</w:t>
            </w:r>
          </w:p>
        </w:tc>
      </w:tr>
      <w:tr>
        <w:trPr>
          <w:cantSplit/>
        </w:trPr>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1,3</w:t>
            </w:r>
          </w:p>
        </w:tc>
        <w:tc>
          <w:tcPr>
            <w:tcW w:type="dxa" w:w="10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GF(2^32)</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49.676</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40.971</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32.778</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28.298</w:t>
            </w:r>
          </w:p>
        </w:tc>
      </w:tr>
      <w:tr>
        <w:trPr>
          <w:cantSplit/>
        </w:trPr>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2,1</w:t>
            </w:r>
          </w:p>
        </w:tc>
        <w:tc>
          <w:tcPr>
            <w:tcW w:type="dxa" w:w="10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GF(2^8)</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80.202</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42.704</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4.432</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2.247</w:t>
            </w:r>
          </w:p>
        </w:tc>
      </w:tr>
      <w:tr>
        <w:trPr>
          <w:cantSplit/>
        </w:trPr>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2,2</w:t>
            </w:r>
          </w:p>
        </w:tc>
        <w:tc>
          <w:tcPr>
            <w:tcW w:type="dxa" w:w="10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GF(2^16)</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108.199</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64.262</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21.281</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13.155</w:t>
            </w:r>
          </w:p>
        </w:tc>
      </w:tr>
      <w:tr>
        <w:trPr>
          <w:cantSplit/>
        </w:trPr>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2,3</w:t>
            </w:r>
          </w:p>
        </w:tc>
        <w:tc>
          <w:tcPr>
            <w:tcW w:type="dxa" w:w="10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GF(2^32)</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65.577</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46.875</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40.838</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33.214</w:t>
            </w:r>
          </w:p>
        </w:tc>
      </w:tr>
      <w:tr>
        <w:trPr>
          <w:cantSplit/>
        </w:trPr>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3,1</w:t>
            </w:r>
          </w:p>
        </w:tc>
        <w:tc>
          <w:tcPr>
            <w:tcW w:type="dxa" w:w="10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GF(2^8)</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109.453</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48.962</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4.571</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2.493</w:t>
            </w:r>
          </w:p>
        </w:tc>
      </w:tr>
      <w:tr>
        <w:trPr>
          <w:cantSplit/>
        </w:trPr>
        <w:tc>
          <w:tcPr>
            <w:tcW w:type="dxa" w:w="6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3,2</w:t>
            </w:r>
          </w:p>
        </w:tc>
        <w:tc>
          <w:tcPr>
            <w:tcW w:type="dxa" w:w="10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GF(2^16)</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134.078</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75.863</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26.667</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17.240</w:t>
            </w:r>
          </w:p>
        </w:tc>
      </w:tr>
      <w:tr>
        <w:trPr>
          <w:cantSplit/>
        </w:trPr>
        <w:tc>
          <w:tcPr>
            <w:tcW w:type="dxa" w:w="600"/>
            <w:tcBorders>
              <w:top w:val="none" w:color="FFFFFF" w:sz="0"/>
              <w:left w:val="none" w:color="FFFFFF" w:sz="0"/>
              <w:bottom w:val="single" w:color="000000" w:sz="8"/>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3,3</w:t>
            </w:r>
          </w:p>
        </w:tc>
        <w:tc>
          <w:tcPr>
            <w:tcW w:type="dxa" w:w="1000"/>
            <w:tcBorders>
              <w:top w:val="none" w:color="FFFFFF" w:sz="0"/>
              <w:left w:val="none" w:color="FFFFFF" w:sz="0"/>
              <w:bottom w:val="single" w:color="000000" w:sz="8"/>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GF(2^32)</w:t>
            </w:r>
          </w:p>
        </w:tc>
        <w:tc>
          <w:tcPr>
            <w:tcW w:type="dxa" w:w="860"/>
            <w:tcBorders>
              <w:top w:val="none" w:color="FFFFFF" w:sz="0"/>
              <w:left w:val="none" w:color="FFFFFF" w:sz="0"/>
              <w:bottom w:val="single" w:color="000000" w:sz="8"/>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82.796</w:t>
            </w:r>
          </w:p>
        </w:tc>
        <w:tc>
          <w:tcPr>
            <w:tcW w:type="dxa" w:w="860"/>
            <w:tcBorders>
              <w:top w:val="none" w:color="FFFFFF" w:sz="0"/>
              <w:left w:val="none" w:color="FFFFFF" w:sz="0"/>
              <w:bottom w:val="single" w:color="000000" w:sz="8"/>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49.135</w:t>
            </w:r>
          </w:p>
        </w:tc>
        <w:tc>
          <w:tcPr>
            <w:tcW w:type="dxa" w:w="860"/>
            <w:tcBorders>
              <w:top w:val="none" w:color="FFFFFF" w:sz="0"/>
              <w:left w:val="none" w:color="FFFFFF" w:sz="0"/>
              <w:bottom w:val="single" w:color="000000" w:sz="8"/>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45.670</w:t>
            </w:r>
          </w:p>
        </w:tc>
        <w:tc>
          <w:tcPr>
            <w:tcW w:type="dxa" w:w="860"/>
            <w:tcBorders>
              <w:top w:val="none" w:color="FFFFFF" w:sz="0"/>
              <w:left w:val="none" w:color="FFFFFF" w:sz="0"/>
              <w:bottom w:val="single" w:color="000000" w:sz="8"/>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40.898</w:t>
            </w:r>
          </w:p>
        </w:tc>
      </w:tr>
    </w:tbl>
    <w:p>
      <w:pPr>
        <w:spacing w:after="60"/>
      </w:pPr>
    </w:p>
    <w:p>
      <w:pPr>
        <w:keepNext/>
        <w:spacing w:after="0" w:before="100"/>
        <w:jc w:val="center"/>
      </w:pPr>
      <w:r>
        <w:rPr>
          <w:rFonts w:ascii="Calibri" w:cs="Calibri" w:eastAsia="Calibri" w:hAnsi="Calibri"/>
          <w:smallCaps/>
          <w:sz w:val="20"/>
          <w:szCs w:val="20"/>
        </w:rPr>
        <w:t xml:space="preserve">Table V</w:t>
      </w:r>
    </w:p>
    <w:p>
      <w:pPr>
        <w:keepNext/>
        <w:spacing w:after="50"/>
        <w:jc w:val="center"/>
      </w:pPr>
      <w:r>
        <w:rPr>
          <w:rFonts w:ascii="Calibri" w:cs="Calibri" w:eastAsia="Calibri" w:hAnsi="Calibri"/>
          <w:smallCaps/>
          <w:sz w:val="20"/>
          <w:szCs w:val="20"/>
        </w:rPr>
        <w:t xml:space="preserve">Speedups at T=8</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640"/>
        <w:gridCol w:w="880"/>
        <w:gridCol w:w="880"/>
        <w:gridCol w:w="880"/>
        <w:gridCol w:w="880"/>
        <w:gridCol w:w="880"/>
      </w:tblGrid>
      <w:tr>
        <w:trPr>
          <w:cantSplit/>
          <w:tblHeader/>
        </w:trPr>
        <w:tc>
          <w:tcPr>
            <w:tcW w:type="dxa" w:w="640"/>
            <w:tcBorders>
              <w:top w:val="single" w:color="000000" w:sz="8"/>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Calibri" w:cs="Calibri" w:eastAsia="Calibri" w:hAnsi="Calibri"/>
                <w:b/>
                <w:bCs/>
                <w:sz w:val="20"/>
                <w:szCs w:val="20"/>
              </w:rPr>
              <w:t xml:space="preserve">(m, s)</w:t>
            </w:r>
          </w:p>
        </w:tc>
        <w:tc>
          <w:tcPr>
            <w:tcW w:type="dxa" w:w="880"/>
            <w:tcBorders>
              <w:top w:val="single" w:color="000000" w:sz="8"/>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Calibri" w:cs="Calibri" w:eastAsia="Calibri" w:hAnsi="Calibri"/>
                <w:b/>
                <w:bCs/>
                <w:sz w:val="20"/>
                <w:szCs w:val="20"/>
              </w:rPr>
              <w:t xml:space="preserve">L1/L0</w:t>
            </w:r>
          </w:p>
        </w:tc>
        <w:tc>
          <w:tcPr>
            <w:tcW w:type="dxa" w:w="880"/>
            <w:tcBorders>
              <w:top w:val="single" w:color="000000" w:sz="8"/>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Calibri" w:cs="Calibri" w:eastAsia="Calibri" w:hAnsi="Calibri"/>
                <w:b/>
                <w:bCs/>
                <w:sz w:val="20"/>
                <w:szCs w:val="20"/>
              </w:rPr>
              <w:t xml:space="preserve">L2/L0</w:t>
            </w:r>
          </w:p>
        </w:tc>
        <w:tc>
          <w:tcPr>
            <w:tcW w:type="dxa" w:w="880"/>
            <w:tcBorders>
              <w:top w:val="single" w:color="000000" w:sz="8"/>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Calibri" w:cs="Calibri" w:eastAsia="Calibri" w:hAnsi="Calibri"/>
                <w:b/>
                <w:bCs/>
                <w:sz w:val="20"/>
                <w:szCs w:val="20"/>
              </w:rPr>
              <w:t xml:space="preserve">L2/L1</w:t>
            </w:r>
          </w:p>
        </w:tc>
        <w:tc>
          <w:tcPr>
            <w:tcW w:type="dxa" w:w="880"/>
            <w:tcBorders>
              <w:top w:val="single" w:color="000000" w:sz="8"/>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Calibri" w:cs="Calibri" w:eastAsia="Calibri" w:hAnsi="Calibri"/>
                <w:b/>
                <w:bCs/>
                <w:sz w:val="20"/>
                <w:szCs w:val="20"/>
              </w:rPr>
              <w:t xml:space="preserve">L3/L0</w:t>
            </w:r>
          </w:p>
        </w:tc>
        <w:tc>
          <w:tcPr>
            <w:tcW w:type="dxa" w:w="880"/>
            <w:tcBorders>
              <w:top w:val="single" w:color="000000" w:sz="8"/>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Calibri" w:cs="Calibri" w:eastAsia="Calibri" w:hAnsi="Calibri"/>
                <w:b/>
                <w:bCs/>
                <w:sz w:val="20"/>
                <w:szCs w:val="20"/>
              </w:rPr>
              <w:t xml:space="preserve">L3/L2</w:t>
            </w:r>
          </w:p>
        </w:tc>
      </w:tr>
      <w:tr>
        <w:trPr>
          <w:cantSplit/>
        </w:trPr>
        <w:tc>
          <w:tcPr>
            <w:tcW w:type="dxa" w:w="6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1,1</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1.22×</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10.25×</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8.39×</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20.35×</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1.98×</w:t>
            </w:r>
          </w:p>
        </w:tc>
      </w:tr>
      <w:tr>
        <w:trPr>
          <w:cantSplit/>
        </w:trPr>
        <w:tc>
          <w:tcPr>
            <w:tcW w:type="dxa" w:w="6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1,2</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1.09×</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3.55×</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3.26×</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6.44×</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1.82×</w:t>
            </w:r>
          </w:p>
        </w:tc>
      </w:tr>
      <w:tr>
        <w:trPr>
          <w:cantSplit/>
        </w:trPr>
        <w:tc>
          <w:tcPr>
            <w:tcW w:type="dxa" w:w="6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1,3</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1.21×</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1.52×</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1.25×</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1.76×</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1.16×</w:t>
            </w:r>
          </w:p>
        </w:tc>
      </w:tr>
      <w:tr>
        <w:trPr>
          <w:cantSplit/>
        </w:trPr>
        <w:tc>
          <w:tcPr>
            <w:tcW w:type="dxa" w:w="6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2,1</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1.88×</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18.10×</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9.63×</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35.70×</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1.97×</w:t>
            </w:r>
          </w:p>
        </w:tc>
      </w:tr>
      <w:tr>
        <w:trPr>
          <w:cantSplit/>
        </w:trPr>
        <w:tc>
          <w:tcPr>
            <w:tcW w:type="dxa" w:w="6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2,2</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1.68×</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5.08×</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3.02×</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8.23×</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1.62×</w:t>
            </w:r>
          </w:p>
        </w:tc>
      </w:tr>
      <w:tr>
        <w:trPr>
          <w:cantSplit/>
        </w:trPr>
        <w:tc>
          <w:tcPr>
            <w:tcW w:type="dxa" w:w="6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2,3</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1.40×</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1.61×</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1.15×</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1.97×</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1.23×</w:t>
            </w:r>
          </w:p>
        </w:tc>
      </w:tr>
      <w:tr>
        <w:trPr>
          <w:cantSplit/>
        </w:trPr>
        <w:tc>
          <w:tcPr>
            <w:tcW w:type="dxa" w:w="6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3,1</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2.24×</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23.94×</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10.71×</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43.91×</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1.83×</w:t>
            </w:r>
          </w:p>
        </w:tc>
      </w:tr>
      <w:tr>
        <w:trPr>
          <w:cantSplit/>
        </w:trPr>
        <w:tc>
          <w:tcPr>
            <w:tcW w:type="dxa" w:w="6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3,2</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1.77×</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5.03×</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2.84×</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7.78×</w:t>
            </w:r>
          </w:p>
        </w:tc>
        <w:tc>
          <w:tcPr>
            <w:tcW w:type="dxa" w:w="88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1.55×</w:t>
            </w:r>
          </w:p>
        </w:tc>
      </w:tr>
      <w:tr>
        <w:trPr>
          <w:cantSplit/>
        </w:trPr>
        <w:tc>
          <w:tcPr>
            <w:tcW w:type="dxa" w:w="640"/>
            <w:tcBorders>
              <w:top w:val="none" w:color="FFFFFF" w:sz="0"/>
              <w:left w:val="none" w:color="FFFFFF" w:sz="0"/>
              <w:bottom w:val="single" w:color="000000" w:sz="8"/>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3,3</w:t>
            </w:r>
          </w:p>
        </w:tc>
        <w:tc>
          <w:tcPr>
            <w:tcW w:type="dxa" w:w="880"/>
            <w:tcBorders>
              <w:top w:val="none" w:color="FFFFFF" w:sz="0"/>
              <w:left w:val="none" w:color="FFFFFF" w:sz="0"/>
              <w:bottom w:val="single" w:color="000000" w:sz="8"/>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1.69×</w:t>
            </w:r>
          </w:p>
        </w:tc>
        <w:tc>
          <w:tcPr>
            <w:tcW w:type="dxa" w:w="880"/>
            <w:tcBorders>
              <w:top w:val="none" w:color="FFFFFF" w:sz="0"/>
              <w:left w:val="none" w:color="FFFFFF" w:sz="0"/>
              <w:bottom w:val="single" w:color="000000" w:sz="8"/>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1.81×</w:t>
            </w:r>
          </w:p>
        </w:tc>
        <w:tc>
          <w:tcPr>
            <w:tcW w:type="dxa" w:w="880"/>
            <w:tcBorders>
              <w:top w:val="none" w:color="FFFFFF" w:sz="0"/>
              <w:left w:val="none" w:color="FFFFFF" w:sz="0"/>
              <w:bottom w:val="single" w:color="000000" w:sz="8"/>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1.08×</w:t>
            </w:r>
          </w:p>
        </w:tc>
        <w:tc>
          <w:tcPr>
            <w:tcW w:type="dxa" w:w="880"/>
            <w:tcBorders>
              <w:top w:val="none" w:color="FFFFFF" w:sz="0"/>
              <w:left w:val="none" w:color="FFFFFF" w:sz="0"/>
              <w:bottom w:val="single" w:color="000000" w:sz="8"/>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2.02×</w:t>
            </w:r>
          </w:p>
        </w:tc>
        <w:tc>
          <w:tcPr>
            <w:tcW w:type="dxa" w:w="880"/>
            <w:tcBorders>
              <w:top w:val="none" w:color="FFFFFF" w:sz="0"/>
              <w:left w:val="none" w:color="FFFFFF" w:sz="0"/>
              <w:bottom w:val="single" w:color="000000" w:sz="8"/>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1.12×</w:t>
            </w:r>
          </w:p>
        </w:tc>
      </w:tr>
    </w:tbl>
    <w:p>
      <w:pPr>
        <w:spacing w:after="60"/>
      </w:pPr>
    </w:p>
    <w:p>
      <w:pPr>
        <w:spacing w:after="0" w:line="240" w:lineRule="auto"/>
        <w:ind w:firstLine="288"/>
        <w:jc w:val="both"/>
      </w:pPr>
      <w:r>
        <w:rPr>
          <w:rFonts w:ascii="Calibri" w:cs="Calibri" w:eastAsia="Calibri" w:hAnsi="Calibri"/>
          <w:sz w:val="22"/>
          <w:szCs w:val="22"/>
        </w:rPr>
        <w:t xml:space="preserve">At T=8, L1 adds 1.09×–2.24× cumulative speedup over L0. Adding SIMD raises the cumulative speedup to 1.52×–23.94×, an incremental gain of 1.08×–10.71× over L1. Adding the parallel remainder raises it to 1.76×–43.91×, an incremental gain of 1.12×–1.98× over L2. SIMD contributes most in GF(2^8), and its gains in GF(2^32) are smaller. Because SIMD changes c, the selector can choose a different strategy in L2 than in L1.</w:t>
      </w:r>
    </w:p>
    <w:p>
      <w:pPr>
        <w:keepNext/>
        <w:keepLines/>
        <w:spacing w:after="80" w:before="200"/>
        <w:jc w:val="center"/>
      </w:pPr>
      <w:r>
        <w:rPr>
          <w:rFonts w:ascii="Calibri" w:cs="Calibri" w:eastAsia="Calibri" w:hAnsi="Calibri"/>
          <w:smallCaps/>
          <w:sz w:val="22"/>
          <w:szCs w:val="22"/>
        </w:rPr>
        <w:t xml:space="preserve">VII. Correctness Validation</w:t>
      </w:r>
    </w:p>
    <w:p>
      <w:pPr>
        <w:spacing w:after="0" w:line="240" w:lineRule="auto"/>
        <w:ind w:firstLine="288"/>
        <w:jc w:val="both"/>
      </w:pPr>
      <w:r>
        <w:rPr>
          <w:rFonts w:ascii="Calibri" w:cs="Calibri" w:eastAsia="Calibri" w:hAnsi="Calibri"/>
          <w:sz w:val="22"/>
          <w:szCs w:val="22"/>
        </w:rPr>
        <w:t xml:space="preserve">All validation targets pass. Every benchmark trial was checked for byte equality, checksum, and syndrome (Table VI).</w:t>
      </w:r>
    </w:p>
    <w:p>
      <w:pPr>
        <w:keepNext/>
        <w:spacing w:after="0" w:before="100"/>
        <w:jc w:val="center"/>
      </w:pPr>
      <w:r>
        <w:rPr>
          <w:rFonts w:ascii="Calibri" w:cs="Calibri" w:eastAsia="Calibri" w:hAnsi="Calibri"/>
          <w:smallCaps/>
          <w:sz w:val="20"/>
          <w:szCs w:val="20"/>
        </w:rPr>
        <w:t xml:space="preserve">Table VI</w:t>
      </w:r>
    </w:p>
    <w:p>
      <w:pPr>
        <w:keepNext/>
        <w:spacing w:after="50"/>
        <w:jc w:val="center"/>
      </w:pPr>
      <w:r>
        <w:rPr>
          <w:rFonts w:ascii="Calibri" w:cs="Calibri" w:eastAsia="Calibri" w:hAnsi="Calibri"/>
          <w:smallCaps/>
          <w:sz w:val="20"/>
          <w:szCs w:val="20"/>
        </w:rPr>
        <w:t xml:space="preserve">Validation Results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3540"/>
        <w:gridCol w:w="1500"/>
      </w:tblGrid>
      <w:tr>
        <w:trPr>
          <w:cantSplit/>
          <w:tblHeader/>
        </w:trPr>
        <w:tc>
          <w:tcPr>
            <w:tcW w:type="dxa" w:w="3540"/>
            <w:tcBorders>
              <w:top w:val="single" w:color="000000" w:sz="8"/>
              <w:left w:val="none" w:color="FFFFFF" w:sz="0"/>
              <w:bottom w:val="single" w:color="000000" w:sz="4"/>
              <w:right w:val="none" w:color="FFFFFF" w:sz="0"/>
            </w:tcBorders>
            <w:tcMar>
              <w:top w:type="dxa" w:w="20"/>
              <w:left w:type="dxa" w:w="40"/>
              <w:bottom w:type="dxa" w:w="20"/>
              <w:right w:type="dxa" w:w="40"/>
            </w:tcMar>
            <w:vAlign w:val="center"/>
          </w:tcPr>
          <w:p>
            <w:pPr>
              <w:jc w:val="left"/>
            </w:pPr>
            <w:r>
              <w:rPr>
                <w:rFonts w:ascii="Calibri" w:cs="Calibri" w:eastAsia="Calibri" w:hAnsi="Calibri"/>
                <w:b/>
                <w:bCs/>
                <w:sz w:val="20"/>
                <w:szCs w:val="20"/>
              </w:rPr>
              <w:t xml:space="preserve">Validation measure</w:t>
            </w:r>
          </w:p>
        </w:tc>
        <w:tc>
          <w:tcPr>
            <w:tcW w:type="dxa" w:w="1500"/>
            <w:tcBorders>
              <w:top w:val="single" w:color="000000" w:sz="8"/>
              <w:left w:val="none" w:color="FFFFFF" w:sz="0"/>
              <w:bottom w:val="single" w:color="000000" w:sz="4"/>
              <w:right w:val="none" w:color="FFFFFF" w:sz="0"/>
            </w:tcBorders>
            <w:tcMar>
              <w:top w:type="dxa" w:w="20"/>
              <w:left w:type="dxa" w:w="40"/>
              <w:bottom w:type="dxa" w:w="20"/>
              <w:right w:type="dxa" w:w="40"/>
            </w:tcMar>
            <w:vAlign w:val="center"/>
          </w:tcPr>
          <w:p>
            <w:pPr>
              <w:jc w:val="center"/>
            </w:pPr>
            <w:r>
              <w:rPr>
                <w:rFonts w:ascii="Calibri" w:cs="Calibri" w:eastAsia="Calibri" w:hAnsi="Calibri"/>
                <w:b/>
                <w:bCs/>
                <w:sz w:val="20"/>
                <w:szCs w:val="20"/>
              </w:rPr>
              <w:t xml:space="preserve">Result</w:t>
            </w:r>
          </w:p>
        </w:tc>
      </w:tr>
      <w:tr>
        <w:trPr>
          <w:cantSplit/>
        </w:trPr>
        <w:tc>
          <w:tcPr>
            <w:tcW w:type="dxa" w:w="35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left"/>
            </w:pPr>
            <w:r>
              <w:rPr>
                <w:rFonts w:ascii="Calibri" w:cs="Calibri" w:eastAsia="Calibri" w:hAnsi="Calibri"/>
                <w:b w:val="false"/>
                <w:bCs w:val="false"/>
                <w:sz w:val="20"/>
                <w:szCs w:val="20"/>
              </w:rPr>
              <w:t xml:space="preserve">Unit and integration tests, including SIMD-versus-scalar output equality for all supported fields</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Pass</w:t>
            </w:r>
          </w:p>
        </w:tc>
      </w:tr>
      <w:tr>
        <w:trPr>
          <w:cantSplit/>
        </w:trPr>
        <w:tc>
          <w:tcPr>
            <w:tcW w:type="dxa" w:w="35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left"/>
            </w:pPr>
            <w:r>
              <w:rPr>
                <w:rFonts w:ascii="Calibri" w:cs="Calibri" w:eastAsia="Calibri" w:hAnsi="Calibri"/>
                <w:b w:val="false"/>
                <w:bCs w:val="false"/>
                <w:sz w:val="20"/>
                <w:szCs w:val="20"/>
              </w:rPr>
              <w:t xml:space="preserve">Feasible published SD points in the full-grid sweep</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7,833 / 7,833</w:t>
            </w:r>
          </w:p>
        </w:tc>
      </w:tr>
      <w:tr>
        <w:trPr>
          <w:cantSplit/>
        </w:trPr>
        <w:tc>
          <w:tcPr>
            <w:tcW w:type="dxa" w:w="35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left"/>
            </w:pPr>
            <w:r>
              <w:rPr>
                <w:rFonts w:ascii="Calibri" w:cs="Calibri" w:eastAsia="Calibri" w:hAnsi="Calibri"/>
                <w:b w:val="false"/>
                <w:bCs w:val="false"/>
                <w:sz w:val="20"/>
                <w:szCs w:val="20"/>
              </w:rPr>
              <w:t xml:space="preserve">Infeasible points</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105</w:t>
            </w:r>
          </w:p>
        </w:tc>
      </w:tr>
      <w:tr>
        <w:trPr>
          <w:cantSplit/>
        </w:trPr>
        <w:tc>
          <w:tcPr>
            <w:tcW w:type="dxa" w:w="354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left"/>
            </w:pPr>
            <w:r>
              <w:rPr>
                <w:rFonts w:ascii="Calibri" w:cs="Calibri" w:eastAsia="Calibri" w:hAnsi="Calibri"/>
                <w:b w:val="false"/>
                <w:bCs w:val="false"/>
                <w:sz w:val="20"/>
                <w:szCs w:val="20"/>
              </w:rPr>
              <w:t xml:space="preserve">Scalar-build benchmark trials</w:t>
            </w:r>
          </w:p>
        </w:tc>
        <w:tc>
          <w:tcPr>
            <w:tcW w:type="dxa" w:w="150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270 / 270</w:t>
            </w:r>
          </w:p>
        </w:tc>
      </w:tr>
      <w:tr>
        <w:trPr>
          <w:cantSplit/>
        </w:trPr>
        <w:tc>
          <w:tcPr>
            <w:tcW w:type="dxa" w:w="3540"/>
            <w:tcBorders>
              <w:top w:val="none" w:color="FFFFFF" w:sz="0"/>
              <w:left w:val="none" w:color="FFFFFF" w:sz="0"/>
              <w:bottom w:val="single" w:color="000000" w:sz="8"/>
              <w:right w:val="none" w:color="FFFFFF" w:sz="0"/>
            </w:tcBorders>
            <w:tcMar>
              <w:top w:type="dxa" w:w="20"/>
              <w:left w:type="dxa" w:w="40"/>
              <w:bottom w:type="dxa" w:w="20"/>
              <w:right w:type="dxa" w:w="40"/>
            </w:tcMar>
            <w:vAlign w:val="center"/>
          </w:tcPr>
          <w:p>
            <w:pPr>
              <w:jc w:val="left"/>
            </w:pPr>
            <w:r>
              <w:rPr>
                <w:rFonts w:ascii="Calibri" w:cs="Calibri" w:eastAsia="Calibri" w:hAnsi="Calibri"/>
                <w:b w:val="false"/>
                <w:bCs w:val="false"/>
                <w:sz w:val="20"/>
                <w:szCs w:val="20"/>
              </w:rPr>
              <w:t xml:space="preserve">SIMD-build benchmark trials (serial and parallel remainder)</w:t>
            </w:r>
          </w:p>
        </w:tc>
        <w:tc>
          <w:tcPr>
            <w:tcW w:type="dxa" w:w="1500"/>
            <w:tcBorders>
              <w:top w:val="none" w:color="FFFFFF" w:sz="0"/>
              <w:left w:val="none" w:color="FFFFFF" w:sz="0"/>
              <w:bottom w:val="single" w:color="000000" w:sz="8"/>
              <w:right w:val="none" w:color="FFFFFF" w:sz="0"/>
            </w:tcBorders>
            <w:tcMar>
              <w:top w:type="dxa" w:w="20"/>
              <w:left w:type="dxa" w:w="40"/>
              <w:bottom w:type="dxa" w:w="20"/>
              <w:right w:type="dxa" w:w="40"/>
            </w:tcMar>
            <w:vAlign w:val="center"/>
          </w:tcPr>
          <w:p>
            <w:pPr>
              <w:jc w:val="center"/>
            </w:pPr>
            <w:r>
              <w:rPr>
                <w:rFonts w:ascii="Calibri" w:cs="Calibri" w:eastAsia="Calibri" w:hAnsi="Calibri"/>
                <w:b w:val="false"/>
                <w:bCs w:val="false"/>
                <w:sz w:val="20"/>
                <w:szCs w:val="20"/>
              </w:rPr>
              <w:t xml:space="preserve">450 / 450</w:t>
            </w:r>
          </w:p>
        </w:tc>
      </w:tr>
    </w:tbl>
    <w:p>
      <w:pPr>
        <w:spacing w:after="60"/>
      </w:pPr>
    </w:p>
    <w:p>
      <w:pPr>
        <w:spacing w:after="0" w:line="240" w:lineRule="auto"/>
        <w:ind w:firstLine="288"/>
        <w:jc w:val="both"/>
      </w:pPr>
      <w:r>
        <w:rPr>
          <w:rFonts w:ascii="Calibri" w:cs="Calibri" w:eastAsia="Calibri" w:hAnsi="Calibri"/>
          <w:sz w:val="22"/>
          <w:szCs w:val="22"/>
        </w:rPr>
        <w:t xml:space="preserve">The Milestone 1 and Milestone 2 tests are re-run as part of the same test target, so earlier milestones are not regressed.</w:t>
      </w:r>
    </w:p>
    <w:p>
      <w:pPr>
        <w:keepNext/>
        <w:keepLines/>
        <w:spacing w:after="80" w:before="200"/>
        <w:jc w:val="center"/>
      </w:pPr>
      <w:r>
        <w:rPr>
          <w:rFonts w:ascii="Calibri" w:cs="Calibri" w:eastAsia="Calibri" w:hAnsi="Calibri"/>
          <w:smallCaps/>
          <w:sz w:val="22"/>
          <w:szCs w:val="22"/>
        </w:rPr>
        <w:t xml:space="preserve">VIII. Reproducibility</w:t>
      </w:r>
    </w:p>
    <w:p>
      <w:pPr>
        <w:spacing w:after="0" w:line="240" w:lineRule="auto"/>
        <w:ind w:firstLine="288"/>
        <w:jc w:val="both"/>
      </w:pPr>
      <w:r>
        <w:rPr>
          <w:rFonts w:ascii="Calibri" w:cs="Calibri" w:eastAsia="Calibri" w:hAnsi="Calibri"/>
          <w:sz w:val="22"/>
          <w:szCs w:val="22"/>
        </w:rPr>
        <w:t xml:space="preserve">The implementation and reported results can be reproduced with the build targets make test, make m3-test, make m3-sweep, make m3-benchmark, and make m3-plots. The sweep and benchmark targets record every trial, and make m3-plots generates the cumulative-speedup and incremental-gain charts in PNG and SVG form.</w:t>
      </w:r>
    </w:p>
    <w:p>
      <w:pPr>
        <w:keepNext/>
        <w:spacing w:after="80" w:before="200"/>
        <w:jc w:val="center"/>
      </w:pPr>
      <w:r>
        <w:rPr>
          <w:rFonts w:ascii="Calibri" w:cs="Calibri" w:eastAsia="Calibri" w:hAnsi="Calibri"/>
          <w:smallCaps/>
          <w:sz w:val="22"/>
          <w:szCs w:val="22"/>
        </w:rPr>
        <w:t xml:space="preserve">References</w:t>
      </w:r>
    </w:p>
    <w:p>
      <w:pPr>
        <w:tabs>
          <w:tab w:val="left" w:pos="360"/>
        </w:tabs>
        <w:spacing w:after="30" w:line="220"/>
        <w:ind w:left="360" w:hanging="360"/>
        <w:jc w:val="both"/>
      </w:pPr>
      <w:r>
        <w:rPr>
          <w:rFonts w:ascii="Calibri" w:cs="Calibri" w:eastAsia="Calibri" w:hAnsi="Calibri"/>
          <w:sz w:val="20"/>
          <w:szCs w:val="20"/>
        </w:rPr>
        <w:t xml:space="preserve">[1]</w:t>
        <w:tab/>
        <w:t xml:space="preserve">S. Li, Q. Cao, S. Wan, W. Xia, and C. Xie, “gPPM: A generalized matrix operation and parallel algorithm to accelerate the encoding/decoding process of erasure codes,” ACM Trans. Archit. Code Optim., vol. 20, no. 4, art. 51, Dec. 2023.</w:t>
      </w:r>
    </w:p>
    <w:p>
      <w:pPr>
        <w:tabs>
          <w:tab w:val="left" w:pos="360"/>
        </w:tabs>
        <w:spacing w:after="30" w:line="220"/>
        <w:ind w:left="360" w:hanging="360"/>
        <w:jc w:val="both"/>
      </w:pPr>
      <w:r>
        <w:rPr>
          <w:rFonts w:ascii="Calibri" w:cs="Calibri" w:eastAsia="Calibri" w:hAnsi="Calibri"/>
          <w:sz w:val="20"/>
          <w:szCs w:val="20"/>
        </w:rPr>
        <w:t xml:space="preserve">[2]</w:t>
        <w:tab/>
        <w:t xml:space="preserve">S. Li, Q. Cao, S. Wan et al., “PPM: A partitioned and parallel matrix algorithm to accelerate encoding/decoding of asymmetric parity erasure codes,” in Proc. Int. Conf. Parallel Processing (ICPP), 2015.</w:t>
      </w:r>
    </w:p>
    <w:p>
      <w:pPr>
        <w:tabs>
          <w:tab w:val="left" w:pos="360"/>
        </w:tabs>
        <w:spacing w:after="30" w:line="220"/>
        <w:ind w:left="360" w:hanging="360"/>
        <w:jc w:val="both"/>
      </w:pPr>
      <w:r>
        <w:rPr>
          <w:rFonts w:ascii="Calibri" w:cs="Calibri" w:eastAsia="Calibri" w:hAnsi="Calibri"/>
          <w:sz w:val="20"/>
          <w:szCs w:val="20"/>
        </w:rPr>
        <w:t xml:space="preserve">[3]</w:t>
        <w:tab/>
        <w:t xml:space="preserve">J. S. Plank, M. Blaum, and J. L. Hafner, “SD codes: Erasure codes designed for how storage systems really fail,” in Proc. USENIX Conf. File and Storage Technologies (FAST), 2013.</w:t>
      </w:r>
    </w:p>
    <w:sectPr>
      <w:type w:val="continuous"/>
      <w:pgSz w:w="12240" w:h="15840" w:orient="portrait"/>
      <w:pgMar w:top="1080" w:right="900" w:bottom="1440" w:left="90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2"/>
      <w:szCs w:val="22"/>
    </w:rPr>
  </w:style>
  <w:style w:type="character" w:styleId="FootnoteTextChar">
    <w:name w:val="Footnote Text Char"/>
    <w:basedOn w:val="DefaultParagraphFont"/>
    <w:link w:val="FootnoteText"/>
    <w:uiPriority w:val="99"/>
    <w:semiHidden/>
    <w:unhideWhenUsed/>
    <w:rPr>
      <w:sz w:val="22"/>
      <w:szCs w:val="22"/>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2"/>
      <w:szCs w:val="22"/>
    </w:rPr>
  </w:style>
  <w:style w:type="character" w:styleId="EndnoteTextChar">
    <w:name w:val="Endnote Text Char"/>
    <w:basedOn w:val="DefaultParagraphFont"/>
    <w:link w:val="EndnoteText"/>
    <w:uiPriority w:val="99"/>
    <w:semiHidden/>
    <w:unhideWhenUsed/>
    <w:rPr>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gPPM Milestone 3</dc:title>
  <dc:creator>Author</dc:creator>
  <cp:lastModifiedBy>Un-named</cp:lastModifiedBy>
  <cp:revision>1</cp:revision>
  <dcterms:created xsi:type="dcterms:W3CDTF">2026-11-01T08:52:13.017Z</dcterms:created>
  <dcterms:modified xsi:type="dcterms:W3CDTF">2026-11-01T08:52:13.017Z</dcterms:modified>
</cp:coreProperties>
</file>

<file path=docProps/custom.xml><?xml version="1.0" encoding="utf-8"?>
<Properties xmlns="http://schemas.openxmlformats.org/officeDocument/2006/custom-properties" xmlns:vt="http://schemas.openxmlformats.org/officeDocument/2006/docPropsVTypes"/>
</file>