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Distance: Pune to Manaus</w:t>
                    <w:br/>
                    <w:t xml:space="preserve"/>
                    <w:br/>
                    <w:t xml:space="preserve">Today, you will depart from Pune to start your epic journey to Brazil. Upon arrival in Manaus, take some time to settle in and explore the city. You can visit the famous Amazon Theatre, take a boat tour on the Rio Negro, or simply relax and soak in the vibrant atmosphere of this bustling city.</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1.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1: Arrive in Manaus</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