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Time: 1 hour</w:t>
                    <w:br/>
                    <w:t xml:space="preserve">Travel Distance: 10 km</w:t>
                    <w:br/>
                    <w:t xml:space="preserve"/>
                    <w:br/>
                    <w:t xml:space="preserve">Embark on a food tour to explore the diverse culinary scene of New York City. Sample vegetarian delicacies from different cultures, such as Italian, Indian, Chinese, and more. Immerse yourself in the vibrant cultural melting pot of the city and discover the flavors that make New York a foodie's paradise. Don't forget to try some famous New York-style pizza!</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6.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6: Food Tour and Cultural Immersion</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