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w:body>
    <w:p>
      <w:pPr>
        <w:jc w:val="center"/>
        <w:spacing w:before="120" w:after="30" w:line="240" w:lineRule="auto"/>
      </w:pPr>
      <w:r>
        <w:rPr>
          <w:rFonts w:ascii="Aptos" w:hAnsi="Aptos"/>
          <w:color w:val="173F5F"/>
          <w:sz w:val="28"/>
          <w:szCs w:val="28"/>
          <w:b/>
          <w:bCs/>
        </w:rPr>
        <w:t xml:space="preserve">PROPOSED IMPROVEMENTS TO ENGLISH–HINGLISH EMOTION DETECTION</w:t>
      </w:r>
    </w:p>
    <w:p>
      <w:pPr>
        <w:jc w:val="center"/>
        <w:spacing w:before="0" w:after="110" w:line="240" w:lineRule="auto"/>
      </w:pPr>
      <w:r>
        <w:rPr>
          <w:rFonts w:ascii="Aptos" w:hAnsi="Aptos"/>
          <w:color w:val="637681"/>
          <w:sz w:val="19"/>
          <w:szCs w:val="19"/>
        </w:rPr>
        <w:t xml:space="preserve">Concise architecture and local implementation plan</w:t>
      </w:r>
    </w:p>
    <w:p>
      <w:pPr>
        <w:jc w:val="center"/>
        <w:spacing w:before="0" w:after="100" w:line="240" w:lineRule="auto"/>
      </w:pPr>
      <w:r>
        <w:rPr>
          <w:rFonts w:ascii="Aptos" w:hAnsi="Aptos"/>
          <w:color w:val="4F6673"/>
          <w:sz w:val="16"/>
          <w:szCs w:val="16"/>
        </w:rPr>
        <w:t xml:space="preserve">All proposed models are small: BERT, RoBERTa, mBERT, MuRIL and XLM-R base are encoder models below 1B parameters; the local reviewer is Qwen3 4B. No model exceeds 8B parameters.</w:t>
      </w:r>
    </w:p>
    <w:p>
      <w:pPr>
        <w:keepNext/>
        <w:jc w:val="left"/>
        <w:spacing w:before="160" w:after="70" w:line="240" w:lineRule="auto"/>
      </w:pPr>
      <w:r>
        <w:rPr>
          <w:rFonts w:ascii="Aptos" w:hAnsi="Aptos"/>
          <w:color w:val="173F5F"/>
          <w:sz w:val="27"/>
          <w:szCs w:val="27"/>
          <w:b/>
          <w:bCs/>
        </w:rPr>
        <w:t xml:space="preserve">1. Current system and the reason for revision</w:t>
      </w:r>
    </w:p>
    <w:p>
      <w:pPr>
        <w:jc w:val="both"/>
        <w:spacing w:before="0" w:after="70" w:line="240" w:lineRule="auto"/>
      </w:pPr>
      <w:r>
        <w:rPr>
          <w:rFonts w:ascii="Aptos" w:hAnsi="Aptos"/>
          <w:color w:val="263238"/>
          <w:sz w:val="19"/>
          <w:szCs w:val="19"/>
        </w:rPr>
        <w:t xml:space="preserve">The existing paper classifies English and Hinglish messages as positive, neutral or negative. It describes a pipeline that cleans text, applies Hinglish word handling, produces a BERT or RoBERTa text representation, combines it with Emoji2Vec, and maps classifier confidence to an intensity label. The key issue is that the reported English accuracy is 95.7%, while Hinglish accuracy falls to 59.5% for BERT and 57.9% for RoBERTa.</w:t>
      </w:r>
    </w:p>
    <w:tbl>
      <w:tblPr>
        <w:tblW w:w="0" w:type="auto"/>
        <w:jc w:val="center"/>
        <w:tblBorders>
          <w:top w:val="single" w:sz="5" w:color="A9BBC7"/>
          <w:left w:val="single" w:sz="5" w:color="A9BBC7"/>
          <w:bottom w:val="single" w:sz="5" w:color="A9BBC7"/>
          <w:right w:val="single" w:sz="5" w:color="A9BBC7"/>
          <w:insideH w:val="single" w:sz="3" w:color="D5E0E6"/>
          <w:insideV w:val="single" w:sz="3" w:color="D5E0E6"/>
        </w:tblBorders>
      </w:tblPr>
      <w:tblGrid>
        <w:gridCol w:w="4300"/>
        <w:gridCol w:w="4300"/>
      </w:tblGrid>
      <w:tr>
        <w:tc>
          <w:tcPr>
            <w:tcW w:w="4300" w:type="dxa"/>
            <w:shd w:val="clear" w:color="auto" w:fill="173F5F"/>
            <w:vAlign w:val="center"/>
            <w:tcMar>
              <w:top w:w="55" w:type="dxa"/>
              <w:left w:w="80" w:type="dxa"/>
              <w:bottom w:w="55" w:type="dxa"/>
              <w:right w:w="80" w:type="dxa"/>
            </w:tcMar>
          </w:tcPr>
          <w:p>
            <w:pPr>
              <w:jc w:val="center"/>
              <w:spacing w:before="0" w:after="10" w:line="240" w:lineRule="auto"/>
            </w:pPr>
            <w:r>
              <w:rPr>
                <w:rFonts w:ascii="Aptos" w:hAnsi="Aptos"/>
                <w:color w:val="FFFFFF"/>
                <w:sz w:val="17"/>
                <w:szCs w:val="17"/>
                <w:b/>
                <w:bCs/>
              </w:rPr>
              <w:t xml:space="preserve">What exists now</w:t>
            </w:r>
          </w:p>
        </w:tc>
        <w:tc>
          <w:tcPr>
            <w:tcW w:w="4300" w:type="dxa"/>
            <w:shd w:val="clear" w:color="auto" w:fill="173F5F"/>
            <w:vAlign w:val="center"/>
            <w:tcMar>
              <w:top w:w="55" w:type="dxa"/>
              <w:left w:w="80" w:type="dxa"/>
              <w:bottom w:w="55" w:type="dxa"/>
              <w:right w:w="80" w:type="dxa"/>
            </w:tcMar>
          </w:tcPr>
          <w:p>
            <w:pPr>
              <w:jc w:val="center"/>
              <w:spacing w:before="0" w:after="10" w:line="240" w:lineRule="auto"/>
            </w:pPr>
            <w:r>
              <w:rPr>
                <w:rFonts w:ascii="Aptos" w:hAnsi="Aptos"/>
                <w:color w:val="FFFFFF"/>
                <w:sz w:val="17"/>
                <w:szCs w:val="17"/>
                <w:b/>
                <w:bCs/>
              </w:rPr>
              <w:t xml:space="preserve">Why it is limited</w:t>
            </w:r>
          </w:p>
        </w:tc>
      </w:tr>
      <w:tr>
        <w:tc>
          <w:tcPr>
            <w:tcW w:w="43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BERT/RoBERTa trained mainly on English</w:t>
            </w:r>
          </w:p>
        </w:tc>
        <w:tc>
          <w:tcPr>
            <w:tcW w:w="43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Romanized Hindi and code switching are not their main pretraining setting</w:t>
            </w:r>
          </w:p>
        </w:tc>
      </w:tr>
      <w:tr>
        <w:tc>
          <w:tcPr>
            <w:tcW w:w="4300" w:type="dxa"/>
            <w:shd w:val="clear" w:color="auto" w:fill="EEF4F7"/>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Simple text–emoji concatenation</w:t>
            </w:r>
          </w:p>
        </w:tc>
        <w:tc>
          <w:tcPr>
            <w:tcW w:w="4300" w:type="dxa"/>
            <w:shd w:val="clear" w:color="auto" w:fill="EEF4F7"/>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An emoji can support, weaken or contradict the words around it</w:t>
            </w:r>
          </w:p>
        </w:tc>
      </w:tr>
      <w:tr>
        <w:tc>
          <w:tcPr>
            <w:tcW w:w="43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Three-class prediction plus confidence rule</w:t>
            </w:r>
          </w:p>
        </w:tc>
        <w:tc>
          <w:tcPr>
            <w:tcW w:w="43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Confidence is not the same as a learned emotion-intensity class</w:t>
            </w:r>
          </w:p>
        </w:tc>
      </w:tr>
      <w:tr>
        <w:tc>
          <w:tcPr>
            <w:tcW w:w="4300" w:type="dxa"/>
            <w:shd w:val="clear" w:color="auto" w:fill="EEF4F7"/>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One classifier handles all inputs</w:t>
            </w:r>
          </w:p>
        </w:tc>
        <w:tc>
          <w:tcPr>
            <w:tcW w:w="4300" w:type="dxa"/>
            <w:shd w:val="clear" w:color="auto" w:fill="EEF4F7"/>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Sarcasm and conflicting emoji cases need extra context</w:t>
            </w:r>
          </w:p>
        </w:tc>
      </w:tr>
      <w:tr>
        <w:tc>
          <w:tcPr>
            <w:tcW w:w="43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Accuracy is prominent</w:t>
            </w:r>
          </w:p>
        </w:tc>
        <w:tc>
          <w:tcPr>
            <w:tcW w:w="43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Negative-class recall and robustness are needed for Hinglish</w:t>
            </w:r>
          </w:p>
        </w:tc>
      </w:tr>
    </w:tbl>
    <w:p>
      <w:pPr>
        <w:keepNext/>
        <w:jc w:val="left"/>
        <w:spacing w:before="160" w:after="70" w:line="240" w:lineRule="auto"/>
      </w:pPr>
      <w:r>
        <w:rPr>
          <w:rFonts w:ascii="Aptos" w:hAnsi="Aptos"/>
          <w:color w:val="173F5F"/>
          <w:sz w:val="27"/>
          <w:szCs w:val="27"/>
          <w:b/>
          <w:bCs/>
        </w:rPr>
        <w:t xml:space="preserve">2. Proposed architecture: how one message moves through the system</w:t>
      </w:r>
    </w:p>
    <w:p>
      <w:pPr>
        <w:jc w:val="both"/>
        <w:spacing w:before="0" w:after="70" w:line="240" w:lineRule="auto"/>
      </w:pPr>
      <w:r>
        <w:rPr>
          <w:rFonts w:ascii="Aptos" w:hAnsi="Aptos"/>
          <w:color w:val="263238"/>
          <w:sz w:val="19"/>
          <w:szCs w:val="19"/>
        </w:rPr>
        <w:t xml:space="preserve">The revised architecture has five layers. Each layer solves a specific weakness of the original system. The main encoder performs the normal sentiment task; the small language model is used only for cases that are uncertain or internally contradictory.</w:t>
      </w:r>
    </w:p>
    <w:tbl>
      <w:tblPr>
        <w:tblW w:w="8600" w:type="dxa"/>
        <w:jc w:val="center"/>
        <w:tblBorders>
          <w:top w:val="single" w:sz="10" w:color="4B8B5A"/>
          <w:left w:val="single" w:sz="10" w:color="4B8B5A"/>
          <w:bottom w:val="single" w:sz="10" w:color="4B8B5A"/>
          <w:right w:val="single" w:sz="10" w:color="4B8B5A"/>
        </w:tblBorders>
      </w:tblPr>
      <w:tblGrid>
        <w:gridCol w:w="8600"/>
      </w:tblGrid>
      <w:tr>
        <w:tc>
          <w:tcPr>
            <w:tcW w:w="8600" w:type="dxa"/>
            <w:shd w:val="clear" w:color="auto" w:fill="EAF4EC"/>
            <w:vAlign w:val="center"/>
            <w:tcMar>
              <w:top w:w="55" w:type="dxa"/>
              <w:left w:w="80" w:type="dxa"/>
              <w:bottom w:w="55" w:type="dxa"/>
              <w:right w:w="80" w:type="dxa"/>
            </w:tcMar>
          </w:tcPr>
          <w:p>
            <w:pPr>
              <w:jc w:val="center"/>
              <w:spacing w:before="0" w:after="10" w:line="240" w:lineRule="auto"/>
            </w:pPr>
            <w:r>
              <w:rPr>
                <w:rFonts w:ascii="Aptos" w:hAnsi="Aptos"/>
                <w:color w:val="263238"/>
                <w:sz w:val="17"/>
                <w:szCs w:val="17"/>
                <w:b/>
                <w:bCs/>
              </w:rPr>
              <w:t xml:space="preserve">1. Raw message: English–Hinglish text + emoji</w:t>
            </w:r>
          </w:p>
        </w:tc>
      </w:tr>
    </w:tbl>
    <w:p>
      <w:pPr>
        <w:jc w:val="center"/>
        <w:spacing w:before="0" w:after="0" w:line="240" w:lineRule="auto"/>
      </w:pPr>
      <w:r>
        <w:rPr>
          <w:rFonts w:ascii="Aptos" w:hAnsi="Aptos"/>
          <w:color w:val="20639B"/>
          <w:sz w:val="21"/>
          <w:szCs w:val="21"/>
          <w:b/>
          <w:bCs/>
        </w:rPr>
        <w:t xml:space="preserve">↓</w:t>
      </w:r>
    </w:p>
    <w:tbl>
      <w:tblPr>
        <w:tblW w:w="8600" w:type="dxa"/>
        <w:jc w:val="center"/>
        <w:tblBorders>
          <w:top w:val="single" w:sz="10" w:color="20639B"/>
          <w:left w:val="single" w:sz="10" w:color="20639B"/>
          <w:bottom w:val="single" w:sz="10" w:color="20639B"/>
          <w:right w:val="single" w:sz="10" w:color="20639B"/>
        </w:tblBorders>
      </w:tblPr>
      <w:tblGrid>
        <w:gridCol w:w="8600"/>
      </w:tblGrid>
      <w:tr>
        <w:tc>
          <w:tcPr>
            <w:tcW w:w="8600" w:type="dxa"/>
            <w:shd w:val="clear" w:color="auto" w:fill="E8F1F8"/>
            <w:vAlign w:val="center"/>
            <w:tcMar>
              <w:top w:w="55" w:type="dxa"/>
              <w:left w:w="80" w:type="dxa"/>
              <w:bottom w:w="55" w:type="dxa"/>
              <w:right w:w="80" w:type="dxa"/>
            </w:tcMar>
          </w:tcPr>
          <w:p>
            <w:pPr>
              <w:jc w:val="center"/>
              <w:spacing w:before="0" w:after="10" w:line="240" w:lineRule="auto"/>
            </w:pPr>
            <w:r>
              <w:rPr>
                <w:rFonts w:ascii="Aptos" w:hAnsi="Aptos"/>
                <w:color w:val="263238"/>
                <w:sz w:val="17"/>
                <w:szCs w:val="17"/>
                <w:b/>
                <w:bCs/>
              </w:rPr>
              <w:t xml:space="preserve">2. Hinglish normalizer: keep the raw form, create a canonical form, preserve negation and record elongation</w:t>
            </w:r>
          </w:p>
        </w:tc>
      </w:tr>
    </w:tbl>
    <w:p>
      <w:pPr>
        <w:jc w:val="center"/>
        <w:spacing w:before="0" w:after="0" w:line="240" w:lineRule="auto"/>
      </w:pPr>
      <w:r>
        <w:rPr>
          <w:rFonts w:ascii="Aptos" w:hAnsi="Aptos"/>
          <w:color w:val="20639B"/>
          <w:sz w:val="21"/>
          <w:szCs w:val="21"/>
          <w:b/>
          <w:bCs/>
        </w:rPr>
        <w:t xml:space="preserve">↓</w:t>
      </w:r>
    </w:p>
    <w:tbl>
      <w:tblPr>
        <w:tblW w:w="0" w:type="auto"/>
        <w:jc w:val="center"/>
        <w:tblBorders>
          <w:top w:val="single" w:sz="6" w:color="8E6BA6"/>
          <w:left w:val="single" w:sz="6" w:color="8E6BA6"/>
          <w:bottom w:val="single" w:sz="6" w:color="8E6BA6"/>
          <w:right w:val="single" w:sz="6" w:color="8E6BA6"/>
          <w:insideV w:val="single" w:sz="6" w:color="8E6BA6"/>
        </w:tblBorders>
      </w:tblPr>
      <w:tblGrid>
        <w:gridCol w:w="4300"/>
        <w:gridCol w:w="4300"/>
      </w:tblGrid>
      <w:tr>
        <w:tc>
          <w:tcPr>
            <w:tcW w:w="4300" w:type="dxa"/>
            <w:shd w:val="clear" w:color="auto" w:fill="F3ECFA"/>
            <w:vAlign w:val="center"/>
            <w:tcMar>
              <w:top w:w="55" w:type="dxa"/>
              <w:left w:w="80" w:type="dxa"/>
              <w:bottom w:w="55" w:type="dxa"/>
              <w:right w:w="80" w:type="dxa"/>
            </w:tcMar>
          </w:tcPr>
          <w:p>
            <w:pPr>
              <w:jc w:val="center"/>
              <w:spacing w:before="0" w:after="10" w:line="240" w:lineRule="auto"/>
            </w:pPr>
            <w:r>
              <w:rPr>
                <w:rFonts w:ascii="Aptos" w:hAnsi="Aptos"/>
                <w:color w:val="263238"/>
                <w:sz w:val="17"/>
                <w:szCs w:val="17"/>
                <w:b/>
                <w:bCs/>
              </w:rPr>
              <w:t xml:space="preserve">3a. Multilingual text encoder: MuRIL / mBERT / XLM-R base</w:t>
            </w:r>
          </w:p>
        </w:tc>
        <w:tc>
          <w:tcPr>
            <w:tcW w:w="4300" w:type="dxa"/>
            <w:shd w:val="clear" w:color="auto" w:fill="F3ECFA"/>
            <w:vAlign w:val="center"/>
            <w:tcMar>
              <w:top w:w="55" w:type="dxa"/>
              <w:left w:w="80" w:type="dxa"/>
              <w:bottom w:w="55" w:type="dxa"/>
              <w:right w:w="80" w:type="dxa"/>
            </w:tcMar>
          </w:tcPr>
          <w:p>
            <w:pPr>
              <w:jc w:val="center"/>
              <w:spacing w:before="0" w:after="10" w:line="240" w:lineRule="auto"/>
            </w:pPr>
            <w:r>
              <w:rPr>
                <w:rFonts w:ascii="Aptos" w:hAnsi="Aptos"/>
                <w:color w:val="263238"/>
                <w:sz w:val="17"/>
                <w:szCs w:val="17"/>
                <w:b/>
                <w:bCs/>
              </w:rPr>
              <w:t xml:space="preserve">3b. Emoji encoder: emoji meaning and position in the message</w:t>
            </w:r>
          </w:p>
        </w:tc>
      </w:tr>
    </w:tbl>
    <w:p>
      <w:pPr>
        <w:jc w:val="center"/>
        <w:spacing w:before="0" w:after="0" w:line="240" w:lineRule="auto"/>
      </w:pPr>
      <w:r>
        <w:rPr>
          <w:rFonts w:ascii="Aptos" w:hAnsi="Aptos"/>
          <w:color w:val="20639B"/>
          <w:sz w:val="21"/>
          <w:szCs w:val="21"/>
          <w:b/>
          <w:bCs/>
        </w:rPr>
        <w:t xml:space="preserve">↘               contextual gated fusion               ↙</w:t>
      </w:r>
    </w:p>
    <w:tbl>
      <w:tblPr>
        <w:tblW w:w="8600" w:type="dxa"/>
        <w:jc w:val="center"/>
        <w:tblBorders>
          <w:top w:val="single" w:sz="10" w:color="7A5195"/>
          <w:left w:val="single" w:sz="10" w:color="7A5195"/>
          <w:bottom w:val="single" w:sz="10" w:color="7A5195"/>
          <w:right w:val="single" w:sz="10" w:color="7A5195"/>
        </w:tblBorders>
      </w:tblPr>
      <w:tblGrid>
        <w:gridCol w:w="8600"/>
      </w:tblGrid>
      <w:tr>
        <w:tc>
          <w:tcPr>
            <w:tcW w:w="8600" w:type="dxa"/>
            <w:shd w:val="clear" w:color="auto" w:fill="F3ECFA"/>
            <w:vAlign w:val="center"/>
            <w:tcMar>
              <w:top w:w="55" w:type="dxa"/>
              <w:left w:w="80" w:type="dxa"/>
              <w:bottom w:w="55" w:type="dxa"/>
              <w:right w:w="80" w:type="dxa"/>
            </w:tcMar>
          </w:tcPr>
          <w:p>
            <w:pPr>
              <w:jc w:val="center"/>
              <w:spacing w:before="0" w:after="10" w:line="240" w:lineRule="auto"/>
            </w:pPr>
            <w:r>
              <w:rPr>
                <w:rFonts w:ascii="Aptos" w:hAnsi="Aptos"/>
                <w:color w:val="263238"/>
                <w:sz w:val="17"/>
                <w:szCs w:val="17"/>
                <w:b/>
                <w:bCs/>
              </w:rPr>
              <w:t xml:space="preserve">4. Shared representation: combines wording, code-switching, emoji context and elongation signal</w:t>
            </w:r>
          </w:p>
        </w:tc>
      </w:tr>
    </w:tbl>
    <w:p>
      <w:pPr>
        <w:jc w:val="center"/>
        <w:spacing w:before="0" w:after="0" w:line="240" w:lineRule="auto"/>
      </w:pPr>
      <w:r>
        <w:rPr>
          <w:rFonts w:ascii="Aptos" w:hAnsi="Aptos"/>
          <w:color w:val="20639B"/>
          <w:sz w:val="21"/>
          <w:szCs w:val="21"/>
          <w:b/>
          <w:bCs/>
        </w:rPr>
        <w:t xml:space="preserve">↙                                     ↘</w:t>
      </w:r>
    </w:p>
    <w:tbl>
      <w:tblPr>
        <w:tblW w:w="0" w:type="auto"/>
        <w:jc w:val="center"/>
        <w:tblBorders>
          <w:top w:val="single" w:sz="6" w:color="8E6BA6"/>
          <w:left w:val="single" w:sz="6" w:color="8E6BA6"/>
          <w:bottom w:val="single" w:sz="6" w:color="8E6BA6"/>
          <w:right w:val="single" w:sz="6" w:color="8E6BA6"/>
          <w:insideV w:val="single" w:sz="6" w:color="8E6BA6"/>
        </w:tblBorders>
      </w:tblPr>
      <w:tblGrid>
        <w:gridCol w:w="4300"/>
        <w:gridCol w:w="4300"/>
      </w:tblGrid>
      <w:tr>
        <w:tc>
          <w:tcPr>
            <w:tcW w:w="4300" w:type="dxa"/>
            <w:shd w:val="clear" w:color="auto" w:fill="FFF8E1"/>
            <w:vAlign w:val="center"/>
            <w:tcMar>
              <w:top w:w="55" w:type="dxa"/>
              <w:left w:w="80" w:type="dxa"/>
              <w:bottom w:w="55" w:type="dxa"/>
              <w:right w:w="80" w:type="dxa"/>
            </w:tcMar>
          </w:tcPr>
          <w:p>
            <w:pPr>
              <w:jc w:val="center"/>
              <w:spacing w:before="0" w:after="10" w:line="240" w:lineRule="auto"/>
            </w:pPr>
            <w:r>
              <w:rPr>
                <w:rFonts w:ascii="Aptos" w:hAnsi="Aptos"/>
                <w:color w:val="263238"/>
                <w:sz w:val="17"/>
                <w:szCs w:val="17"/>
                <w:b/>
                <w:bCs/>
              </w:rPr>
              <w:t xml:space="preserve">Sentiment head: positive / neutral / negative</w:t>
            </w:r>
          </w:p>
        </w:tc>
        <w:tc>
          <w:tcPr>
            <w:tcW w:w="4300" w:type="dxa"/>
            <w:shd w:val="clear" w:color="auto" w:fill="FFF8E1"/>
            <w:vAlign w:val="center"/>
            <w:tcMar>
              <w:top w:w="55" w:type="dxa"/>
              <w:left w:w="80" w:type="dxa"/>
              <w:bottom w:w="55" w:type="dxa"/>
              <w:right w:w="80" w:type="dxa"/>
            </w:tcMar>
          </w:tcPr>
          <w:p>
            <w:pPr>
              <w:jc w:val="center"/>
              <w:spacing w:before="0" w:after="10" w:line="240" w:lineRule="auto"/>
            </w:pPr>
            <w:r>
              <w:rPr>
                <w:rFonts w:ascii="Aptos" w:hAnsi="Aptos"/>
                <w:color w:val="263238"/>
                <w:sz w:val="17"/>
                <w:szCs w:val="17"/>
                <w:b/>
                <w:bCs/>
              </w:rPr>
              <w:t xml:space="preserve">Sarcasm head: sarcastic / non-sarcastic</w:t>
            </w:r>
          </w:p>
        </w:tc>
      </w:tr>
    </w:tbl>
    <w:p>
      <w:pPr>
        <w:jc w:val="center"/>
        <w:spacing w:before="0" w:after="0" w:line="240" w:lineRule="auto"/>
      </w:pPr>
      <w:r>
        <w:rPr>
          <w:rFonts w:ascii="Aptos" w:hAnsi="Aptos"/>
          <w:color w:val="20639B"/>
          <w:sz w:val="21"/>
          <w:szCs w:val="21"/>
          <w:b/>
          <w:bCs/>
        </w:rPr>
        <w:t xml:space="preserve">↓</w:t>
      </w:r>
    </w:p>
    <w:tbl>
      <w:tblPr>
        <w:tblW w:w="8600" w:type="dxa"/>
        <w:jc w:val="center"/>
        <w:tblBorders>
          <w:top w:val="single" w:sz="10" w:color="D97904"/>
          <w:left w:val="single" w:sz="10" w:color="D97904"/>
          <w:bottom w:val="single" w:sz="10" w:color="D97904"/>
          <w:right w:val="single" w:sz="10" w:color="D97904"/>
        </w:tblBorders>
      </w:tblPr>
      <w:tblGrid>
        <w:gridCol w:w="8600"/>
      </w:tblGrid>
      <w:tr>
        <w:tc>
          <w:tcPr>
            <w:tcW w:w="8600" w:type="dxa"/>
            <w:shd w:val="clear" w:color="auto" w:fill="FFF3E6"/>
            <w:vAlign w:val="center"/>
            <w:tcMar>
              <w:top w:w="55" w:type="dxa"/>
              <w:left w:w="80" w:type="dxa"/>
              <w:bottom w:w="55" w:type="dxa"/>
              <w:right w:w="80" w:type="dxa"/>
            </w:tcMar>
          </w:tcPr>
          <w:p>
            <w:pPr>
              <w:jc w:val="center"/>
              <w:spacing w:before="0" w:after="10" w:line="240" w:lineRule="auto"/>
            </w:pPr>
            <w:r>
              <w:rPr>
                <w:rFonts w:ascii="Aptos" w:hAnsi="Aptos"/>
                <w:color w:val="263238"/>
                <w:sz w:val="17"/>
                <w:szCs w:val="17"/>
                <w:b/>
                <w:bCs/>
              </w:rPr>
              <w:t xml:space="preserve">5. Confidence router: clear result → return it; uncertain or conflicting result → review locally with Qwen3 4B</w:t>
            </w:r>
          </w:p>
        </w:tc>
      </w:tr>
    </w:tbl>
    <w:p>
      <w:pPr>
        <w:jc w:val="center"/>
        <w:spacing w:before="0" w:after="0" w:line="240" w:lineRule="auto"/>
      </w:pPr>
      <w:r>
        <w:rPr>
          <w:rFonts w:ascii="Aptos" w:hAnsi="Aptos"/>
          <w:color w:val="20639B"/>
          <w:sz w:val="21"/>
          <w:szCs w:val="21"/>
          <w:b/>
          <w:bCs/>
        </w:rPr>
        <w:t xml:space="preserve">↓</w:t>
      </w:r>
    </w:p>
    <w:tbl>
      <w:tblPr>
        <w:tblW w:w="8600" w:type="dxa"/>
        <w:jc w:val="center"/>
        <w:tblBorders>
          <w:top w:val="single" w:sz="10" w:color="4B8B5A"/>
          <w:left w:val="single" w:sz="10" w:color="4B8B5A"/>
          <w:bottom w:val="single" w:sz="10" w:color="4B8B5A"/>
          <w:right w:val="single" w:sz="10" w:color="4B8B5A"/>
        </w:tblBorders>
      </w:tblPr>
      <w:tblGrid>
        <w:gridCol w:w="8600"/>
      </w:tblGrid>
      <w:tr>
        <w:tc>
          <w:tcPr>
            <w:tcW w:w="8600" w:type="dxa"/>
            <w:shd w:val="clear" w:color="auto" w:fill="EAF4EC"/>
            <w:vAlign w:val="center"/>
            <w:tcMar>
              <w:top w:w="55" w:type="dxa"/>
              <w:left w:w="80" w:type="dxa"/>
              <w:bottom w:w="55" w:type="dxa"/>
              <w:right w:w="80" w:type="dxa"/>
            </w:tcMar>
          </w:tcPr>
          <w:p>
            <w:pPr>
              <w:jc w:val="center"/>
              <w:spacing w:before="0" w:after="10" w:line="240" w:lineRule="auto"/>
            </w:pPr>
            <w:r>
              <w:rPr>
                <w:rFonts w:ascii="Aptos" w:hAnsi="Aptos"/>
                <w:color w:val="263238"/>
                <w:sz w:val="17"/>
                <w:szCs w:val="17"/>
                <w:b/>
                <w:bCs/>
              </w:rPr>
              <w:t xml:space="preserve">Final output: sentiment, sarcasm flag, confidence and short evidence span</w:t>
            </w:r>
          </w:p>
        </w:tc>
      </w:tr>
    </w:tbl>
    <w:p>
      <w:pPr>
        <w:keepNext/>
        <w:jc w:val="left"/>
        <w:spacing w:before="110" w:after="50" w:line="240" w:lineRule="auto"/>
      </w:pPr>
      <w:r>
        <w:rPr>
          <w:rFonts w:ascii="Aptos" w:hAnsi="Aptos"/>
          <w:color w:val="20639B"/>
          <w:sz w:val="22"/>
          <w:szCs w:val="22"/>
          <w:b/>
          <w:bCs/>
        </w:rPr>
        <w:t xml:space="preserve">How to read this architecture</w:t>
      </w:r>
    </w:p>
    <w:p>
      <w:pPr>
        <w:jc w:val="both"/>
        <w:spacing w:before="0" w:after="70" w:line="240" w:lineRule="auto"/>
      </w:pPr>
      <w:r>
        <w:rPr>
          <w:rFonts w:ascii="Aptos" w:hAnsi="Aptos"/>
          <w:color w:val="263238"/>
          <w:sz w:val="19"/>
          <w:szCs w:val="19"/>
        </w:rPr>
        <w:t xml:space="preserve">For “wah, kya service hai, 2 ghante late 😂”, the normalizer preserves the words and detects the contrast between positive-looking language and the complaint. MuRIL or another selected multilingual encoder reads the full sentence. The emoji branch contributes its contextual signal. The sarcasm head checks for inconsistency, and only if the prediction remains uncertain does local Qwen3 4B return a restricted review: sentiment, sarcasm, emoji relation and evidence such as “2 ghante late”.</w:t>
      </w:r>
    </w:p>
    <w:p>
      <w:pPr>
        <w:keepNext/>
        <w:jc w:val="left"/>
        <w:spacing w:before="160" w:after="70" w:line="240" w:lineRule="auto"/>
      </w:pPr>
      <w:r>
        <w:rPr>
          <w:rFonts w:ascii="Aptos" w:hAnsi="Aptos"/>
          <w:color w:val="173F5F"/>
          <w:sz w:val="27"/>
          <w:szCs w:val="27"/>
          <w:b/>
          <w:bCs/>
        </w:rPr>
        <w:t xml:space="preserve">3. Five focused improvements</w:t>
      </w:r>
    </w:p>
    <w:tbl>
      <w:tblPr>
        <w:tblW w:w="0" w:type="auto"/>
        <w:jc w:val="center"/>
        <w:tblBorders>
          <w:top w:val="single" w:sz="5" w:color="A9BBC7"/>
          <w:left w:val="single" w:sz="5" w:color="A9BBC7"/>
          <w:bottom w:val="single" w:sz="5" w:color="A9BBC7"/>
          <w:right w:val="single" w:sz="5" w:color="A9BBC7"/>
          <w:insideH w:val="single" w:sz="3" w:color="D5E0E6"/>
          <w:insideV w:val="single" w:sz="3" w:color="D5E0E6"/>
        </w:tblBorders>
      </w:tblPr>
      <w:tblGrid>
        <w:gridCol w:w="1800"/>
        <w:gridCol w:w="3650"/>
        <w:gridCol w:w="3150"/>
      </w:tblGrid>
      <w:tr>
        <w:tc>
          <w:tcPr>
            <w:tcW w:w="1800" w:type="dxa"/>
            <w:shd w:val="clear" w:color="auto" w:fill="173F5F"/>
            <w:vAlign w:val="center"/>
            <w:tcMar>
              <w:top w:w="55" w:type="dxa"/>
              <w:left w:w="80" w:type="dxa"/>
              <w:bottom w:w="55" w:type="dxa"/>
              <w:right w:w="80" w:type="dxa"/>
            </w:tcMar>
          </w:tcPr>
          <w:p>
            <w:pPr>
              <w:jc w:val="center"/>
              <w:spacing w:before="0" w:after="10" w:line="240" w:lineRule="auto"/>
            </w:pPr>
            <w:r>
              <w:rPr>
                <w:rFonts w:ascii="Aptos" w:hAnsi="Aptos"/>
                <w:color w:val="FFFFFF"/>
                <w:sz w:val="17"/>
                <w:szCs w:val="17"/>
                <w:b/>
                <w:bCs/>
              </w:rPr>
              <w:t xml:space="preserve">Change</w:t>
            </w:r>
          </w:p>
        </w:tc>
        <w:tc>
          <w:tcPr>
            <w:tcW w:w="3650" w:type="dxa"/>
            <w:shd w:val="clear" w:color="auto" w:fill="173F5F"/>
            <w:vAlign w:val="center"/>
            <w:tcMar>
              <w:top w:w="55" w:type="dxa"/>
              <w:left w:w="80" w:type="dxa"/>
              <w:bottom w:w="55" w:type="dxa"/>
              <w:right w:w="80" w:type="dxa"/>
            </w:tcMar>
          </w:tcPr>
          <w:p>
            <w:pPr>
              <w:jc w:val="center"/>
              <w:spacing w:before="0" w:after="10" w:line="240" w:lineRule="auto"/>
            </w:pPr>
            <w:r>
              <w:rPr>
                <w:rFonts w:ascii="Aptos" w:hAnsi="Aptos"/>
                <w:color w:val="FFFFFF"/>
                <w:sz w:val="17"/>
                <w:szCs w:val="17"/>
                <w:b/>
                <w:bCs/>
              </w:rPr>
              <w:t xml:space="preserve">What is added</w:t>
            </w:r>
          </w:p>
        </w:tc>
        <w:tc>
          <w:tcPr>
            <w:tcW w:w="3150" w:type="dxa"/>
            <w:shd w:val="clear" w:color="auto" w:fill="173F5F"/>
            <w:vAlign w:val="center"/>
            <w:tcMar>
              <w:top w:w="55" w:type="dxa"/>
              <w:left w:w="80" w:type="dxa"/>
              <w:bottom w:w="55" w:type="dxa"/>
              <w:right w:w="80" w:type="dxa"/>
            </w:tcMar>
          </w:tcPr>
          <w:p>
            <w:pPr>
              <w:jc w:val="center"/>
              <w:spacing w:before="0" w:after="10" w:line="240" w:lineRule="auto"/>
            </w:pPr>
            <w:r>
              <w:rPr>
                <w:rFonts w:ascii="Aptos" w:hAnsi="Aptos"/>
                <w:color w:val="FFFFFF"/>
                <w:sz w:val="17"/>
                <w:szCs w:val="17"/>
                <w:b/>
                <w:bCs/>
              </w:rPr>
              <w:t xml:space="preserve">Connection to the existing paper</w:t>
            </w:r>
          </w:p>
        </w:tc>
      </w:tr>
      <w:tr>
        <w:tc>
          <w:tcPr>
            <w:tcW w:w="18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1. Hinglish-aware encoder</w:t>
            </w:r>
          </w:p>
        </w:tc>
        <w:tc>
          <w:tcPr>
            <w:tcW w:w="365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Compare MuRIL, mBERT and XLM-R base with BERT/RoBERTa baselines</w:t>
            </w:r>
          </w:p>
        </w:tc>
        <w:tc>
          <w:tcPr>
            <w:tcW w:w="315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Directly addresses the English-to-Hinglish performance drop</w:t>
            </w:r>
          </w:p>
        </w:tc>
      </w:tr>
      <w:tr>
        <w:tc>
          <w:tcPr>
            <w:tcW w:w="1800" w:type="dxa"/>
            <w:shd w:val="clear" w:color="auto" w:fill="EEF4F7"/>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2. Spelling and elongation normalizer</w:t>
            </w:r>
          </w:p>
        </w:tc>
        <w:tc>
          <w:tcPr>
            <w:tcW w:w="3650" w:type="dxa"/>
            <w:shd w:val="clear" w:color="auto" w:fill="EEF4F7"/>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Map acha, accha, achha and acchaaa to a canonical form while preserving emphasis</w:t>
            </w:r>
          </w:p>
        </w:tc>
        <w:tc>
          <w:tcPr>
            <w:tcW w:w="3150" w:type="dxa"/>
            <w:shd w:val="clear" w:color="auto" w:fill="EEF4F7"/>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Strengthens the described transliteration/preprocessing stage</w:t>
            </w:r>
          </w:p>
        </w:tc>
      </w:tr>
      <w:tr>
        <w:tc>
          <w:tcPr>
            <w:tcW w:w="18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3. Contextual emoji + sarcasm</w:t>
            </w:r>
          </w:p>
        </w:tc>
        <w:tc>
          <w:tcPr>
            <w:tcW w:w="365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Use gated fusion and a separate sarcasm head</w:t>
            </w:r>
          </w:p>
        </w:tc>
        <w:tc>
          <w:tcPr>
            <w:tcW w:w="315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Improves the original Emoji2Vec + text idea for conflicting cues</w:t>
            </w:r>
          </w:p>
        </w:tc>
      </w:tr>
      <w:tr>
        <w:tc>
          <w:tcPr>
            <w:tcW w:w="1800" w:type="dxa"/>
            <w:shd w:val="clear" w:color="auto" w:fill="EEF4F7"/>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4. Local Qwen3 4B reviewer</w:t>
            </w:r>
          </w:p>
        </w:tc>
        <w:tc>
          <w:tcPr>
            <w:tcW w:w="3650" w:type="dxa"/>
            <w:shd w:val="clear" w:color="auto" w:fill="EEF4F7"/>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Review only uncertain or sarcastic examples through an open local runtime</w:t>
            </w:r>
          </w:p>
        </w:tc>
        <w:tc>
          <w:tcPr>
            <w:tcW w:w="3150" w:type="dxa"/>
            <w:shd w:val="clear" w:color="auto" w:fill="EEF4F7"/>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Adds reasoning without replacing the fast main classifier</w:t>
            </w:r>
          </w:p>
        </w:tc>
      </w:tr>
      <w:tr>
        <w:tc>
          <w:tcPr>
            <w:tcW w:w="18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5. Stronger evaluation</w:t>
            </w:r>
          </w:p>
        </w:tc>
        <w:tc>
          <w:tcPr>
            <w:tcW w:w="365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Macro-F1, per-class recall, calibration, early stopping and ablations</w:t>
            </w:r>
          </w:p>
        </w:tc>
        <w:tc>
          <w:tcPr>
            <w:tcW w:w="315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Makes the Hinglish results more reliable and easier to defend</w:t>
            </w:r>
          </w:p>
        </w:tc>
      </w:tr>
    </w:tbl>
    <w:p>
      <w:pPr>
        <w:keepNext/>
        <w:jc w:val="left"/>
        <w:spacing w:before="110" w:after="50" w:line="240" w:lineRule="auto"/>
      </w:pPr>
      <w:r>
        <w:rPr>
          <w:rFonts w:ascii="Aptos" w:hAnsi="Aptos"/>
          <w:color w:val="20639B"/>
          <w:sz w:val="22"/>
          <w:szCs w:val="22"/>
          <w:b/>
          <w:bCs/>
        </w:rPr>
        <w:t xml:space="preserve">The normalizer in simple terms</w:t>
      </w:r>
    </w:p>
    <w:tbl>
      <w:tblPr>
        <w:tblW w:w="8600" w:type="dxa"/>
        <w:jc w:val="center"/>
        <w:tblBorders>
          <w:top w:val="single" w:sz="10" w:color="20639B"/>
          <w:left w:val="single" w:sz="10" w:color="20639B"/>
          <w:bottom w:val="single" w:sz="10" w:color="20639B"/>
          <w:right w:val="single" w:sz="10" w:color="20639B"/>
        </w:tblBorders>
      </w:tblPr>
      <w:tblGrid>
        <w:gridCol w:w="8600"/>
      </w:tblGrid>
      <w:tr>
        <w:tc>
          <w:tcPr>
            <w:tcW w:w="8600" w:type="dxa"/>
            <w:shd w:val="clear" w:color="auto" w:fill="E8F1F8"/>
            <w:vAlign w:val="center"/>
            <w:tcMar>
              <w:top w:w="55" w:type="dxa"/>
              <w:left w:w="80" w:type="dxa"/>
              <w:bottom w:w="55" w:type="dxa"/>
              <w:right w:w="80" w:type="dxa"/>
            </w:tcMar>
          </w:tcPr>
          <w:p>
            <w:pPr>
              <w:jc w:val="center"/>
              <w:spacing w:before="0" w:after="10" w:line="240" w:lineRule="auto"/>
            </w:pPr>
            <w:r>
              <w:rPr>
                <w:rFonts w:ascii="Aptos" w:hAnsi="Aptos"/>
                <w:color w:val="263238"/>
                <w:sz w:val="17"/>
                <w:szCs w:val="17"/>
                <w:b/>
                <w:bCs/>
              </w:rPr>
              <w:t xml:space="preserve">Raw token: acchaaa  →  detect repeated letters  →  check Hinglish vocabulary and phonetic variants  →  canonical token: accha + feature: elongated = yes</w:t>
            </w:r>
          </w:p>
        </w:tc>
      </w:tr>
    </w:tbl>
    <w:p>
      <w:pPr>
        <w:jc w:val="both"/>
        <w:spacing w:before="0" w:after="70" w:line="240" w:lineRule="auto"/>
      </w:pPr>
      <w:r>
        <w:rPr>
          <w:rFonts w:ascii="Aptos" w:hAnsi="Aptos"/>
          <w:color w:val="263238"/>
          <w:sz w:val="19"/>
          <w:szCs w:val="19"/>
        </w:rPr>
        <w:t xml:space="preserve">The model receives the normalized token so that spelling noise does not split one word into many forms. It also receives an elongation feature because acchaaa, bohottt or bekaaar may express stronger feeling. Negation is never removed: achhi nahi and achhi should remain different. Unknown words remain unchanged unless the local vocabulary and context support a safe match.</w:t>
      </w:r>
    </w:p>
    <w:p>
      <w:pPr>
        <w:keepNext/>
        <w:jc w:val="left"/>
        <w:spacing w:before="160" w:after="70" w:line="240" w:lineRule="auto"/>
      </w:pPr>
      <w:r>
        <w:rPr>
          <w:rFonts w:ascii="Aptos" w:hAnsi="Aptos"/>
          <w:color w:val="173F5F"/>
          <w:sz w:val="27"/>
          <w:szCs w:val="27"/>
          <w:b/>
          <w:bCs/>
        </w:rPr>
        <w:t xml:space="preserve">4. Local and small-model requirement</w:t>
      </w:r>
    </w:p>
    <w:tbl>
      <w:tblPr>
        <w:tblW w:w="0" w:type="auto"/>
        <w:jc w:val="center"/>
        <w:tblBorders>
          <w:top w:val="single" w:sz="5" w:color="A9BBC7"/>
          <w:left w:val="single" w:sz="5" w:color="A9BBC7"/>
          <w:bottom w:val="single" w:sz="5" w:color="A9BBC7"/>
          <w:right w:val="single" w:sz="5" w:color="A9BBC7"/>
          <w:insideH w:val="single" w:sz="3" w:color="D5E0E6"/>
          <w:insideV w:val="single" w:sz="3" w:color="D5E0E6"/>
        </w:tblBorders>
      </w:tblPr>
      <w:tblGrid>
        <w:gridCol w:w="2200"/>
        <w:gridCol w:w="3700"/>
        <w:gridCol w:w="2700"/>
      </w:tblGrid>
      <w:tr>
        <w:tc>
          <w:tcPr>
            <w:tcW w:w="2200" w:type="dxa"/>
            <w:shd w:val="clear" w:color="auto" w:fill="173F5F"/>
            <w:vAlign w:val="center"/>
            <w:tcMar>
              <w:top w:w="55" w:type="dxa"/>
              <w:left w:w="80" w:type="dxa"/>
              <w:bottom w:w="55" w:type="dxa"/>
              <w:right w:w="80" w:type="dxa"/>
            </w:tcMar>
          </w:tcPr>
          <w:p>
            <w:pPr>
              <w:jc w:val="center"/>
              <w:spacing w:before="0" w:after="10" w:line="240" w:lineRule="auto"/>
            </w:pPr>
            <w:r>
              <w:rPr>
                <w:rFonts w:ascii="Aptos" w:hAnsi="Aptos"/>
                <w:color w:val="FFFFFF"/>
                <w:sz w:val="17"/>
                <w:szCs w:val="17"/>
                <w:b/>
                <w:bCs/>
              </w:rPr>
              <w:t xml:space="preserve">Model</w:t>
            </w:r>
          </w:p>
        </w:tc>
        <w:tc>
          <w:tcPr>
            <w:tcW w:w="3700" w:type="dxa"/>
            <w:shd w:val="clear" w:color="auto" w:fill="173F5F"/>
            <w:vAlign w:val="center"/>
            <w:tcMar>
              <w:top w:w="55" w:type="dxa"/>
              <w:left w:w="80" w:type="dxa"/>
              <w:bottom w:w="55" w:type="dxa"/>
              <w:right w:w="80" w:type="dxa"/>
            </w:tcMar>
          </w:tcPr>
          <w:p>
            <w:pPr>
              <w:jc w:val="center"/>
              <w:spacing w:before="0" w:after="10" w:line="240" w:lineRule="auto"/>
            </w:pPr>
            <w:r>
              <w:rPr>
                <w:rFonts w:ascii="Aptos" w:hAnsi="Aptos"/>
                <w:color w:val="FFFFFF"/>
                <w:sz w:val="17"/>
                <w:szCs w:val="17"/>
                <w:b/>
                <w:bCs/>
              </w:rPr>
              <w:t xml:space="preserve">Role</w:t>
            </w:r>
          </w:p>
        </w:tc>
        <w:tc>
          <w:tcPr>
            <w:tcW w:w="2700" w:type="dxa"/>
            <w:shd w:val="clear" w:color="auto" w:fill="173F5F"/>
            <w:vAlign w:val="center"/>
            <w:tcMar>
              <w:top w:w="55" w:type="dxa"/>
              <w:left w:w="80" w:type="dxa"/>
              <w:bottom w:w="55" w:type="dxa"/>
              <w:right w:w="80" w:type="dxa"/>
            </w:tcMar>
          </w:tcPr>
          <w:p>
            <w:pPr>
              <w:jc w:val="center"/>
              <w:spacing w:before="0" w:after="10" w:line="240" w:lineRule="auto"/>
            </w:pPr>
            <w:r>
              <w:rPr>
                <w:rFonts w:ascii="Aptos" w:hAnsi="Aptos"/>
                <w:color w:val="FFFFFF"/>
                <w:sz w:val="17"/>
                <w:szCs w:val="17"/>
                <w:b/>
                <w:bCs/>
              </w:rPr>
              <w:t xml:space="preserve">Size / local use</w:t>
            </w:r>
          </w:p>
        </w:tc>
      </w:tr>
      <w:tr>
        <w:tc>
          <w:tcPr>
            <w:tcW w:w="22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BERT base</w:t>
            </w:r>
          </w:p>
        </w:tc>
        <w:tc>
          <w:tcPr>
            <w:tcW w:w="37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Existing baseline</w:t>
            </w:r>
          </w:p>
        </w:tc>
        <w:tc>
          <w:tcPr>
            <w:tcW w:w="27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About 110M parameters; local</w:t>
            </w:r>
          </w:p>
        </w:tc>
      </w:tr>
      <w:tr>
        <w:tc>
          <w:tcPr>
            <w:tcW w:w="2200" w:type="dxa"/>
            <w:shd w:val="clear" w:color="auto" w:fill="EEF4F7"/>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RoBERTa base</w:t>
            </w:r>
          </w:p>
        </w:tc>
        <w:tc>
          <w:tcPr>
            <w:tcW w:w="3700" w:type="dxa"/>
            <w:shd w:val="clear" w:color="auto" w:fill="EEF4F7"/>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Existing baseline</w:t>
            </w:r>
          </w:p>
        </w:tc>
        <w:tc>
          <w:tcPr>
            <w:tcW w:w="2700" w:type="dxa"/>
            <w:shd w:val="clear" w:color="auto" w:fill="EEF4F7"/>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About 125M parameters; local</w:t>
            </w:r>
          </w:p>
        </w:tc>
      </w:tr>
      <w:tr>
        <w:tc>
          <w:tcPr>
            <w:tcW w:w="22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mBERT / MuRIL</w:t>
            </w:r>
          </w:p>
        </w:tc>
        <w:tc>
          <w:tcPr>
            <w:tcW w:w="37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Multilingual and Indic candidates</w:t>
            </w:r>
          </w:p>
        </w:tc>
        <w:tc>
          <w:tcPr>
            <w:tcW w:w="27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About 110M parameters; local</w:t>
            </w:r>
          </w:p>
        </w:tc>
      </w:tr>
      <w:tr>
        <w:tc>
          <w:tcPr>
            <w:tcW w:w="2200" w:type="dxa"/>
            <w:shd w:val="clear" w:color="auto" w:fill="EEF4F7"/>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XLM-R base</w:t>
            </w:r>
          </w:p>
        </w:tc>
        <w:tc>
          <w:tcPr>
            <w:tcW w:w="3700" w:type="dxa"/>
            <w:shd w:val="clear" w:color="auto" w:fill="EEF4F7"/>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Multilingual comparison</w:t>
            </w:r>
          </w:p>
        </w:tc>
        <w:tc>
          <w:tcPr>
            <w:tcW w:w="2700" w:type="dxa"/>
            <w:shd w:val="clear" w:color="auto" w:fill="EEF4F7"/>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About 270M parameters; local</w:t>
            </w:r>
          </w:p>
        </w:tc>
      </w:tr>
      <w:tr>
        <w:tc>
          <w:tcPr>
            <w:tcW w:w="22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Qwen3 4B Instruct</w:t>
            </w:r>
          </w:p>
        </w:tc>
        <w:tc>
          <w:tcPr>
            <w:tcW w:w="37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Reviewer for routed difficult cases</w:t>
            </w:r>
          </w:p>
        </w:tc>
        <w:tc>
          <w:tcPr>
            <w:tcW w:w="27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4B parameters; Apache 2.0; local in 4-bit form</w:t>
            </w:r>
          </w:p>
        </w:tc>
      </w:tr>
    </w:tbl>
    <w:p>
      <w:pPr>
        <w:jc w:val="both"/>
        <w:spacing w:before="0" w:after="70" w:line="240" w:lineRule="auto"/>
      </w:pPr>
      <w:r>
        <w:rPr>
          <w:rFonts w:ascii="Aptos" w:hAnsi="Aptos"/>
          <w:color w:val="263238"/>
          <w:sz w:val="19"/>
          <w:szCs w:val="19"/>
        </w:rPr>
        <w:t xml:space="preserve">Qwen is not called for every sentence. The primary encoder handles ordinary inputs quickly. A routing rule sends a message to Qwen only when confidence is low, the sarcasm score is high, or text and emoji signals disagree. This keeps the design practical for a free local computer setup and makes the contribution testable.</w:t>
      </w:r>
    </w:p>
    <w:p>
      <w:pPr>
        <w:keepNext/>
        <w:jc w:val="left"/>
        <w:spacing w:before="160" w:after="70" w:line="240" w:lineRule="auto"/>
      </w:pPr>
      <w:r>
        <w:rPr>
          <w:rFonts w:ascii="Aptos" w:hAnsi="Aptos"/>
          <w:color w:val="173F5F"/>
          <w:sz w:val="27"/>
          <w:szCs w:val="27"/>
          <w:b/>
          <w:bCs/>
        </w:rPr>
        <w:t xml:space="preserve">5. Evaluation plan</w:t>
      </w:r>
    </w:p>
    <w:tbl>
      <w:tblPr>
        <w:tblW w:w="8600" w:type="dxa"/>
        <w:jc w:val="center"/>
        <w:tblBorders>
          <w:top w:val="single" w:sz="10" w:color="7A5195"/>
          <w:left w:val="single" w:sz="10" w:color="7A5195"/>
          <w:bottom w:val="single" w:sz="10" w:color="7A5195"/>
          <w:right w:val="single" w:sz="10" w:color="7A5195"/>
        </w:tblBorders>
      </w:tblPr>
      <w:tblGrid>
        <w:gridCol w:w="8600"/>
      </w:tblGrid>
      <w:tr>
        <w:tc>
          <w:tcPr>
            <w:tcW w:w="8600" w:type="dxa"/>
            <w:shd w:val="clear" w:color="auto" w:fill="F3ECFA"/>
            <w:vAlign w:val="center"/>
            <w:tcMar>
              <w:top w:w="55" w:type="dxa"/>
              <w:left w:w="80" w:type="dxa"/>
              <w:bottom w:w="55" w:type="dxa"/>
              <w:right w:w="80" w:type="dxa"/>
            </w:tcMar>
          </w:tcPr>
          <w:p>
            <w:pPr>
              <w:jc w:val="center"/>
              <w:spacing w:before="0" w:after="10" w:line="240" w:lineRule="auto"/>
            </w:pPr>
            <w:r>
              <w:rPr>
                <w:rFonts w:ascii="Aptos" w:hAnsi="Aptos"/>
                <w:color w:val="263238"/>
                <w:sz w:val="17"/>
                <w:szCs w:val="17"/>
                <w:b/>
                <w:bCs/>
              </w:rPr>
              <w:t xml:space="preserve">Baseline BERT/RoBERTa  →  multilingual encoder  →  normalizer  →  emoji + sarcasm layer  →  routed Qwen review  →  compare every stage</w:t>
            </w:r>
          </w:p>
        </w:tc>
      </w:tr>
    </w:tbl>
    <w:tbl>
      <w:tblPr>
        <w:tblW w:w="0" w:type="auto"/>
        <w:jc w:val="center"/>
        <w:tblBorders>
          <w:top w:val="single" w:sz="5" w:color="A9BBC7"/>
          <w:left w:val="single" w:sz="5" w:color="A9BBC7"/>
          <w:bottom w:val="single" w:sz="5" w:color="A9BBC7"/>
          <w:right w:val="single" w:sz="5" w:color="A9BBC7"/>
          <w:insideH w:val="single" w:sz="3" w:color="D5E0E6"/>
          <w:insideV w:val="single" w:sz="3" w:color="D5E0E6"/>
        </w:tblBorders>
      </w:tblPr>
      <w:tblGrid>
        <w:gridCol w:w="3100"/>
        <w:gridCol w:w="5500"/>
      </w:tblGrid>
      <w:tr>
        <w:tc>
          <w:tcPr>
            <w:tcW w:w="3100" w:type="dxa"/>
            <w:shd w:val="clear" w:color="auto" w:fill="173F5F"/>
            <w:vAlign w:val="center"/>
            <w:tcMar>
              <w:top w:w="55" w:type="dxa"/>
              <w:left w:w="80" w:type="dxa"/>
              <w:bottom w:w="55" w:type="dxa"/>
              <w:right w:w="80" w:type="dxa"/>
            </w:tcMar>
          </w:tcPr>
          <w:p>
            <w:pPr>
              <w:jc w:val="center"/>
              <w:spacing w:before="0" w:after="10" w:line="240" w:lineRule="auto"/>
            </w:pPr>
            <w:r>
              <w:rPr>
                <w:rFonts w:ascii="Aptos" w:hAnsi="Aptos"/>
                <w:color w:val="FFFFFF"/>
                <w:sz w:val="17"/>
                <w:szCs w:val="17"/>
                <w:b/>
                <w:bCs/>
              </w:rPr>
              <w:t xml:space="preserve">Measure</w:t>
            </w:r>
          </w:p>
        </w:tc>
        <w:tc>
          <w:tcPr>
            <w:tcW w:w="5500" w:type="dxa"/>
            <w:shd w:val="clear" w:color="auto" w:fill="173F5F"/>
            <w:vAlign w:val="center"/>
            <w:tcMar>
              <w:top w:w="55" w:type="dxa"/>
              <w:left w:w="80" w:type="dxa"/>
              <w:bottom w:w="55" w:type="dxa"/>
              <w:right w:w="80" w:type="dxa"/>
            </w:tcMar>
          </w:tcPr>
          <w:p>
            <w:pPr>
              <w:jc w:val="center"/>
              <w:spacing w:before="0" w:after="10" w:line="240" w:lineRule="auto"/>
            </w:pPr>
            <w:r>
              <w:rPr>
                <w:rFonts w:ascii="Aptos" w:hAnsi="Aptos"/>
                <w:color w:val="FFFFFF"/>
                <w:sz w:val="17"/>
                <w:szCs w:val="17"/>
                <w:b/>
                <w:bCs/>
              </w:rPr>
              <w:t xml:space="preserve">Question it answers</w:t>
            </w:r>
          </w:p>
        </w:tc>
      </w:tr>
      <w:tr>
        <w:tc>
          <w:tcPr>
            <w:tcW w:w="31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Macro-F1 and per-class recall</w:t>
            </w:r>
          </w:p>
        </w:tc>
        <w:tc>
          <w:tcPr>
            <w:tcW w:w="55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Does the model handle negative, neutral and positive classes fairly?</w:t>
            </w:r>
          </w:p>
        </w:tc>
      </w:tr>
      <w:tr>
        <w:tc>
          <w:tcPr>
            <w:tcW w:w="3100" w:type="dxa"/>
            <w:shd w:val="clear" w:color="auto" w:fill="EEF4F7"/>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Variation consistency</w:t>
            </w:r>
          </w:p>
        </w:tc>
        <w:tc>
          <w:tcPr>
            <w:tcW w:w="5500" w:type="dxa"/>
            <w:shd w:val="clear" w:color="auto" w:fill="EEF4F7"/>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Do acha, accha, achha and acchaaa receive compatible predictions?</w:t>
            </w:r>
          </w:p>
        </w:tc>
      </w:tr>
      <w:tr>
        <w:tc>
          <w:tcPr>
            <w:tcW w:w="31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Sentiment-flip accuracy</w:t>
            </w:r>
          </w:p>
        </w:tc>
        <w:tc>
          <w:tcPr>
            <w:tcW w:w="55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Does adding nahi or a contradictory emoji change the prediction correctly?</w:t>
            </w:r>
          </w:p>
        </w:tc>
      </w:tr>
      <w:tr>
        <w:tc>
          <w:tcPr>
            <w:tcW w:w="3100" w:type="dxa"/>
            <w:shd w:val="clear" w:color="auto" w:fill="EEF4F7"/>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Sarcasm F1</w:t>
            </w:r>
          </w:p>
        </w:tc>
        <w:tc>
          <w:tcPr>
            <w:tcW w:w="5500" w:type="dxa"/>
            <w:shd w:val="clear" w:color="auto" w:fill="EEF4F7"/>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Does the new sarcasm branch add measurable value?</w:t>
            </w:r>
          </w:p>
        </w:tc>
      </w:tr>
      <w:tr>
        <w:tc>
          <w:tcPr>
            <w:tcW w:w="31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Calibration and routing rate</w:t>
            </w:r>
          </w:p>
        </w:tc>
        <w:tc>
          <w:tcPr>
            <w:tcW w:w="5500" w:type="dxa"/>
            <w:shd w:val="clear" w:color="auto" w:fill="FFFFFF"/>
            <w:vAlign w:val="center"/>
            <w:tcMar>
              <w:top w:w="55" w:type="dxa"/>
              <w:left w:w="80" w:type="dxa"/>
              <w:bottom w:w="55" w:type="dxa"/>
              <w:right w:w="80" w:type="dxa"/>
            </w:tcMar>
          </w:tcPr>
          <w:p>
            <w:pPr>
              <w:jc w:val="left"/>
              <w:spacing w:before="0" w:after="10" w:line="240" w:lineRule="auto"/>
            </w:pPr>
            <w:r>
              <w:rPr>
                <w:rFonts w:ascii="Aptos" w:hAnsi="Aptos"/>
                <w:color w:val="263238"/>
                <w:sz w:val="17"/>
                <w:szCs w:val="17"/>
              </w:rPr>
              <w:t xml:space="preserve">Are confidence values reliable, and how often is Qwen actually needed?</w:t>
            </w:r>
          </w:p>
        </w:tc>
      </w:tr>
    </w:tbl>
    <w:p>
      <w:pPr>
        <w:jc w:val="both"/>
        <w:spacing w:before="0" w:after="70" w:line="240" w:lineRule="auto"/>
      </w:pPr>
      <w:r>
        <w:rPr>
          <w:rFonts w:ascii="Aptos" w:hAnsi="Aptos"/>
          <w:color w:val="263238"/>
          <w:sz w:val="19"/>
          <w:szCs w:val="19"/>
        </w:rPr>
        <w:t xml:space="preserve">The final report should describe improvements only when the ablation results support them. This keeps the project grounded in the original paper while giving it a clearer and more defensible contribution.</w:t>
      </w:r>
    </w:p>
    <w:p>
      <w:pPr>
        <w:keepNext/>
        <w:jc w:val="left"/>
        <w:spacing w:before="160" w:after="70" w:line="240" w:lineRule="auto"/>
      </w:pPr>
      <w:r>
        <w:rPr>
          <w:rFonts w:ascii="Aptos" w:hAnsi="Aptos"/>
          <w:color w:val="173F5F"/>
          <w:sz w:val="27"/>
          <w:szCs w:val="27"/>
          <w:b/>
          <w:bCs/>
        </w:rPr>
        <w:t xml:space="preserve">References</w:t>
      </w:r>
    </w:p>
    <w:p>
      <w:pPr>
        <w:jc w:val="left"/>
        <w:spacing w:before="0" w:after="0" w:line="240" w:lineRule="auto"/>
      </w:pPr>
      <w:r>
        <w:rPr>
          <w:rFonts w:ascii="Aptos" w:hAnsi="Aptos"/>
          <w:color w:val="4F6673"/>
          <w:sz w:val="16"/>
          <w:szCs w:val="16"/>
        </w:rPr>
        <w:t xml:space="preserve">Devlin et al. (2019), BERT.  Liu et al. (2019), RoBERTa.  Khanuja et al. (2021), MuRIL.  Conneau et al. (2020), XLM-R.  Qwen Team (2025), Qwen3 4B Instruct.  Qwen3 4B and MuRIL checkpoints are published under Apache 2.0 licences.</w:t>
      </w:r>
    </w:p>
    <w:sectPr>
      <w:pgSz w:w="12240" w:h="15840"/>
      <w:pgMar w:top="650" w:right="720" w:bottom="650" w:left="720" w:header="300" w:footer="300" w:gutter="0"/>
      <w:cols w:space="45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Improvements to English–Hinglish Emotion Detection</dc:title>
  <dc:subject>Local Hinglish sentiment, emoji and sarcasm analysis</dc:subject>
  <dc:creator>Research Project Team</dc:creator>
  <cp:keywords>Hinglish; sentiment analysis; MuRIL; Qwen; sarcasm; emoji</cp:keywords>
  <dc:description>Revised proposal with five focused improvements and editable Word-native flow diagrams.</dc:description>
  <cp:lastModifiedBy>Research Project Team</cp:lastModifiedBy>
  <dcterms:created xsi:type="dcterms:W3CDTF">2026-09-08T00:00:00Z</dcterms:created>
  <dcterms:modified xsi:type="dcterms:W3CDTF">2026-09-08T00:00:00Z</dcterms:modified>
</cp:coreProperties>
</file>