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ОБРАЗЕЦ</w:t>
      </w:r>
    </w:p>
    <w:p>
      <w:pPr>
        <w:jc w:val="right"/>
      </w:pPr>
      <w:r>
        <w:rPr>
          <w:b/>
        </w:rPr>
        <w:t>«УТВЕРЖДАЮ»</w:t>
      </w:r>
    </w:p>
    <w:p>
      <w:pPr>
        <w:jc w:val="right"/>
      </w:pPr>
      <w:r>
        <w:rPr>
          <w:b/>
        </w:rPr>
        <w:t>Заместитель руководитель ДЭР</w:t>
      </w:r>
    </w:p>
    <w:p>
      <w:pPr>
        <w:jc w:val="right"/>
      </w:pPr>
      <w:r>
        <w:t>____________________________</w:t>
      </w:r>
    </w:p>
    <w:p>
      <w:pPr>
        <w:jc w:val="right"/>
      </w:pPr>
      <w:r>
        <w:t>____________________________</w:t>
      </w:r>
    </w:p>
    <w:p>
      <w:pPr>
        <w:jc w:val="right"/>
      </w:pPr>
      <w:r>
        <w:t>«_______» ____________________ 2023 г.</w:t>
      </w:r>
    </w:p>
    <w:p/>
    <w:p>
      <w:pPr>
        <w:jc w:val="center"/>
      </w:pPr>
      <w:r>
        <w:rPr>
          <w:b/>
        </w:rPr>
        <w:t>ПЛАН</w:t>
      </w:r>
    </w:p>
    <w:p>
      <w:pPr>
        <w:jc w:val="center"/>
      </w:pPr>
      <w:r>
        <w:t>параллельного финансового расследования уголовного дела №237100121000075 по факту Руководство компании осуществляет незаконную деятельность по извлечению имущественной выгоды путем привлечения граждан в финансовую пирамиду «Е» (конфиденциальное событие). В этой связи, предварительно усматриваются признаки состава уголовного правонарушения пред усмотренного ст. 217 ч.2 п.1 У К РК по ст. 217 ч.2 п.1.</w:t>
      </w:r>
    </w:p>
    <w:p>
      <w:pPr>
        <w:jc w:val="right"/>
      </w:pPr>
      <w:r>
        <w:t>2023 г.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4896"/>
        <w:gridCol w:w="3312"/>
        <w:gridCol w:w="1440"/>
      </w:tblGrid>
      <w:tr>
        <w:tc>
          <w:tcPr>
            <w:tcW w:type="dxa" w:w="2556"/>
            <w:vAlign w:val="center"/>
          </w:tcPr>
          <w:p>
            <w:pPr>
              <w:jc w:val="center"/>
            </w:pPr>
            <w:r>
              <w:rPr>
                <w:b/>
              </w:rPr>
              <w:t>№ п.п.</w:t>
            </w:r>
          </w:p>
        </w:tc>
        <w:tc>
          <w:tcPr>
            <w:tcW w:type="dxa" w:w="2556"/>
            <w:vAlign w:val="center"/>
          </w:tcPr>
          <w:p>
            <w:pPr>
              <w:jc w:val="center"/>
            </w:pPr>
            <w:r>
              <w:rPr>
                <w:b/>
              </w:rPr>
              <w:t>Следственные действия</w:t>
            </w:r>
          </w:p>
        </w:tc>
        <w:tc>
          <w:tcPr>
            <w:tcW w:type="dxa" w:w="2556"/>
            <w:vAlign w:val="center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  <w:tc>
          <w:tcPr>
            <w:tcW w:type="dxa" w:w="2556"/>
            <w:vAlign w:val="center"/>
          </w:tcPr>
          <w:p>
            <w:pPr>
              <w:jc w:val="center"/>
            </w:pPr>
            <w:r>
              <w:rPr>
                <w:b/>
              </w:rPr>
              <w:t>Срок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Определить круг лиц, которые подлежат к проверке (проверяемые лица: фигуранты, их супруг (а) и близкие родственники, близкие родственники супруга (и), подконтрольные юридические и физические лица)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Проверка по базе данных СИОПСО (недвижимое имущество, транспорт, юрлица, пересечение границы, Е-Нотариат, сельхозтехника и т.д.)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15-60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Анализ по истории регистрации имущества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15-60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Запрос в адрес операторов сотовой связи о предоставлении сведения о зарегистрированных телефонных номерах, с их привязкой к личным кабинетам и другим платежным системам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Запрос о регистрации и наличии активов на платформе Binance и др.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Запрос в АО "Центральный депозитарий ценных бумаг"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Установление наличия личных кабинетов и транзакций по платежным системам (Qiwi, Касса24 и др.), анализ движения денежных средств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15-60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Установление наличия учетных записей проверяемых лиц (фигуранты и их близкие родственники) в социальных сетях «Instagram», «Tik-Tok», «Facebook», «ВКонтакте», «Одноклассники» и других (о фактически используемом имуществе, о часто посещаемых странах, в которых проверяемое лицо может иметь имущество)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Поиск в поисковых системах Google, Yandex и других (для поиска объявлений о продаже (сдаче в аренду) имущества, в которых указан контактный номер, используемый проверяемым лицом, о недвижимости и транспортных средствах, которыми оно фактически распоряжается)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Анализ электронного судебного кабинета Республики Казахстан www.office.sud.kz (сведения о делах с участием проверяемого лица либо принадлежащих ему юридических лиц для поиска возможно содержащихся данных об имуществе).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15-60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Допрос собственников, и бывших владельцев имущества, арендополучателей, работодателей и т.д.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Выемка у нотариуса, МЮ, ЦОН, Каз-телеком и т.д.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30-90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Направить запрос в подразделение финразведки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Выемка / обыск (установленные предметы и документы содержащие сведения, указывающие на наличие дохода)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30-90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Осмотр места происшествия, жилых и нежилых помещении, транспорта, спецтехники и т.д.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30-90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Осмотр изъятых/установленных предметов и документов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30-90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Допрос бухгалтеров, кассиров и иных лиц, с помощью которых проводились финоперации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Допрос основных фигурантов (подозреваемый, потерпевший, свидетель имеющий право на защиту)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1-30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Провести судебно-экономическую экспертизу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15-60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Наложить ограничение на имущество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15-45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Наложить арест на имущество, добытое престуным путем (сумма)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15-45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Установить сумму вовлеченных в законный оборот денег и (или) имущества, полученных преступным путем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90-120</w:t>
            </w:r>
          </w:p>
        </w:tc>
      </w:tr>
      <w:tr>
        <w:tc>
          <w:tcPr>
            <w:tcW w:type="dxa" w:w="576"/>
            <w:vAlign w:val="top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4896"/>
            <w:vAlign w:val="top"/>
          </w:tcPr>
          <w:p>
            <w:pPr>
              <w:jc w:val="left"/>
            </w:pPr>
            <w:r>
              <w:t>Установить сумму доходов, полученных от вовлеченных в законный оборот денег и имущества, полученных преступным путем</w:t>
            </w:r>
          </w:p>
        </w:tc>
        <w:tc>
          <w:tcPr>
            <w:tcW w:type="dxa" w:w="3312"/>
            <w:vAlign w:val="top"/>
          </w:tcPr>
          <w:p>
            <w:pPr>
              <w:jc w:val="left"/>
            </w:pPr>
            <w:r>
              <w:t>Следователь по ОВД 2-го Следственного управления Департамента экономических расследований по г. Астана Агентства по финансовому мониторингу РК Сарсенбаев М.Р.</w:t>
            </w:r>
          </w:p>
        </w:tc>
        <w:tc>
          <w:tcPr>
            <w:tcW w:type="dxa" w:w="1440"/>
            <w:vAlign w:val="top"/>
          </w:tcPr>
          <w:p>
            <w:pPr>
              <w:jc w:val="left"/>
            </w:pPr>
            <w:r>
              <w:t>Дни 90-120</w:t>
            </w:r>
          </w:p>
        </w:tc>
      </w:tr>
    </w:tbl>
    <w:p/>
    <w:p>
      <w:r>
        <w:t>Следственное действие должно раскрывать цель его проведения, участников и сроки исполнения, при этом, следственные мероприятия необходимо группировать по направлениям исследований.</w:t>
      </w:r>
    </w:p>
    <w:p>
      <w:r>
        <w:t>При этом, каждое планируемое следственное действие и мероприятие должны быть отражены раздельно.</w:t>
      </w:r>
    </w:p>
    <w:p/>
    <w:p>
      <w:r>
        <w:t>Данные следственные действия не являются исчерпывающими, по мере необходимости провести и другие следственно-оперативные мероприятия с составлением дополнительного плана.</w:t>
      </w:r>
    </w:p>
    <w:p/>
    <w:p>
      <w:pPr>
        <w:jc w:val="left"/>
      </w:pPr>
      <w:r>
        <w:rPr>
          <w:b/>
        </w:rPr>
        <w:t>Следователь</w:t>
      </w:r>
    </w:p>
    <w:p>
      <w:pPr>
        <w:jc w:val="left"/>
      </w:pPr>
      <w:r>
        <w:t>____________________________</w:t>
      </w:r>
    </w:p>
    <w:p/>
    <w:p>
      <w:pPr>
        <w:jc w:val="left"/>
      </w:pPr>
      <w:r>
        <w:rPr>
          <w:b/>
        </w:rPr>
        <w:t>«Согласовано»</w:t>
      </w:r>
    </w:p>
    <w:p>
      <w:pPr>
        <w:jc w:val="left"/>
      </w:pPr>
      <w:r>
        <w:rPr>
          <w:b/>
        </w:rPr>
        <w:t>Руководитель СУ</w:t>
      </w:r>
    </w:p>
    <w:p>
      <w:pPr>
        <w:jc w:val="left"/>
      </w:pPr>
      <w:r>
        <w:t>____________________________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