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7FAFE5DC">
      <w:pPr>
        <w:jc w:val="center"/>
        <w:rPr>
          <w:rFonts w:ascii="Times New Roman" w:hAnsi="Times New Roman" w:eastAsiaTheme="majorEastAsia"/>
          <w:sz w:val="36"/>
          <w:szCs w:val="36"/>
        </w:rPr>
      </w:pPr>
    </w:p>
    <w:p w14:paraId="24B4835D">
      <w:pPr>
        <w:jc w:val="center"/>
        <w:rPr>
          <w:rFonts w:ascii="Times New Roman" w:hAnsi="Times New Roman" w:eastAsiaTheme="majorEastAsia"/>
          <w:sz w:val="36"/>
          <w:szCs w:val="36"/>
        </w:rPr>
      </w:pPr>
    </w:p>
    <w:p w14:paraId="052B4833">
      <w:pPr>
        <w:jc w:val="center"/>
        <w:rPr>
          <w:rFonts w:ascii="Times New Roman" w:hAnsi="Times New Roman" w:eastAsiaTheme="majorEastAsia"/>
          <w:sz w:val="36"/>
          <w:szCs w:val="36"/>
        </w:rPr>
      </w:pPr>
    </w:p>
    <w:p w14:paraId="0001AAA8">
      <w:pPr>
        <w:jc w:val="center"/>
        <w:rPr>
          <w:rFonts w:ascii="Times New Roman" w:hAnsi="Times New Roman" w:eastAsiaTheme="majorEastAsia"/>
          <w:sz w:val="36"/>
          <w:szCs w:val="36"/>
        </w:rPr>
      </w:pPr>
    </w:p>
    <w:p w14:paraId="04A31355">
      <w:pPr>
        <w:jc w:val="center"/>
        <w:rPr>
          <w:rFonts w:ascii="Times New Roman" w:hAnsi="Times New Roman" w:eastAsiaTheme="majorEastAsia"/>
          <w:sz w:val="36"/>
          <w:szCs w:val="36"/>
        </w:rPr>
      </w:pPr>
    </w:p>
    <w:p w14:paraId="54F92D79">
      <w:pPr>
        <w:jc w:val="center"/>
        <w:rPr>
          <w:rFonts w:ascii="Times New Roman" w:hAnsi="Times New Roman" w:eastAsiaTheme="majorEastAsia"/>
          <w:sz w:val="36"/>
          <w:szCs w:val="36"/>
        </w:rPr>
      </w:pPr>
    </w:p>
    <w:p w14:paraId="1C786BB1">
      <w:pPr>
        <w:jc w:val="center"/>
        <w:rPr>
          <w:rFonts w:ascii="Times New Roman" w:hAnsi="Times New Roman" w:eastAsiaTheme="majorEastAsia"/>
          <w:sz w:val="36"/>
          <w:szCs w:val="36"/>
        </w:rPr>
      </w:pPr>
    </w:p>
    <w:p w14:paraId="6D5D054A">
      <w:pPr>
        <w:jc w:val="center"/>
        <w:rPr>
          <w:rFonts w:ascii="Times New Roman" w:hAnsi="Times New Roman" w:eastAsiaTheme="majorEastAsia"/>
          <w:sz w:val="36"/>
          <w:szCs w:val="36"/>
        </w:rPr>
      </w:pPr>
    </w:p>
    <w:p w14:paraId="6645A6C5">
      <w:pPr>
        <w:jc w:val="center"/>
        <w:rPr>
          <w:rFonts w:ascii="Times New Roman" w:hAnsi="Times New Roman" w:eastAsiaTheme="majorEastAsia"/>
          <w:sz w:val="36"/>
          <w:szCs w:val="36"/>
        </w:rPr>
      </w:pPr>
    </w:p>
    <w:p w14:paraId="172F4278">
      <w:pPr>
        <w:jc w:val="center"/>
        <w:rPr>
          <w:rFonts w:ascii="Times New Roman" w:hAnsi="Times New Roman" w:eastAsiaTheme="majorEastAsia"/>
          <w:sz w:val="36"/>
          <w:szCs w:val="36"/>
        </w:rPr>
      </w:pPr>
      <w:r>
        <w:rPr>
          <w:rFonts w:hint="default" w:ascii="Times New Roman" w:hAnsi="Times New Roman" w:eastAsiaTheme="majorEastAsia"/>
          <w:sz w:val="36"/>
          <w:szCs w:val="36"/>
          <w:lang w:val="en-US"/>
        </w:rPr>
        <w:t>xx</w:t>
      </w:r>
      <w:r>
        <w:rPr>
          <w:rFonts w:ascii="Times New Roman" w:hAnsi="Times New Roman" w:eastAsiaTheme="majorEastAsia"/>
          <w:sz w:val="36"/>
          <w:szCs w:val="36"/>
        </w:rPr>
        <w:t>数字银行</w:t>
      </w:r>
      <w:r>
        <w:rPr>
          <w:rFonts w:hint="eastAsia" w:ascii="Times New Roman" w:hAnsi="Times New Roman" w:eastAsiaTheme="majorEastAsia"/>
          <w:sz w:val="36"/>
          <w:szCs w:val="36"/>
        </w:rPr>
        <w:t>网络变更流程</w:t>
      </w:r>
    </w:p>
    <w:p w14:paraId="78A3FD85">
      <w:pPr>
        <w:jc w:val="center"/>
        <w:rPr>
          <w:rFonts w:ascii="Times New Roman" w:hAnsi="Times New Roman" w:eastAsiaTheme="majorEastAsia"/>
          <w:sz w:val="36"/>
          <w:szCs w:val="36"/>
        </w:rPr>
      </w:pPr>
    </w:p>
    <w:p w14:paraId="5280863C">
      <w:pPr>
        <w:jc w:val="center"/>
        <w:rPr>
          <w:rFonts w:ascii="Times New Roman" w:hAnsi="Times New Roman" w:eastAsiaTheme="majorEastAsia"/>
          <w:sz w:val="36"/>
          <w:szCs w:val="36"/>
        </w:rPr>
      </w:pPr>
    </w:p>
    <w:p w14:paraId="12F86383">
      <w:pPr>
        <w:jc w:val="center"/>
        <w:rPr>
          <w:rFonts w:ascii="Times New Roman" w:hAnsi="Times New Roman" w:eastAsiaTheme="majorEastAsia"/>
          <w:sz w:val="36"/>
          <w:szCs w:val="36"/>
        </w:rPr>
      </w:pPr>
    </w:p>
    <w:p w14:paraId="30973CC6">
      <w:pPr>
        <w:jc w:val="center"/>
        <w:rPr>
          <w:rFonts w:ascii="Times New Roman" w:hAnsi="Times New Roman" w:eastAsiaTheme="majorEastAsia"/>
          <w:sz w:val="36"/>
          <w:szCs w:val="36"/>
        </w:rPr>
      </w:pPr>
    </w:p>
    <w:p w14:paraId="2518AA59">
      <w:pPr>
        <w:jc w:val="center"/>
        <w:rPr>
          <w:rFonts w:ascii="Times New Roman" w:hAnsi="Times New Roman" w:eastAsiaTheme="majorEastAsia"/>
          <w:sz w:val="36"/>
          <w:szCs w:val="36"/>
        </w:rPr>
      </w:pPr>
    </w:p>
    <w:p w14:paraId="61D769BA">
      <w:pPr>
        <w:jc w:val="center"/>
        <w:rPr>
          <w:rFonts w:ascii="Times New Roman" w:hAnsi="Times New Roman" w:eastAsiaTheme="majorEastAsia"/>
          <w:sz w:val="36"/>
          <w:szCs w:val="36"/>
        </w:rPr>
      </w:pPr>
    </w:p>
    <w:p w14:paraId="30ADFF13">
      <w:pPr>
        <w:jc w:val="center"/>
        <w:rPr>
          <w:rFonts w:ascii="Times New Roman" w:hAnsi="Times New Roman" w:eastAsiaTheme="majorEastAsia"/>
          <w:sz w:val="36"/>
          <w:szCs w:val="36"/>
        </w:rPr>
      </w:pPr>
      <w:r>
        <w:rPr>
          <w:rFonts w:hint="default" w:ascii="Times New Roman" w:hAnsi="Times New Roman" w:eastAsiaTheme="majorEastAsia"/>
          <w:sz w:val="36"/>
          <w:szCs w:val="36"/>
          <w:lang w:val="en-US"/>
        </w:rPr>
        <w:t>xx</w:t>
      </w:r>
      <w:r>
        <w:rPr>
          <w:rFonts w:ascii="Times New Roman" w:hAnsi="Times New Roman" w:eastAsiaTheme="majorEastAsia"/>
          <w:sz w:val="36"/>
          <w:szCs w:val="36"/>
        </w:rPr>
        <w:t>信息</w:t>
      </w:r>
    </w:p>
    <w:p w14:paraId="7D16F60B">
      <w:pPr>
        <w:widowControl/>
        <w:jc w:val="left"/>
        <w:rPr>
          <w:rFonts w:ascii="Times New Roman" w:hAnsi="Times New Roman" w:eastAsiaTheme="majorEastAsia"/>
          <w:sz w:val="36"/>
          <w:szCs w:val="36"/>
        </w:rPr>
      </w:pPr>
      <w:bookmarkStart w:id="26" w:name="_GoBack"/>
      <w:bookmarkEnd w:id="26"/>
      <w:r>
        <w:rPr>
          <w:rFonts w:ascii="Times New Roman" w:hAnsi="Times New Roman" w:eastAsiaTheme="majorEastAsia"/>
          <w:sz w:val="36"/>
          <w:szCs w:val="36"/>
        </w:rPr>
        <w:br w:type="page"/>
      </w:r>
    </w:p>
    <w:p w14:paraId="5133FDFF">
      <w:pPr>
        <w:autoSpaceDE w:val="0"/>
        <w:autoSpaceDN w:val="0"/>
        <w:jc w:val="center"/>
        <w:rPr>
          <w:rFonts w:cs="仿宋" w:asciiTheme="minorEastAsia" w:hAnsiTheme="minorEastAsia"/>
          <w:b/>
          <w:sz w:val="72"/>
          <w:lang w:val="zh-CN"/>
        </w:rPr>
      </w:pPr>
      <w:r>
        <w:rPr>
          <w:rFonts w:hint="eastAsia" w:cs="仿宋" w:asciiTheme="minorEastAsia" w:hAnsiTheme="minorEastAsia"/>
          <w:b/>
          <w:sz w:val="32"/>
          <w:lang w:val="zh-CN"/>
        </w:rPr>
        <w:t>文档修订记录</w:t>
      </w:r>
    </w:p>
    <w:tbl>
      <w:tblPr>
        <w:tblStyle w:val="9"/>
        <w:tblW w:w="8339" w:type="dxa"/>
        <w:jc w:val="center"/>
        <w:tblLayout w:type="fixed"/>
        <w:tblCellMar>
          <w:top w:w="0" w:type="dxa"/>
          <w:left w:w="108" w:type="dxa"/>
          <w:bottom w:w="0" w:type="dxa"/>
          <w:right w:w="108" w:type="dxa"/>
        </w:tblCellMar>
      </w:tblPr>
      <w:tblGrid>
        <w:gridCol w:w="1289"/>
        <w:gridCol w:w="1425"/>
        <w:gridCol w:w="1395"/>
        <w:gridCol w:w="2551"/>
        <w:gridCol w:w="1679"/>
      </w:tblGrid>
      <w:tr w14:paraId="73F9BA5C">
        <w:trPr>
          <w:jc w:val="center"/>
        </w:trPr>
        <w:tc>
          <w:tcPr>
            <w:tcW w:w="1289" w:type="dxa"/>
            <w:tcBorders>
              <w:top w:val="single" w:color="auto" w:sz="6" w:space="0"/>
              <w:left w:val="single" w:color="auto" w:sz="6" w:space="0"/>
              <w:bottom w:val="single" w:color="auto" w:sz="6" w:space="0"/>
              <w:right w:val="single" w:color="auto" w:sz="6" w:space="0"/>
            </w:tcBorders>
          </w:tcPr>
          <w:p w14:paraId="12889602">
            <w:pPr>
              <w:autoSpaceDE w:val="0"/>
              <w:autoSpaceDN w:val="0"/>
              <w:jc w:val="center"/>
              <w:rPr>
                <w:rFonts w:cs="仿宋" w:asciiTheme="minorEastAsia" w:hAnsiTheme="minorEastAsia"/>
                <w:color w:val="000000"/>
                <w:lang w:val="zh-CN"/>
              </w:rPr>
            </w:pPr>
          </w:p>
        </w:tc>
        <w:tc>
          <w:tcPr>
            <w:tcW w:w="1425" w:type="dxa"/>
            <w:tcBorders>
              <w:top w:val="single" w:color="auto" w:sz="6" w:space="0"/>
              <w:left w:val="single" w:color="auto" w:sz="6" w:space="0"/>
              <w:bottom w:val="single" w:color="auto" w:sz="6" w:space="0"/>
              <w:right w:val="single" w:color="auto" w:sz="6" w:space="0"/>
            </w:tcBorders>
          </w:tcPr>
          <w:p w14:paraId="78172156">
            <w:pPr>
              <w:autoSpaceDE w:val="0"/>
              <w:autoSpaceDN w:val="0"/>
              <w:jc w:val="center"/>
              <w:rPr>
                <w:rFonts w:cs="仿宋" w:asciiTheme="minorEastAsia" w:hAnsiTheme="minorEastAsia"/>
                <w:color w:val="000000"/>
                <w:lang w:val="zh-CN"/>
              </w:rPr>
            </w:pPr>
          </w:p>
        </w:tc>
        <w:tc>
          <w:tcPr>
            <w:tcW w:w="1395" w:type="dxa"/>
            <w:tcBorders>
              <w:top w:val="single" w:color="auto" w:sz="6" w:space="0"/>
              <w:left w:val="single" w:color="auto" w:sz="6" w:space="0"/>
              <w:bottom w:val="single" w:color="auto" w:sz="6" w:space="0"/>
              <w:right w:val="single" w:color="auto" w:sz="6" w:space="0"/>
            </w:tcBorders>
          </w:tcPr>
          <w:p w14:paraId="366FBCFD">
            <w:pPr>
              <w:autoSpaceDE w:val="0"/>
              <w:autoSpaceDN w:val="0"/>
              <w:jc w:val="center"/>
              <w:rPr>
                <w:rFonts w:cs="仿宋" w:asciiTheme="minorEastAsia" w:hAnsiTheme="minorEastAsia"/>
                <w:color w:val="000000"/>
                <w:lang w:val="zh-CN"/>
              </w:rPr>
            </w:pPr>
          </w:p>
        </w:tc>
        <w:tc>
          <w:tcPr>
            <w:tcW w:w="2551" w:type="dxa"/>
            <w:tcBorders>
              <w:top w:val="single" w:color="auto" w:sz="6" w:space="0"/>
              <w:left w:val="single" w:color="auto" w:sz="6" w:space="0"/>
              <w:bottom w:val="single" w:color="auto" w:sz="6" w:space="0"/>
              <w:right w:val="single" w:color="auto" w:sz="6" w:space="0"/>
            </w:tcBorders>
          </w:tcPr>
          <w:p w14:paraId="7BBE6B45">
            <w:pPr>
              <w:autoSpaceDE w:val="0"/>
              <w:autoSpaceDN w:val="0"/>
              <w:rPr>
                <w:rFonts w:cs="仿宋" w:asciiTheme="minorEastAsia" w:hAnsiTheme="minorEastAsia"/>
                <w:color w:val="000000"/>
                <w:lang w:val="zh-CN"/>
              </w:rPr>
            </w:pPr>
          </w:p>
        </w:tc>
        <w:tc>
          <w:tcPr>
            <w:tcW w:w="1679" w:type="dxa"/>
            <w:tcBorders>
              <w:top w:val="single" w:color="auto" w:sz="6" w:space="0"/>
              <w:left w:val="single" w:color="auto" w:sz="6" w:space="0"/>
              <w:bottom w:val="single" w:color="auto" w:sz="6" w:space="0"/>
              <w:right w:val="single" w:color="auto" w:sz="6" w:space="0"/>
            </w:tcBorders>
          </w:tcPr>
          <w:p w14:paraId="0A1DCACA">
            <w:pPr>
              <w:autoSpaceDE w:val="0"/>
              <w:autoSpaceDN w:val="0"/>
              <w:rPr>
                <w:rFonts w:cs="仿宋" w:asciiTheme="minorEastAsia" w:hAnsiTheme="minorEastAsia"/>
                <w:color w:val="000000"/>
                <w:lang w:val="zh-CN"/>
              </w:rPr>
            </w:pPr>
          </w:p>
        </w:tc>
      </w:tr>
      <w:tr w14:paraId="31BA4D9E">
        <w:trPr>
          <w:jc w:val="center"/>
        </w:trPr>
        <w:tc>
          <w:tcPr>
            <w:tcW w:w="1289" w:type="dxa"/>
            <w:tcBorders>
              <w:top w:val="single" w:color="auto" w:sz="6" w:space="0"/>
              <w:left w:val="single" w:color="auto" w:sz="6" w:space="0"/>
              <w:bottom w:val="single" w:color="auto" w:sz="6" w:space="0"/>
              <w:right w:val="single" w:color="auto" w:sz="6" w:space="0"/>
            </w:tcBorders>
          </w:tcPr>
          <w:p w14:paraId="5ABE3C89">
            <w:pPr>
              <w:autoSpaceDE w:val="0"/>
              <w:autoSpaceDN w:val="0"/>
              <w:jc w:val="center"/>
              <w:rPr>
                <w:rFonts w:ascii="Times New Roman" w:hAnsi="Times New Roman"/>
                <w:color w:val="000000"/>
                <w:sz w:val="18"/>
                <w:szCs w:val="18"/>
                <w:lang w:val="zh-CN"/>
              </w:rPr>
            </w:pPr>
          </w:p>
        </w:tc>
        <w:tc>
          <w:tcPr>
            <w:tcW w:w="1425" w:type="dxa"/>
            <w:tcBorders>
              <w:top w:val="single" w:color="auto" w:sz="6" w:space="0"/>
              <w:left w:val="single" w:color="auto" w:sz="6" w:space="0"/>
              <w:bottom w:val="single" w:color="auto" w:sz="6" w:space="0"/>
              <w:right w:val="single" w:color="auto" w:sz="6" w:space="0"/>
            </w:tcBorders>
          </w:tcPr>
          <w:p w14:paraId="5377BAF1">
            <w:pPr>
              <w:autoSpaceDE w:val="0"/>
              <w:autoSpaceDN w:val="0"/>
              <w:jc w:val="center"/>
              <w:rPr>
                <w:rFonts w:ascii="Times New Roman" w:hAnsi="Times New Roman"/>
                <w:color w:val="000000"/>
                <w:sz w:val="18"/>
                <w:szCs w:val="18"/>
                <w:lang w:val="zh-CN"/>
              </w:rPr>
            </w:pPr>
          </w:p>
        </w:tc>
        <w:tc>
          <w:tcPr>
            <w:tcW w:w="1395" w:type="dxa"/>
            <w:tcBorders>
              <w:top w:val="single" w:color="auto" w:sz="6" w:space="0"/>
              <w:left w:val="single" w:color="auto" w:sz="6" w:space="0"/>
              <w:bottom w:val="single" w:color="auto" w:sz="6" w:space="0"/>
              <w:right w:val="single" w:color="auto" w:sz="6" w:space="0"/>
            </w:tcBorders>
          </w:tcPr>
          <w:p w14:paraId="6301B184">
            <w:pPr>
              <w:autoSpaceDE w:val="0"/>
              <w:autoSpaceDN w:val="0"/>
              <w:jc w:val="center"/>
              <w:rPr>
                <w:rFonts w:hint="eastAsia" w:ascii="Times New Roman" w:hAnsi="Times New Roman"/>
                <w:color w:val="000000"/>
                <w:sz w:val="18"/>
                <w:szCs w:val="18"/>
              </w:rPr>
            </w:pPr>
          </w:p>
        </w:tc>
        <w:tc>
          <w:tcPr>
            <w:tcW w:w="2551" w:type="dxa"/>
            <w:tcBorders>
              <w:top w:val="single" w:color="auto" w:sz="6" w:space="0"/>
              <w:left w:val="single" w:color="auto" w:sz="6" w:space="0"/>
              <w:bottom w:val="single" w:color="auto" w:sz="6" w:space="0"/>
              <w:right w:val="single" w:color="auto" w:sz="6" w:space="0"/>
            </w:tcBorders>
          </w:tcPr>
          <w:p w14:paraId="688975AD">
            <w:pPr>
              <w:autoSpaceDE w:val="0"/>
              <w:autoSpaceDN w:val="0"/>
              <w:rPr>
                <w:rFonts w:ascii="Times New Roman" w:hAnsi="Times New Roman"/>
                <w:color w:val="000000"/>
                <w:sz w:val="18"/>
                <w:szCs w:val="18"/>
                <w:lang w:val="zh-CN"/>
              </w:rPr>
            </w:pPr>
          </w:p>
        </w:tc>
        <w:tc>
          <w:tcPr>
            <w:tcW w:w="1679" w:type="dxa"/>
            <w:tcBorders>
              <w:top w:val="single" w:color="auto" w:sz="6" w:space="0"/>
              <w:left w:val="single" w:color="auto" w:sz="6" w:space="0"/>
              <w:bottom w:val="single" w:color="auto" w:sz="6" w:space="0"/>
              <w:right w:val="single" w:color="auto" w:sz="6" w:space="0"/>
            </w:tcBorders>
          </w:tcPr>
          <w:p w14:paraId="2DDC945A">
            <w:pPr>
              <w:autoSpaceDE w:val="0"/>
              <w:autoSpaceDN w:val="0"/>
              <w:rPr>
                <w:rFonts w:ascii="Times New Roman" w:hAnsi="Times New Roman"/>
                <w:color w:val="000000"/>
                <w:sz w:val="18"/>
                <w:szCs w:val="18"/>
                <w:lang w:val="zh-CN"/>
              </w:rPr>
            </w:pPr>
          </w:p>
        </w:tc>
      </w:tr>
      <w:tr w14:paraId="69A22C9C">
        <w:trPr>
          <w:jc w:val="center"/>
        </w:trPr>
        <w:tc>
          <w:tcPr>
            <w:tcW w:w="1289" w:type="dxa"/>
            <w:tcBorders>
              <w:top w:val="single" w:color="auto" w:sz="6" w:space="0"/>
              <w:left w:val="single" w:color="auto" w:sz="6" w:space="0"/>
              <w:bottom w:val="single" w:color="auto" w:sz="6" w:space="0"/>
              <w:right w:val="single" w:color="auto" w:sz="6" w:space="0"/>
            </w:tcBorders>
          </w:tcPr>
          <w:p w14:paraId="4C92D4A9">
            <w:pPr>
              <w:autoSpaceDE w:val="0"/>
              <w:autoSpaceDN w:val="0"/>
              <w:jc w:val="center"/>
              <w:rPr>
                <w:rFonts w:ascii="Times New Roman" w:hAnsi="Times New Roman"/>
                <w:color w:val="000000"/>
                <w:sz w:val="18"/>
                <w:szCs w:val="18"/>
                <w:lang w:val="zh-CN"/>
              </w:rPr>
            </w:pPr>
          </w:p>
        </w:tc>
        <w:tc>
          <w:tcPr>
            <w:tcW w:w="1425" w:type="dxa"/>
            <w:tcBorders>
              <w:top w:val="single" w:color="auto" w:sz="6" w:space="0"/>
              <w:left w:val="single" w:color="auto" w:sz="6" w:space="0"/>
              <w:bottom w:val="single" w:color="auto" w:sz="6" w:space="0"/>
              <w:right w:val="single" w:color="auto" w:sz="6" w:space="0"/>
            </w:tcBorders>
          </w:tcPr>
          <w:p w14:paraId="1E37274B">
            <w:pPr>
              <w:autoSpaceDE w:val="0"/>
              <w:autoSpaceDN w:val="0"/>
              <w:jc w:val="center"/>
              <w:rPr>
                <w:rFonts w:ascii="Times New Roman" w:hAnsi="Times New Roman"/>
                <w:color w:val="000000"/>
                <w:sz w:val="18"/>
                <w:szCs w:val="18"/>
                <w:lang w:val="zh-CN"/>
              </w:rPr>
            </w:pPr>
          </w:p>
        </w:tc>
        <w:tc>
          <w:tcPr>
            <w:tcW w:w="1395" w:type="dxa"/>
            <w:tcBorders>
              <w:top w:val="single" w:color="auto" w:sz="6" w:space="0"/>
              <w:left w:val="single" w:color="auto" w:sz="6" w:space="0"/>
              <w:bottom w:val="single" w:color="auto" w:sz="6" w:space="0"/>
              <w:right w:val="single" w:color="auto" w:sz="6" w:space="0"/>
            </w:tcBorders>
          </w:tcPr>
          <w:p w14:paraId="103620B4">
            <w:pPr>
              <w:autoSpaceDE w:val="0"/>
              <w:autoSpaceDN w:val="0"/>
              <w:jc w:val="center"/>
              <w:rPr>
                <w:rFonts w:ascii="Times New Roman" w:hAnsi="Times New Roman"/>
                <w:color w:val="000000"/>
                <w:sz w:val="18"/>
                <w:szCs w:val="18"/>
              </w:rPr>
            </w:pPr>
          </w:p>
        </w:tc>
        <w:tc>
          <w:tcPr>
            <w:tcW w:w="2551" w:type="dxa"/>
            <w:tcBorders>
              <w:top w:val="single" w:color="auto" w:sz="6" w:space="0"/>
              <w:left w:val="single" w:color="auto" w:sz="6" w:space="0"/>
              <w:bottom w:val="single" w:color="auto" w:sz="6" w:space="0"/>
              <w:right w:val="single" w:color="auto" w:sz="6" w:space="0"/>
            </w:tcBorders>
          </w:tcPr>
          <w:p w14:paraId="4BCE8EAE">
            <w:pPr>
              <w:autoSpaceDE w:val="0"/>
              <w:autoSpaceDN w:val="0"/>
              <w:rPr>
                <w:rFonts w:ascii="Times New Roman" w:hAnsi="Times New Roman"/>
                <w:color w:val="000000"/>
                <w:sz w:val="18"/>
                <w:szCs w:val="18"/>
                <w:lang w:val="zh-CN"/>
              </w:rPr>
            </w:pPr>
          </w:p>
        </w:tc>
        <w:tc>
          <w:tcPr>
            <w:tcW w:w="1679" w:type="dxa"/>
            <w:tcBorders>
              <w:top w:val="single" w:color="auto" w:sz="6" w:space="0"/>
              <w:left w:val="single" w:color="auto" w:sz="6" w:space="0"/>
              <w:bottom w:val="single" w:color="auto" w:sz="6" w:space="0"/>
              <w:right w:val="single" w:color="auto" w:sz="6" w:space="0"/>
            </w:tcBorders>
          </w:tcPr>
          <w:p w14:paraId="02CB7698">
            <w:pPr>
              <w:autoSpaceDE w:val="0"/>
              <w:autoSpaceDN w:val="0"/>
              <w:rPr>
                <w:rFonts w:ascii="Times New Roman" w:hAnsi="Times New Roman"/>
                <w:color w:val="000000"/>
                <w:sz w:val="18"/>
                <w:szCs w:val="18"/>
                <w:lang w:val="zh-CN"/>
              </w:rPr>
            </w:pPr>
          </w:p>
        </w:tc>
      </w:tr>
      <w:tr w14:paraId="08F5109E">
        <w:trPr>
          <w:jc w:val="center"/>
        </w:trPr>
        <w:tc>
          <w:tcPr>
            <w:tcW w:w="1289" w:type="dxa"/>
            <w:tcBorders>
              <w:top w:val="single" w:color="auto" w:sz="6" w:space="0"/>
              <w:left w:val="single" w:color="auto" w:sz="6" w:space="0"/>
              <w:bottom w:val="single" w:color="auto" w:sz="6" w:space="0"/>
              <w:right w:val="single" w:color="auto" w:sz="6" w:space="0"/>
            </w:tcBorders>
          </w:tcPr>
          <w:p w14:paraId="63C28B47">
            <w:pPr>
              <w:autoSpaceDE w:val="0"/>
              <w:autoSpaceDN w:val="0"/>
              <w:jc w:val="center"/>
              <w:rPr>
                <w:rFonts w:ascii="Times New Roman" w:hAnsi="Times New Roman"/>
                <w:color w:val="000000"/>
                <w:sz w:val="18"/>
                <w:szCs w:val="18"/>
                <w:lang w:val="zh-CN"/>
              </w:rPr>
            </w:pPr>
          </w:p>
        </w:tc>
        <w:tc>
          <w:tcPr>
            <w:tcW w:w="1425" w:type="dxa"/>
            <w:tcBorders>
              <w:top w:val="single" w:color="auto" w:sz="6" w:space="0"/>
              <w:left w:val="single" w:color="auto" w:sz="6" w:space="0"/>
              <w:bottom w:val="single" w:color="auto" w:sz="6" w:space="0"/>
              <w:right w:val="single" w:color="auto" w:sz="6" w:space="0"/>
            </w:tcBorders>
          </w:tcPr>
          <w:p w14:paraId="5E6AF2CC">
            <w:pPr>
              <w:autoSpaceDE w:val="0"/>
              <w:autoSpaceDN w:val="0"/>
              <w:jc w:val="center"/>
              <w:rPr>
                <w:rFonts w:ascii="Times New Roman" w:hAnsi="Times New Roman"/>
                <w:color w:val="000000"/>
                <w:sz w:val="18"/>
                <w:szCs w:val="18"/>
                <w:lang w:val="zh-CN"/>
              </w:rPr>
            </w:pPr>
          </w:p>
        </w:tc>
        <w:tc>
          <w:tcPr>
            <w:tcW w:w="1395" w:type="dxa"/>
            <w:tcBorders>
              <w:top w:val="single" w:color="auto" w:sz="6" w:space="0"/>
              <w:left w:val="single" w:color="auto" w:sz="6" w:space="0"/>
              <w:bottom w:val="single" w:color="auto" w:sz="6" w:space="0"/>
              <w:right w:val="single" w:color="auto" w:sz="6" w:space="0"/>
            </w:tcBorders>
          </w:tcPr>
          <w:p w14:paraId="3093FB0D">
            <w:pPr>
              <w:autoSpaceDE w:val="0"/>
              <w:autoSpaceDN w:val="0"/>
              <w:jc w:val="center"/>
              <w:rPr>
                <w:rFonts w:ascii="Times New Roman" w:hAnsi="Times New Roman"/>
                <w:color w:val="000000"/>
                <w:sz w:val="18"/>
                <w:szCs w:val="18"/>
              </w:rPr>
            </w:pPr>
          </w:p>
        </w:tc>
        <w:tc>
          <w:tcPr>
            <w:tcW w:w="2551" w:type="dxa"/>
            <w:tcBorders>
              <w:top w:val="single" w:color="auto" w:sz="6" w:space="0"/>
              <w:left w:val="single" w:color="auto" w:sz="6" w:space="0"/>
              <w:bottom w:val="single" w:color="auto" w:sz="6" w:space="0"/>
              <w:right w:val="single" w:color="auto" w:sz="6" w:space="0"/>
            </w:tcBorders>
          </w:tcPr>
          <w:p w14:paraId="27466F82">
            <w:pPr>
              <w:autoSpaceDE w:val="0"/>
              <w:autoSpaceDN w:val="0"/>
              <w:rPr>
                <w:rFonts w:ascii="Times New Roman" w:hAnsi="Times New Roman"/>
                <w:color w:val="000000"/>
                <w:sz w:val="18"/>
                <w:szCs w:val="18"/>
                <w:lang w:val="zh-CN"/>
              </w:rPr>
            </w:pPr>
          </w:p>
        </w:tc>
        <w:tc>
          <w:tcPr>
            <w:tcW w:w="1679" w:type="dxa"/>
            <w:tcBorders>
              <w:top w:val="single" w:color="auto" w:sz="6" w:space="0"/>
              <w:left w:val="single" w:color="auto" w:sz="6" w:space="0"/>
              <w:bottom w:val="single" w:color="auto" w:sz="6" w:space="0"/>
              <w:right w:val="single" w:color="auto" w:sz="6" w:space="0"/>
            </w:tcBorders>
          </w:tcPr>
          <w:p w14:paraId="09F2FD85">
            <w:pPr>
              <w:autoSpaceDE w:val="0"/>
              <w:autoSpaceDN w:val="0"/>
              <w:rPr>
                <w:rFonts w:ascii="Times New Roman" w:hAnsi="Times New Roman"/>
                <w:color w:val="000000"/>
                <w:sz w:val="18"/>
                <w:szCs w:val="18"/>
                <w:lang w:val="zh-CN"/>
              </w:rPr>
            </w:pPr>
          </w:p>
        </w:tc>
      </w:tr>
      <w:tr w14:paraId="7DAECC50">
        <w:trPr>
          <w:jc w:val="center"/>
        </w:trPr>
        <w:tc>
          <w:tcPr>
            <w:tcW w:w="1289" w:type="dxa"/>
            <w:tcBorders>
              <w:top w:val="single" w:color="auto" w:sz="6" w:space="0"/>
              <w:left w:val="single" w:color="auto" w:sz="6" w:space="0"/>
              <w:bottom w:val="single" w:color="auto" w:sz="6" w:space="0"/>
              <w:right w:val="single" w:color="auto" w:sz="6" w:space="0"/>
            </w:tcBorders>
          </w:tcPr>
          <w:p w14:paraId="4A741159">
            <w:pPr>
              <w:autoSpaceDE w:val="0"/>
              <w:autoSpaceDN w:val="0"/>
              <w:jc w:val="center"/>
              <w:rPr>
                <w:rFonts w:ascii="Times New Roman" w:hAnsi="Times New Roman"/>
                <w:color w:val="000000"/>
                <w:sz w:val="18"/>
                <w:szCs w:val="18"/>
                <w:lang w:val="zh-CN"/>
              </w:rPr>
            </w:pPr>
          </w:p>
        </w:tc>
        <w:tc>
          <w:tcPr>
            <w:tcW w:w="1425" w:type="dxa"/>
            <w:tcBorders>
              <w:top w:val="single" w:color="auto" w:sz="6" w:space="0"/>
              <w:left w:val="single" w:color="auto" w:sz="6" w:space="0"/>
              <w:bottom w:val="single" w:color="auto" w:sz="6" w:space="0"/>
              <w:right w:val="single" w:color="auto" w:sz="6" w:space="0"/>
            </w:tcBorders>
          </w:tcPr>
          <w:p w14:paraId="08E1FE97">
            <w:pPr>
              <w:autoSpaceDE w:val="0"/>
              <w:autoSpaceDN w:val="0"/>
              <w:jc w:val="center"/>
              <w:rPr>
                <w:rFonts w:ascii="Times New Roman" w:hAnsi="Times New Roman"/>
                <w:color w:val="000000"/>
                <w:sz w:val="18"/>
                <w:szCs w:val="18"/>
                <w:lang w:val="zh-CN"/>
              </w:rPr>
            </w:pPr>
          </w:p>
        </w:tc>
        <w:tc>
          <w:tcPr>
            <w:tcW w:w="1395" w:type="dxa"/>
            <w:tcBorders>
              <w:top w:val="single" w:color="auto" w:sz="6" w:space="0"/>
              <w:left w:val="single" w:color="auto" w:sz="6" w:space="0"/>
              <w:bottom w:val="single" w:color="auto" w:sz="6" w:space="0"/>
              <w:right w:val="single" w:color="auto" w:sz="6" w:space="0"/>
            </w:tcBorders>
          </w:tcPr>
          <w:p w14:paraId="71954BAA">
            <w:pPr>
              <w:autoSpaceDE w:val="0"/>
              <w:autoSpaceDN w:val="0"/>
              <w:jc w:val="center"/>
              <w:rPr>
                <w:rFonts w:ascii="Times New Roman" w:hAnsi="Times New Roman"/>
                <w:color w:val="000000"/>
                <w:sz w:val="18"/>
                <w:szCs w:val="18"/>
              </w:rPr>
            </w:pPr>
          </w:p>
        </w:tc>
        <w:tc>
          <w:tcPr>
            <w:tcW w:w="2551" w:type="dxa"/>
            <w:tcBorders>
              <w:top w:val="single" w:color="auto" w:sz="6" w:space="0"/>
              <w:left w:val="single" w:color="auto" w:sz="6" w:space="0"/>
              <w:bottom w:val="single" w:color="auto" w:sz="6" w:space="0"/>
              <w:right w:val="single" w:color="auto" w:sz="6" w:space="0"/>
            </w:tcBorders>
          </w:tcPr>
          <w:p w14:paraId="38028116">
            <w:pPr>
              <w:autoSpaceDE w:val="0"/>
              <w:autoSpaceDN w:val="0"/>
              <w:rPr>
                <w:rFonts w:ascii="Times New Roman" w:hAnsi="Times New Roman"/>
                <w:color w:val="000000"/>
                <w:sz w:val="18"/>
                <w:szCs w:val="18"/>
                <w:lang w:val="zh-CN"/>
              </w:rPr>
            </w:pPr>
          </w:p>
        </w:tc>
        <w:tc>
          <w:tcPr>
            <w:tcW w:w="1679" w:type="dxa"/>
            <w:tcBorders>
              <w:top w:val="single" w:color="auto" w:sz="6" w:space="0"/>
              <w:left w:val="single" w:color="auto" w:sz="6" w:space="0"/>
              <w:bottom w:val="single" w:color="auto" w:sz="6" w:space="0"/>
              <w:right w:val="single" w:color="auto" w:sz="6" w:space="0"/>
            </w:tcBorders>
          </w:tcPr>
          <w:p w14:paraId="46511175">
            <w:pPr>
              <w:autoSpaceDE w:val="0"/>
              <w:autoSpaceDN w:val="0"/>
              <w:rPr>
                <w:rFonts w:ascii="Times New Roman" w:hAnsi="Times New Roman"/>
                <w:color w:val="000000"/>
                <w:sz w:val="18"/>
                <w:szCs w:val="18"/>
                <w:lang w:val="zh-CN"/>
              </w:rPr>
            </w:pPr>
          </w:p>
        </w:tc>
      </w:tr>
    </w:tbl>
    <w:p w14:paraId="51E7A13F"/>
    <w:p w14:paraId="61F6879B"/>
    <w:p w14:paraId="46C81041"/>
    <w:p w14:paraId="442D7AEC"/>
    <w:p w14:paraId="13F2756E"/>
    <w:p w14:paraId="379F1390"/>
    <w:p w14:paraId="18DBF57A"/>
    <w:p w14:paraId="1D1337C5"/>
    <w:p w14:paraId="55FE0340"/>
    <w:p w14:paraId="6E81DFC3"/>
    <w:p w14:paraId="2B14350B"/>
    <w:p w14:paraId="23D1AF7B"/>
    <w:p w14:paraId="70DDC6BF"/>
    <w:p w14:paraId="0754314A"/>
    <w:p w14:paraId="7A78F39A"/>
    <w:p w14:paraId="567BF572"/>
    <w:p w14:paraId="7ADD5AAC"/>
    <w:p w14:paraId="1319365F"/>
    <w:p w14:paraId="4A1BAB7F"/>
    <w:p w14:paraId="651679EE"/>
    <w:p w14:paraId="638D8670"/>
    <w:p w14:paraId="4069E056"/>
    <w:p w14:paraId="7B1B7A51"/>
    <w:sdt>
      <w:sdtPr>
        <w:rPr>
          <w:lang w:val="zh-CN"/>
        </w:rPr>
        <w:id w:val="1762637353"/>
        <w:docPartObj>
          <w:docPartGallery w:val="Table of Contents"/>
          <w:docPartUnique/>
        </w:docPartObj>
      </w:sdtPr>
      <w:sdtEndPr>
        <w:rPr>
          <w:rFonts w:ascii="Calibri" w:hAnsi="Calibri" w:eastAsia="宋体" w:cs="Times New Roman"/>
          <w:color w:val="auto"/>
          <w:kern w:val="2"/>
          <w:sz w:val="21"/>
          <w:szCs w:val="22"/>
          <w:lang w:val="zh-CN"/>
        </w:rPr>
      </w:sdtEndPr>
      <w:sdtContent>
        <w:p w14:paraId="39E9E20D">
          <w:pPr>
            <w:pStyle w:val="16"/>
            <w:jc w:val="center"/>
          </w:pPr>
          <w:r>
            <w:rPr>
              <w:lang w:val="zh-CN"/>
            </w:rPr>
            <w:t>目录</w:t>
          </w:r>
        </w:p>
        <w:p w14:paraId="7FE83D2F">
          <w:pPr>
            <w:pStyle w:val="7"/>
            <w:tabs>
              <w:tab w:val="right" w:leader="dot" w:pos="8296"/>
            </w:tabs>
            <w:rPr>
              <w:kern w:val="2"/>
              <w:sz w:val="21"/>
            </w:rPr>
          </w:pPr>
          <w:r>
            <w:fldChar w:fldCharType="begin"/>
          </w:r>
          <w:r>
            <w:instrText xml:space="preserve"> TOC \o "1-3" \h \z \u </w:instrText>
          </w:r>
          <w:r>
            <w:fldChar w:fldCharType="separate"/>
          </w:r>
          <w:r>
            <w:fldChar w:fldCharType="begin"/>
          </w:r>
          <w:r>
            <w:instrText xml:space="preserve"> HYPERLINK \l "_Toc38395521" </w:instrText>
          </w:r>
          <w:r>
            <w:fldChar w:fldCharType="separate"/>
          </w:r>
          <w:r>
            <w:rPr>
              <w:rStyle w:val="11"/>
            </w:rPr>
            <w:t>1</w:t>
          </w:r>
          <w:r>
            <w:rPr>
              <w:rStyle w:val="11"/>
              <w:rFonts w:hint="eastAsia"/>
            </w:rPr>
            <w:t>目的</w:t>
          </w:r>
          <w:r>
            <w:tab/>
          </w:r>
          <w:r>
            <w:fldChar w:fldCharType="begin"/>
          </w:r>
          <w:r>
            <w:instrText xml:space="preserve"> PAGEREF _Toc38395521 \h </w:instrText>
          </w:r>
          <w:r>
            <w:fldChar w:fldCharType="separate"/>
          </w:r>
          <w:r>
            <w:t>3</w:t>
          </w:r>
          <w:r>
            <w:fldChar w:fldCharType="end"/>
          </w:r>
          <w:r>
            <w:fldChar w:fldCharType="end"/>
          </w:r>
        </w:p>
        <w:p w14:paraId="11944789">
          <w:pPr>
            <w:pStyle w:val="7"/>
            <w:tabs>
              <w:tab w:val="right" w:leader="dot" w:pos="8296"/>
            </w:tabs>
            <w:rPr>
              <w:kern w:val="2"/>
              <w:sz w:val="21"/>
            </w:rPr>
          </w:pPr>
          <w:r>
            <w:fldChar w:fldCharType="begin"/>
          </w:r>
          <w:r>
            <w:instrText xml:space="preserve"> HYPERLINK \l "_Toc38395522" </w:instrText>
          </w:r>
          <w:r>
            <w:fldChar w:fldCharType="separate"/>
          </w:r>
          <w:r>
            <w:rPr>
              <w:rStyle w:val="11"/>
            </w:rPr>
            <w:t>2</w:t>
          </w:r>
          <w:r>
            <w:rPr>
              <w:rStyle w:val="11"/>
              <w:rFonts w:hint="eastAsia"/>
            </w:rPr>
            <w:t>适用范围</w:t>
          </w:r>
          <w:r>
            <w:tab/>
          </w:r>
          <w:r>
            <w:fldChar w:fldCharType="begin"/>
          </w:r>
          <w:r>
            <w:instrText xml:space="preserve"> PAGEREF _Toc38395522 \h </w:instrText>
          </w:r>
          <w:r>
            <w:fldChar w:fldCharType="separate"/>
          </w:r>
          <w:r>
            <w:t>3</w:t>
          </w:r>
          <w:r>
            <w:fldChar w:fldCharType="end"/>
          </w:r>
          <w:r>
            <w:fldChar w:fldCharType="end"/>
          </w:r>
        </w:p>
        <w:p w14:paraId="79245648">
          <w:pPr>
            <w:pStyle w:val="7"/>
            <w:tabs>
              <w:tab w:val="right" w:leader="dot" w:pos="8296"/>
            </w:tabs>
            <w:rPr>
              <w:kern w:val="2"/>
              <w:sz w:val="21"/>
            </w:rPr>
          </w:pPr>
          <w:r>
            <w:fldChar w:fldCharType="begin"/>
          </w:r>
          <w:r>
            <w:instrText xml:space="preserve"> HYPERLINK \l "_Toc38395523" </w:instrText>
          </w:r>
          <w:r>
            <w:fldChar w:fldCharType="separate"/>
          </w:r>
          <w:r>
            <w:rPr>
              <w:rStyle w:val="11"/>
            </w:rPr>
            <w:t xml:space="preserve">3 </w:t>
          </w:r>
          <w:r>
            <w:rPr>
              <w:rStyle w:val="11"/>
              <w:rFonts w:hint="eastAsia"/>
            </w:rPr>
            <w:t>职责</w:t>
          </w:r>
          <w:r>
            <w:tab/>
          </w:r>
          <w:r>
            <w:fldChar w:fldCharType="begin"/>
          </w:r>
          <w:r>
            <w:instrText xml:space="preserve"> PAGEREF _Toc38395523 \h </w:instrText>
          </w:r>
          <w:r>
            <w:fldChar w:fldCharType="separate"/>
          </w:r>
          <w:r>
            <w:t>3</w:t>
          </w:r>
          <w:r>
            <w:fldChar w:fldCharType="end"/>
          </w:r>
          <w:r>
            <w:fldChar w:fldCharType="end"/>
          </w:r>
        </w:p>
        <w:p w14:paraId="678B46FF">
          <w:pPr>
            <w:pStyle w:val="7"/>
            <w:tabs>
              <w:tab w:val="right" w:leader="dot" w:pos="8296"/>
            </w:tabs>
            <w:rPr>
              <w:kern w:val="2"/>
              <w:sz w:val="21"/>
            </w:rPr>
          </w:pPr>
          <w:r>
            <w:fldChar w:fldCharType="begin"/>
          </w:r>
          <w:r>
            <w:instrText xml:space="preserve"> HYPERLINK \l "_Toc38395524" </w:instrText>
          </w:r>
          <w:r>
            <w:fldChar w:fldCharType="separate"/>
          </w:r>
          <w:r>
            <w:rPr>
              <w:rStyle w:val="11"/>
            </w:rPr>
            <w:t xml:space="preserve">4 </w:t>
          </w:r>
          <w:r>
            <w:rPr>
              <w:rStyle w:val="11"/>
              <w:rFonts w:hint="eastAsia"/>
            </w:rPr>
            <w:t>流程说明</w:t>
          </w:r>
          <w:r>
            <w:tab/>
          </w:r>
          <w:r>
            <w:fldChar w:fldCharType="begin"/>
          </w:r>
          <w:r>
            <w:instrText xml:space="preserve"> PAGEREF _Toc38395524 \h </w:instrText>
          </w:r>
          <w:r>
            <w:fldChar w:fldCharType="separate"/>
          </w:r>
          <w:r>
            <w:t>3</w:t>
          </w:r>
          <w:r>
            <w:fldChar w:fldCharType="end"/>
          </w:r>
          <w:r>
            <w:fldChar w:fldCharType="end"/>
          </w:r>
        </w:p>
        <w:p w14:paraId="5EFDA878">
          <w:pPr>
            <w:pStyle w:val="8"/>
            <w:tabs>
              <w:tab w:val="right" w:leader="dot" w:pos="8296"/>
            </w:tabs>
            <w:rPr>
              <w:kern w:val="2"/>
              <w:sz w:val="21"/>
            </w:rPr>
          </w:pPr>
          <w:r>
            <w:fldChar w:fldCharType="begin"/>
          </w:r>
          <w:r>
            <w:instrText xml:space="preserve"> HYPERLINK \l "_Toc38395525" </w:instrText>
          </w:r>
          <w:r>
            <w:fldChar w:fldCharType="separate"/>
          </w:r>
          <w:r>
            <w:rPr>
              <w:rStyle w:val="11"/>
            </w:rPr>
            <w:t>4.1</w:t>
          </w:r>
          <w:r>
            <w:rPr>
              <w:rStyle w:val="11"/>
              <w:rFonts w:hint="eastAsia"/>
            </w:rPr>
            <w:t>核对配置项更改内容</w:t>
          </w:r>
          <w:r>
            <w:tab/>
          </w:r>
          <w:r>
            <w:fldChar w:fldCharType="begin"/>
          </w:r>
          <w:r>
            <w:instrText xml:space="preserve"> PAGEREF _Toc38395525 \h </w:instrText>
          </w:r>
          <w:r>
            <w:fldChar w:fldCharType="separate"/>
          </w:r>
          <w:r>
            <w:t>4</w:t>
          </w:r>
          <w:r>
            <w:fldChar w:fldCharType="end"/>
          </w:r>
          <w:r>
            <w:fldChar w:fldCharType="end"/>
          </w:r>
        </w:p>
        <w:p w14:paraId="34627F09">
          <w:pPr>
            <w:pStyle w:val="8"/>
            <w:tabs>
              <w:tab w:val="right" w:leader="dot" w:pos="8296"/>
            </w:tabs>
            <w:rPr>
              <w:kern w:val="2"/>
              <w:sz w:val="21"/>
            </w:rPr>
          </w:pPr>
          <w:r>
            <w:fldChar w:fldCharType="begin"/>
          </w:r>
          <w:r>
            <w:instrText xml:space="preserve"> HYPERLINK \l "_Toc38395526" </w:instrText>
          </w:r>
          <w:r>
            <w:fldChar w:fldCharType="separate"/>
          </w:r>
          <w:r>
            <w:rPr>
              <w:rStyle w:val="11"/>
            </w:rPr>
            <w:t>4.2</w:t>
          </w:r>
          <w:r>
            <w:rPr>
              <w:rStyle w:val="11"/>
              <w:rFonts w:hint="eastAsia"/>
            </w:rPr>
            <w:t>批准与拒绝更新配置管理数据库</w:t>
          </w:r>
          <w:r>
            <w:tab/>
          </w:r>
          <w:r>
            <w:fldChar w:fldCharType="begin"/>
          </w:r>
          <w:r>
            <w:instrText xml:space="preserve"> PAGEREF _Toc38395526 \h </w:instrText>
          </w:r>
          <w:r>
            <w:fldChar w:fldCharType="separate"/>
          </w:r>
          <w:r>
            <w:t>4</w:t>
          </w:r>
          <w:r>
            <w:fldChar w:fldCharType="end"/>
          </w:r>
          <w:r>
            <w:fldChar w:fldCharType="end"/>
          </w:r>
        </w:p>
        <w:p w14:paraId="5B835684">
          <w:pPr>
            <w:pStyle w:val="8"/>
            <w:tabs>
              <w:tab w:val="right" w:leader="dot" w:pos="8296"/>
            </w:tabs>
            <w:rPr>
              <w:kern w:val="2"/>
              <w:sz w:val="21"/>
            </w:rPr>
          </w:pPr>
          <w:r>
            <w:fldChar w:fldCharType="begin"/>
          </w:r>
          <w:r>
            <w:instrText xml:space="preserve"> HYPERLINK \l "_Toc38395527" </w:instrText>
          </w:r>
          <w:r>
            <w:fldChar w:fldCharType="separate"/>
          </w:r>
          <w:r>
            <w:rPr>
              <w:rStyle w:val="11"/>
            </w:rPr>
            <w:t>4.3</w:t>
          </w:r>
          <w:r>
            <w:rPr>
              <w:rStyle w:val="11"/>
              <w:rFonts w:hint="eastAsia"/>
            </w:rPr>
            <w:t>取消</w:t>
          </w:r>
          <w:r>
            <w:tab/>
          </w:r>
          <w:r>
            <w:fldChar w:fldCharType="begin"/>
          </w:r>
          <w:r>
            <w:instrText xml:space="preserve"> PAGEREF _Toc38395527 \h </w:instrText>
          </w:r>
          <w:r>
            <w:fldChar w:fldCharType="separate"/>
          </w:r>
          <w:r>
            <w:t>4</w:t>
          </w:r>
          <w:r>
            <w:fldChar w:fldCharType="end"/>
          </w:r>
          <w:r>
            <w:fldChar w:fldCharType="end"/>
          </w:r>
        </w:p>
        <w:p w14:paraId="3A91A761">
          <w:pPr>
            <w:pStyle w:val="8"/>
            <w:tabs>
              <w:tab w:val="right" w:leader="dot" w:pos="8296"/>
            </w:tabs>
            <w:rPr>
              <w:kern w:val="2"/>
              <w:sz w:val="21"/>
            </w:rPr>
          </w:pPr>
          <w:r>
            <w:fldChar w:fldCharType="begin"/>
          </w:r>
          <w:r>
            <w:instrText xml:space="preserve"> HYPERLINK \l "_Toc38395528" </w:instrText>
          </w:r>
          <w:r>
            <w:fldChar w:fldCharType="separate"/>
          </w:r>
          <w:r>
            <w:rPr>
              <w:rStyle w:val="11"/>
            </w:rPr>
            <w:t>4.4</w:t>
          </w:r>
          <w:r>
            <w:rPr>
              <w:rStyle w:val="11"/>
              <w:rFonts w:hint="eastAsia"/>
            </w:rPr>
            <w:t>更改配置管理数据库</w:t>
          </w:r>
          <w:r>
            <w:tab/>
          </w:r>
          <w:r>
            <w:fldChar w:fldCharType="begin"/>
          </w:r>
          <w:r>
            <w:instrText xml:space="preserve"> PAGEREF _Toc38395528 \h </w:instrText>
          </w:r>
          <w:r>
            <w:fldChar w:fldCharType="separate"/>
          </w:r>
          <w:r>
            <w:t>5</w:t>
          </w:r>
          <w:r>
            <w:fldChar w:fldCharType="end"/>
          </w:r>
          <w:r>
            <w:fldChar w:fldCharType="end"/>
          </w:r>
        </w:p>
        <w:p w14:paraId="7702EB6E">
          <w:pPr>
            <w:pStyle w:val="8"/>
            <w:tabs>
              <w:tab w:val="right" w:leader="dot" w:pos="8296"/>
            </w:tabs>
            <w:rPr>
              <w:kern w:val="2"/>
              <w:sz w:val="21"/>
            </w:rPr>
          </w:pPr>
          <w:r>
            <w:fldChar w:fldCharType="begin"/>
          </w:r>
          <w:r>
            <w:instrText xml:space="preserve"> HYPERLINK \l "_Toc38395529" </w:instrText>
          </w:r>
          <w:r>
            <w:fldChar w:fldCharType="separate"/>
          </w:r>
          <w:r>
            <w:rPr>
              <w:rStyle w:val="11"/>
            </w:rPr>
            <w:t>4.5</w:t>
          </w:r>
          <w:r>
            <w:rPr>
              <w:rStyle w:val="11"/>
              <w:rFonts w:hint="eastAsia"/>
            </w:rPr>
            <w:t>通知相关人员</w:t>
          </w:r>
          <w:r>
            <w:tab/>
          </w:r>
          <w:r>
            <w:fldChar w:fldCharType="begin"/>
          </w:r>
          <w:r>
            <w:instrText xml:space="preserve"> PAGEREF _Toc38395529 \h </w:instrText>
          </w:r>
          <w:r>
            <w:fldChar w:fldCharType="separate"/>
          </w:r>
          <w:r>
            <w:t>5</w:t>
          </w:r>
          <w:r>
            <w:fldChar w:fldCharType="end"/>
          </w:r>
          <w:r>
            <w:fldChar w:fldCharType="end"/>
          </w:r>
        </w:p>
        <w:p w14:paraId="1B541227">
          <w:pPr>
            <w:pStyle w:val="7"/>
            <w:tabs>
              <w:tab w:val="right" w:leader="dot" w:pos="8296"/>
            </w:tabs>
            <w:rPr>
              <w:kern w:val="2"/>
              <w:sz w:val="21"/>
            </w:rPr>
          </w:pPr>
          <w:r>
            <w:fldChar w:fldCharType="begin"/>
          </w:r>
          <w:r>
            <w:instrText xml:space="preserve"> HYPERLINK \l "_Toc38395530" </w:instrText>
          </w:r>
          <w:r>
            <w:fldChar w:fldCharType="separate"/>
          </w:r>
          <w:r>
            <w:rPr>
              <w:rStyle w:val="11"/>
            </w:rPr>
            <w:t>5</w:t>
          </w:r>
          <w:r>
            <w:rPr>
              <w:rStyle w:val="11"/>
              <w:rFonts w:hint="eastAsia"/>
            </w:rPr>
            <w:t>输入与输出</w:t>
          </w:r>
          <w:r>
            <w:tab/>
          </w:r>
          <w:r>
            <w:fldChar w:fldCharType="begin"/>
          </w:r>
          <w:r>
            <w:instrText xml:space="preserve"> PAGEREF _Toc38395530 \h </w:instrText>
          </w:r>
          <w:r>
            <w:fldChar w:fldCharType="separate"/>
          </w:r>
          <w:r>
            <w:t>5</w:t>
          </w:r>
          <w:r>
            <w:fldChar w:fldCharType="end"/>
          </w:r>
          <w:r>
            <w:fldChar w:fldCharType="end"/>
          </w:r>
        </w:p>
        <w:p w14:paraId="0B9541FA">
          <w:r>
            <w:rPr>
              <w:b/>
              <w:bCs/>
              <w:lang w:val="zh-CN"/>
            </w:rPr>
            <w:fldChar w:fldCharType="end"/>
          </w:r>
        </w:p>
      </w:sdtContent>
    </w:sdt>
    <w:p w14:paraId="06C972A9"/>
    <w:p w14:paraId="2F2E95FF"/>
    <w:p w14:paraId="6B0C4670"/>
    <w:p w14:paraId="7E083D9A"/>
    <w:p w14:paraId="09D4AAAB"/>
    <w:p w14:paraId="4719692F"/>
    <w:p w14:paraId="550D7D80"/>
    <w:p w14:paraId="1F72B996"/>
    <w:p w14:paraId="49309BD0"/>
    <w:p w14:paraId="2D1B7ECF"/>
    <w:p w14:paraId="3B35E9CB"/>
    <w:p w14:paraId="6080D047"/>
    <w:p w14:paraId="5C95252E"/>
    <w:p w14:paraId="6E8766BF"/>
    <w:p w14:paraId="0A48F146"/>
    <w:p w14:paraId="68E829B8">
      <w:pPr>
        <w:rPr>
          <w:rFonts w:hint="eastAsia"/>
        </w:rPr>
      </w:pPr>
    </w:p>
    <w:p w14:paraId="0AFF5536">
      <w:pPr>
        <w:pStyle w:val="2"/>
        <w:rPr>
          <w:rFonts w:hint="eastAsia"/>
        </w:rPr>
      </w:pPr>
      <w:bookmarkStart w:id="0" w:name="_Toc265656753"/>
      <w:bookmarkStart w:id="1" w:name="_Toc308101317"/>
      <w:bookmarkStart w:id="2" w:name="_Toc38395521"/>
      <w:bookmarkStart w:id="3" w:name="_Toc265656936"/>
      <w:r>
        <w:rPr>
          <w:rFonts w:hint="eastAsia"/>
        </w:rPr>
        <w:t>1目的</w:t>
      </w:r>
      <w:bookmarkEnd w:id="0"/>
      <w:bookmarkEnd w:id="1"/>
      <w:bookmarkEnd w:id="2"/>
      <w:bookmarkEnd w:id="3"/>
    </w:p>
    <w:p w14:paraId="46951EDB">
      <w:pPr>
        <w:spacing w:line="240" w:lineRule="auto"/>
        <w:ind w:firstLine="420" w:firstLineChars="200"/>
        <w:rPr>
          <w:szCs w:val="21"/>
        </w:rPr>
      </w:pPr>
      <w:r>
        <w:rPr>
          <w:rFonts w:hint="eastAsia"/>
          <w:szCs w:val="21"/>
        </w:rPr>
        <w:t>配置管理的目的在于，确保只有经过授权的组件才能在IT环境中得到应用，并对所有的配置项变更调整进行记录和跟踪。本文定义了本公司关于配置管理流程运行中的规范与其相关规定。</w:t>
      </w:r>
    </w:p>
    <w:p w14:paraId="5A69BBF8">
      <w:pPr>
        <w:spacing w:line="240" w:lineRule="auto"/>
        <w:ind w:firstLine="420" w:firstLineChars="200"/>
        <w:rPr>
          <w:rFonts w:hint="eastAsia"/>
          <w:szCs w:val="21"/>
        </w:rPr>
      </w:pPr>
    </w:p>
    <w:p w14:paraId="558C3394">
      <w:pPr>
        <w:pStyle w:val="2"/>
        <w:rPr>
          <w:rFonts w:hint="eastAsia"/>
        </w:rPr>
      </w:pPr>
      <w:bookmarkStart w:id="4" w:name="_Toc265656937"/>
      <w:bookmarkStart w:id="5" w:name="_Toc265656754"/>
      <w:bookmarkStart w:id="6" w:name="_Toc308101318"/>
      <w:bookmarkStart w:id="7" w:name="_Toc38395522"/>
      <w:r>
        <w:rPr>
          <w:rFonts w:hint="eastAsia"/>
        </w:rPr>
        <w:t>2适用范围</w:t>
      </w:r>
      <w:bookmarkEnd w:id="4"/>
      <w:bookmarkEnd w:id="5"/>
      <w:bookmarkEnd w:id="6"/>
      <w:bookmarkEnd w:id="7"/>
    </w:p>
    <w:p w14:paraId="118A0563">
      <w:pPr>
        <w:spacing w:line="240" w:lineRule="auto"/>
        <w:ind w:firstLine="420" w:firstLineChars="200"/>
        <w:rPr>
          <w:rFonts w:hint="eastAsia"/>
        </w:rPr>
      </w:pPr>
      <w:r>
        <w:rPr>
          <w:rFonts w:hint="eastAsia"/>
          <w:bCs/>
          <w:color w:val="000000"/>
          <w:szCs w:val="21"/>
        </w:rPr>
        <w:t>配置管理流程适用于公司内部服务中心所涉及到所有客户与其内部关于IT基础设施、流程与文档、软硬件配置等方面的配置项管理。</w:t>
      </w:r>
    </w:p>
    <w:p w14:paraId="7E15D34E"/>
    <w:p w14:paraId="3846B8BD">
      <w:pPr>
        <w:pStyle w:val="2"/>
        <w:rPr>
          <w:rFonts w:hint="eastAsia"/>
        </w:rPr>
      </w:pPr>
      <w:bookmarkStart w:id="8" w:name="_Toc265656939"/>
      <w:bookmarkStart w:id="9" w:name="_Toc265656756"/>
      <w:bookmarkStart w:id="10" w:name="_Toc38395523"/>
      <w:bookmarkStart w:id="11" w:name="_Toc308101320"/>
      <w:r>
        <w:t>3</w:t>
      </w:r>
      <w:r>
        <w:rPr>
          <w:rFonts w:hint="eastAsia"/>
        </w:rPr>
        <w:t xml:space="preserve"> 职责</w:t>
      </w:r>
      <w:bookmarkEnd w:id="8"/>
      <w:bookmarkEnd w:id="9"/>
      <w:bookmarkEnd w:id="10"/>
      <w:bookmarkEnd w:id="11"/>
    </w:p>
    <w:tbl>
      <w:tblPr>
        <w:tblStyle w:val="9"/>
        <w:tblW w:w="5880" w:type="dxa"/>
        <w:tblInd w:w="1458" w:type="dxa"/>
        <w:tblLayout w:type="autofit"/>
        <w:tblCellMar>
          <w:top w:w="0" w:type="dxa"/>
          <w:left w:w="108" w:type="dxa"/>
          <w:bottom w:w="0" w:type="dxa"/>
          <w:right w:w="108" w:type="dxa"/>
        </w:tblCellMar>
      </w:tblPr>
      <w:tblGrid>
        <w:gridCol w:w="1600"/>
        <w:gridCol w:w="4280"/>
      </w:tblGrid>
      <w:tr w14:paraId="72F36F10">
        <w:trPr>
          <w:trHeight w:val="270" w:hRule="atLeast"/>
        </w:trPr>
        <w:tc>
          <w:tcPr>
            <w:tcW w:w="1600" w:type="dxa"/>
            <w:tcBorders>
              <w:top w:val="single" w:color="auto" w:sz="8" w:space="0"/>
              <w:left w:val="single" w:color="auto" w:sz="8" w:space="0"/>
              <w:bottom w:val="single" w:color="auto" w:sz="4" w:space="0"/>
              <w:right w:val="single" w:color="auto" w:sz="4" w:space="0"/>
            </w:tcBorders>
            <w:shd w:val="clear" w:color="auto" w:fill="auto"/>
            <w:noWrap/>
            <w:vAlign w:val="center"/>
          </w:tcPr>
          <w:p w14:paraId="3D0FB3FD">
            <w:pPr>
              <w:widowControl/>
              <w:spacing w:line="240" w:lineRule="auto"/>
              <w:jc w:val="left"/>
              <w:rPr>
                <w:rFonts w:ascii="宋体" w:hAnsi="宋体" w:cs="宋体"/>
                <w:color w:val="000000"/>
                <w:kern w:val="0"/>
                <w:szCs w:val="21"/>
              </w:rPr>
            </w:pPr>
            <w:r>
              <w:rPr>
                <w:rFonts w:hint="eastAsia" w:ascii="宋体" w:hAnsi="宋体" w:cs="宋体"/>
                <w:color w:val="000000"/>
                <w:kern w:val="0"/>
                <w:szCs w:val="21"/>
              </w:rPr>
              <w:t>角色</w:t>
            </w:r>
          </w:p>
        </w:tc>
        <w:tc>
          <w:tcPr>
            <w:tcW w:w="4280" w:type="dxa"/>
            <w:tcBorders>
              <w:top w:val="single" w:color="auto" w:sz="8" w:space="0"/>
              <w:left w:val="nil"/>
              <w:bottom w:val="single" w:color="auto" w:sz="4" w:space="0"/>
              <w:right w:val="single" w:color="auto" w:sz="8" w:space="0"/>
            </w:tcBorders>
            <w:shd w:val="clear" w:color="auto" w:fill="auto"/>
            <w:noWrap/>
            <w:vAlign w:val="center"/>
          </w:tcPr>
          <w:p w14:paraId="14AEE3C1">
            <w:pPr>
              <w:widowControl/>
              <w:spacing w:line="240" w:lineRule="auto"/>
              <w:jc w:val="left"/>
              <w:rPr>
                <w:rFonts w:ascii="宋体" w:hAnsi="宋体" w:cs="宋体"/>
                <w:color w:val="000000"/>
                <w:kern w:val="0"/>
                <w:szCs w:val="21"/>
              </w:rPr>
            </w:pPr>
            <w:r>
              <w:rPr>
                <w:rFonts w:hint="eastAsia" w:ascii="宋体" w:hAnsi="宋体" w:cs="宋体"/>
                <w:color w:val="000000"/>
                <w:kern w:val="0"/>
                <w:szCs w:val="21"/>
              </w:rPr>
              <w:t>职责</w:t>
            </w:r>
          </w:p>
        </w:tc>
      </w:tr>
      <w:tr w14:paraId="6585B0D7">
        <w:trPr>
          <w:trHeight w:val="270" w:hRule="atLeast"/>
        </w:trPr>
        <w:tc>
          <w:tcPr>
            <w:tcW w:w="1600" w:type="dxa"/>
            <w:tcBorders>
              <w:top w:val="nil"/>
              <w:left w:val="single" w:color="auto" w:sz="8" w:space="0"/>
              <w:bottom w:val="single" w:color="auto" w:sz="4" w:space="0"/>
              <w:right w:val="single" w:color="auto" w:sz="4" w:space="0"/>
            </w:tcBorders>
            <w:shd w:val="clear" w:color="auto" w:fill="auto"/>
            <w:noWrap/>
            <w:vAlign w:val="center"/>
          </w:tcPr>
          <w:p w14:paraId="1A9D6A15">
            <w:pPr>
              <w:widowControl/>
              <w:spacing w:line="240" w:lineRule="auto"/>
              <w:jc w:val="left"/>
              <w:rPr>
                <w:rFonts w:ascii="宋体" w:hAnsi="宋体" w:cs="宋体"/>
                <w:color w:val="000000"/>
                <w:kern w:val="0"/>
                <w:szCs w:val="21"/>
              </w:rPr>
            </w:pPr>
            <w:r>
              <w:rPr>
                <w:rFonts w:hint="eastAsia" w:ascii="宋体" w:hAnsi="宋体" w:cs="宋体"/>
                <w:color w:val="000000"/>
                <w:kern w:val="0"/>
                <w:szCs w:val="21"/>
              </w:rPr>
              <w:t>流程经理</w:t>
            </w:r>
          </w:p>
        </w:tc>
        <w:tc>
          <w:tcPr>
            <w:tcW w:w="4280" w:type="dxa"/>
            <w:tcBorders>
              <w:top w:val="nil"/>
              <w:left w:val="nil"/>
              <w:bottom w:val="single" w:color="auto" w:sz="4" w:space="0"/>
              <w:right w:val="single" w:color="auto" w:sz="8" w:space="0"/>
            </w:tcBorders>
            <w:shd w:val="clear" w:color="auto" w:fill="auto"/>
          </w:tcPr>
          <w:p w14:paraId="0EA7ED63">
            <w:pPr>
              <w:widowControl/>
              <w:spacing w:line="240" w:lineRule="auto"/>
              <w:ind w:firstLine="342" w:firstLineChars="163"/>
              <w:rPr>
                <w:rFonts w:ascii="宋体" w:hAnsi="宋体" w:cs="宋体"/>
                <w:color w:val="000000"/>
                <w:kern w:val="0"/>
                <w:szCs w:val="21"/>
              </w:rPr>
            </w:pPr>
            <w:r>
              <w:rPr>
                <w:rFonts w:hint="eastAsia" w:ascii="宋体" w:hAnsi="宋体" w:cs="宋体"/>
                <w:color w:val="000000"/>
                <w:kern w:val="0"/>
                <w:szCs w:val="21"/>
              </w:rPr>
              <w:t>负责制订配置管理流程文档。</w:t>
            </w:r>
          </w:p>
        </w:tc>
      </w:tr>
      <w:tr w14:paraId="576DDB72">
        <w:trPr>
          <w:trHeight w:val="1350" w:hRule="atLeast"/>
        </w:trPr>
        <w:tc>
          <w:tcPr>
            <w:tcW w:w="1600" w:type="dxa"/>
            <w:tcBorders>
              <w:top w:val="nil"/>
              <w:left w:val="single" w:color="auto" w:sz="8" w:space="0"/>
              <w:bottom w:val="single" w:color="auto" w:sz="4" w:space="0"/>
              <w:right w:val="single" w:color="auto" w:sz="4" w:space="0"/>
            </w:tcBorders>
            <w:shd w:val="clear" w:color="auto" w:fill="auto"/>
            <w:noWrap/>
            <w:vAlign w:val="center"/>
          </w:tcPr>
          <w:p w14:paraId="24783B4B">
            <w:pPr>
              <w:widowControl/>
              <w:spacing w:line="240" w:lineRule="auto"/>
              <w:jc w:val="left"/>
              <w:rPr>
                <w:rFonts w:ascii="宋体" w:hAnsi="宋体" w:cs="宋体"/>
                <w:color w:val="000000"/>
                <w:kern w:val="0"/>
                <w:szCs w:val="21"/>
              </w:rPr>
            </w:pPr>
            <w:r>
              <w:rPr>
                <w:rFonts w:hint="eastAsia" w:ascii="宋体" w:hAnsi="宋体" w:cs="宋体"/>
                <w:color w:val="000000"/>
                <w:kern w:val="0"/>
                <w:szCs w:val="21"/>
              </w:rPr>
              <w:t>配置经理</w:t>
            </w:r>
          </w:p>
        </w:tc>
        <w:tc>
          <w:tcPr>
            <w:tcW w:w="4280" w:type="dxa"/>
            <w:tcBorders>
              <w:top w:val="nil"/>
              <w:left w:val="nil"/>
              <w:bottom w:val="single" w:color="auto" w:sz="4" w:space="0"/>
              <w:right w:val="single" w:color="auto" w:sz="8" w:space="0"/>
            </w:tcBorders>
            <w:shd w:val="clear" w:color="auto" w:fill="auto"/>
            <w:vAlign w:val="center"/>
          </w:tcPr>
          <w:p w14:paraId="4DE98C95">
            <w:pPr>
              <w:widowControl/>
              <w:numPr>
                <w:ilvl w:val="0"/>
                <w:numId w:val="1"/>
              </w:numPr>
              <w:spacing w:line="240" w:lineRule="auto"/>
              <w:jc w:val="left"/>
              <w:rPr>
                <w:rFonts w:hint="eastAsia" w:ascii="宋体" w:hAnsi="宋体" w:cs="宋体"/>
                <w:color w:val="000000"/>
                <w:kern w:val="0"/>
                <w:szCs w:val="21"/>
              </w:rPr>
            </w:pPr>
            <w:r>
              <w:rPr>
                <w:rFonts w:hint="eastAsia" w:ascii="宋体" w:hAnsi="宋体" w:cs="宋体"/>
                <w:color w:val="000000"/>
                <w:kern w:val="0"/>
                <w:szCs w:val="21"/>
              </w:rPr>
              <w:t>负责审核配置项更改风险。</w:t>
            </w:r>
          </w:p>
          <w:p w14:paraId="79AC854B">
            <w:pPr>
              <w:widowControl/>
              <w:numPr>
                <w:ilvl w:val="0"/>
                <w:numId w:val="1"/>
              </w:numPr>
              <w:spacing w:line="240" w:lineRule="auto"/>
              <w:jc w:val="left"/>
              <w:rPr>
                <w:rFonts w:hint="eastAsia" w:ascii="宋体" w:hAnsi="宋体" w:cs="宋体"/>
                <w:color w:val="000000"/>
                <w:kern w:val="0"/>
                <w:szCs w:val="21"/>
              </w:rPr>
            </w:pPr>
            <w:r>
              <w:rPr>
                <w:rFonts w:hint="eastAsia" w:ascii="宋体" w:hAnsi="宋体" w:cs="宋体"/>
                <w:color w:val="000000"/>
                <w:kern w:val="0"/>
                <w:szCs w:val="21"/>
              </w:rPr>
              <w:t>负责监控配置管理流程的实施。</w:t>
            </w:r>
          </w:p>
          <w:p w14:paraId="5BFD93F9">
            <w:pPr>
              <w:widowControl/>
              <w:numPr>
                <w:ilvl w:val="0"/>
                <w:numId w:val="1"/>
              </w:numPr>
              <w:spacing w:line="240" w:lineRule="auto"/>
              <w:jc w:val="left"/>
              <w:rPr>
                <w:rFonts w:hint="eastAsia" w:ascii="宋体" w:hAnsi="宋体" w:cs="宋体"/>
                <w:color w:val="000000"/>
                <w:kern w:val="0"/>
                <w:szCs w:val="21"/>
              </w:rPr>
            </w:pPr>
            <w:r>
              <w:rPr>
                <w:rFonts w:hint="eastAsia" w:ascii="宋体" w:hAnsi="宋体" w:cs="宋体"/>
                <w:color w:val="000000"/>
                <w:kern w:val="0"/>
                <w:szCs w:val="21"/>
              </w:rPr>
              <w:t>牵头组建配置管理数据库与配置基线。</w:t>
            </w:r>
          </w:p>
          <w:p w14:paraId="1A5E6401">
            <w:pPr>
              <w:widowControl/>
              <w:numPr>
                <w:ilvl w:val="0"/>
                <w:numId w:val="1"/>
              </w:numPr>
              <w:spacing w:line="240" w:lineRule="auto"/>
              <w:jc w:val="left"/>
              <w:rPr>
                <w:rFonts w:hint="eastAsia" w:ascii="宋体" w:hAnsi="宋体" w:cs="宋体"/>
                <w:color w:val="000000"/>
                <w:kern w:val="0"/>
                <w:szCs w:val="21"/>
              </w:rPr>
            </w:pPr>
            <w:r>
              <w:rPr>
                <w:rFonts w:hint="eastAsia" w:ascii="宋体" w:hAnsi="宋体" w:cs="宋体"/>
                <w:color w:val="000000"/>
                <w:kern w:val="0"/>
                <w:szCs w:val="21"/>
              </w:rPr>
              <w:t>负责检查审计结果。</w:t>
            </w:r>
          </w:p>
          <w:p w14:paraId="39E5DA10">
            <w:pPr>
              <w:widowControl/>
              <w:numPr>
                <w:ilvl w:val="0"/>
                <w:numId w:val="1"/>
              </w:numPr>
              <w:spacing w:line="240" w:lineRule="auto"/>
              <w:jc w:val="left"/>
              <w:rPr>
                <w:rFonts w:hint="eastAsia" w:ascii="宋体" w:hAnsi="宋体" w:cs="宋体"/>
                <w:color w:val="000000"/>
                <w:kern w:val="0"/>
                <w:szCs w:val="21"/>
              </w:rPr>
            </w:pPr>
            <w:r>
              <w:rPr>
                <w:rFonts w:hint="eastAsia" w:ascii="宋体" w:hAnsi="宋体" w:cs="宋体"/>
                <w:color w:val="000000"/>
                <w:kern w:val="0"/>
                <w:szCs w:val="21"/>
              </w:rPr>
              <w:t>负责出具配置管理流程运行报告。</w:t>
            </w:r>
          </w:p>
          <w:p w14:paraId="6F8A7A08">
            <w:pPr>
              <w:widowControl/>
              <w:numPr>
                <w:ilvl w:val="0"/>
                <w:numId w:val="1"/>
              </w:numPr>
              <w:spacing w:line="240" w:lineRule="auto"/>
              <w:jc w:val="left"/>
              <w:rPr>
                <w:rFonts w:ascii="宋体" w:hAnsi="宋体" w:cs="宋体"/>
                <w:color w:val="000000"/>
                <w:kern w:val="0"/>
                <w:szCs w:val="21"/>
              </w:rPr>
            </w:pPr>
            <w:r>
              <w:rPr>
                <w:rFonts w:hint="eastAsia" w:ascii="宋体" w:hAnsi="宋体" w:cs="宋体"/>
                <w:color w:val="000000"/>
                <w:kern w:val="0"/>
                <w:szCs w:val="21"/>
              </w:rPr>
              <w:t>对配置管理流程结果负责。</w:t>
            </w:r>
          </w:p>
        </w:tc>
      </w:tr>
      <w:tr w14:paraId="70F1D303">
        <w:trPr>
          <w:trHeight w:val="1080" w:hRule="atLeast"/>
        </w:trPr>
        <w:tc>
          <w:tcPr>
            <w:tcW w:w="1600" w:type="dxa"/>
            <w:tcBorders>
              <w:top w:val="nil"/>
              <w:left w:val="single" w:color="auto" w:sz="8" w:space="0"/>
              <w:bottom w:val="single" w:color="auto" w:sz="4" w:space="0"/>
              <w:right w:val="single" w:color="auto" w:sz="4" w:space="0"/>
            </w:tcBorders>
            <w:shd w:val="clear" w:color="auto" w:fill="auto"/>
            <w:noWrap/>
            <w:vAlign w:val="center"/>
          </w:tcPr>
          <w:p w14:paraId="45467F92">
            <w:pPr>
              <w:widowControl/>
              <w:spacing w:line="240" w:lineRule="auto"/>
              <w:jc w:val="left"/>
              <w:rPr>
                <w:rFonts w:ascii="宋体" w:hAnsi="宋体" w:cs="宋体"/>
                <w:color w:val="000000"/>
                <w:kern w:val="0"/>
                <w:szCs w:val="21"/>
              </w:rPr>
            </w:pPr>
            <w:r>
              <w:rPr>
                <w:rFonts w:hint="eastAsia" w:ascii="宋体" w:hAnsi="宋体" w:cs="宋体"/>
                <w:color w:val="000000"/>
                <w:kern w:val="0"/>
                <w:szCs w:val="21"/>
              </w:rPr>
              <w:t>配置管理员</w:t>
            </w:r>
          </w:p>
        </w:tc>
        <w:tc>
          <w:tcPr>
            <w:tcW w:w="4280" w:type="dxa"/>
            <w:tcBorders>
              <w:top w:val="nil"/>
              <w:left w:val="nil"/>
              <w:bottom w:val="single" w:color="auto" w:sz="4" w:space="0"/>
              <w:right w:val="single" w:color="auto" w:sz="8" w:space="0"/>
            </w:tcBorders>
            <w:shd w:val="clear" w:color="auto" w:fill="auto"/>
            <w:vAlign w:val="center"/>
          </w:tcPr>
          <w:p w14:paraId="717D713F">
            <w:pPr>
              <w:widowControl/>
              <w:numPr>
                <w:ilvl w:val="0"/>
                <w:numId w:val="2"/>
              </w:numPr>
              <w:spacing w:line="240" w:lineRule="auto"/>
              <w:jc w:val="left"/>
              <w:rPr>
                <w:rFonts w:hint="eastAsia" w:ascii="宋体" w:hAnsi="宋体" w:cs="宋体"/>
                <w:color w:val="000000"/>
                <w:kern w:val="0"/>
                <w:szCs w:val="21"/>
              </w:rPr>
            </w:pPr>
            <w:r>
              <w:rPr>
                <w:rFonts w:hint="eastAsia" w:ascii="宋体" w:hAnsi="宋体" w:cs="宋体"/>
                <w:color w:val="000000"/>
                <w:kern w:val="0"/>
                <w:szCs w:val="21"/>
              </w:rPr>
              <w:t>监控每个配置项的改变。</w:t>
            </w:r>
          </w:p>
          <w:p w14:paraId="6541D0ED">
            <w:pPr>
              <w:widowControl/>
              <w:numPr>
                <w:ilvl w:val="0"/>
                <w:numId w:val="2"/>
              </w:numPr>
              <w:spacing w:line="240" w:lineRule="auto"/>
              <w:jc w:val="left"/>
              <w:rPr>
                <w:rFonts w:hint="eastAsia" w:ascii="宋体" w:hAnsi="宋体" w:cs="宋体"/>
                <w:color w:val="000000"/>
                <w:kern w:val="0"/>
                <w:szCs w:val="21"/>
              </w:rPr>
            </w:pPr>
            <w:r>
              <w:rPr>
                <w:rFonts w:hint="eastAsia" w:ascii="宋体" w:hAnsi="宋体" w:cs="宋体"/>
                <w:color w:val="000000"/>
                <w:kern w:val="0"/>
                <w:szCs w:val="21"/>
              </w:rPr>
              <w:t>核对配置项更改内容。</w:t>
            </w:r>
          </w:p>
          <w:p w14:paraId="0534CB6F">
            <w:pPr>
              <w:widowControl/>
              <w:numPr>
                <w:ilvl w:val="0"/>
                <w:numId w:val="2"/>
              </w:numPr>
              <w:spacing w:line="240" w:lineRule="auto"/>
              <w:jc w:val="left"/>
              <w:rPr>
                <w:rFonts w:hint="eastAsia" w:ascii="宋体" w:hAnsi="宋体" w:cs="宋体"/>
                <w:color w:val="000000"/>
                <w:kern w:val="0"/>
                <w:szCs w:val="21"/>
              </w:rPr>
            </w:pPr>
            <w:r>
              <w:rPr>
                <w:rFonts w:hint="eastAsia" w:ascii="宋体" w:hAnsi="宋体" w:cs="宋体"/>
                <w:color w:val="000000"/>
                <w:kern w:val="0"/>
                <w:szCs w:val="21"/>
              </w:rPr>
              <w:t>负责配置管理数据库的日常维护。</w:t>
            </w:r>
          </w:p>
          <w:p w14:paraId="0C7F88DB">
            <w:pPr>
              <w:widowControl/>
              <w:numPr>
                <w:ilvl w:val="0"/>
                <w:numId w:val="2"/>
              </w:numPr>
              <w:spacing w:line="240" w:lineRule="auto"/>
              <w:jc w:val="left"/>
              <w:rPr>
                <w:rFonts w:hint="eastAsia" w:ascii="宋体" w:hAnsi="宋体" w:cs="宋体"/>
                <w:color w:val="000000"/>
                <w:kern w:val="0"/>
                <w:szCs w:val="21"/>
              </w:rPr>
            </w:pPr>
            <w:r>
              <w:rPr>
                <w:rFonts w:hint="eastAsia" w:ascii="宋体" w:hAnsi="宋体" w:cs="宋体"/>
                <w:color w:val="000000"/>
                <w:kern w:val="0"/>
                <w:szCs w:val="21"/>
              </w:rPr>
              <w:t>配置项变更后通知相关人员。</w:t>
            </w:r>
          </w:p>
          <w:p w14:paraId="13FBA58B">
            <w:pPr>
              <w:widowControl/>
              <w:numPr>
                <w:ilvl w:val="0"/>
                <w:numId w:val="2"/>
              </w:numPr>
              <w:spacing w:line="240" w:lineRule="auto"/>
              <w:jc w:val="left"/>
              <w:rPr>
                <w:rFonts w:ascii="宋体" w:hAnsi="宋体" w:cs="宋体"/>
                <w:color w:val="000000"/>
                <w:kern w:val="0"/>
                <w:szCs w:val="21"/>
              </w:rPr>
            </w:pPr>
            <w:r>
              <w:rPr>
                <w:rFonts w:hint="eastAsia" w:ascii="宋体" w:hAnsi="宋体" w:cs="宋体"/>
                <w:color w:val="000000"/>
                <w:kern w:val="0"/>
                <w:szCs w:val="21"/>
              </w:rPr>
              <w:t>协助配置经理工作</w:t>
            </w:r>
          </w:p>
        </w:tc>
      </w:tr>
      <w:tr w14:paraId="1DA9D2B2">
        <w:trPr>
          <w:trHeight w:val="958" w:hRule="atLeast"/>
        </w:trPr>
        <w:tc>
          <w:tcPr>
            <w:tcW w:w="1600" w:type="dxa"/>
            <w:tcBorders>
              <w:top w:val="nil"/>
              <w:left w:val="single" w:color="auto" w:sz="8" w:space="0"/>
              <w:bottom w:val="single" w:color="auto" w:sz="4" w:space="0"/>
              <w:right w:val="single" w:color="auto" w:sz="4" w:space="0"/>
            </w:tcBorders>
            <w:shd w:val="clear" w:color="auto" w:fill="auto"/>
            <w:noWrap/>
            <w:vAlign w:val="center"/>
          </w:tcPr>
          <w:p w14:paraId="6D05D9B8">
            <w:pPr>
              <w:widowControl/>
              <w:spacing w:line="240" w:lineRule="auto"/>
              <w:jc w:val="left"/>
              <w:rPr>
                <w:rFonts w:ascii="宋体" w:hAnsi="宋体" w:cs="宋体"/>
                <w:color w:val="000000"/>
                <w:kern w:val="0"/>
                <w:szCs w:val="21"/>
              </w:rPr>
            </w:pPr>
            <w:r>
              <w:rPr>
                <w:rFonts w:hint="eastAsia" w:ascii="宋体" w:hAnsi="宋体" w:cs="宋体"/>
                <w:color w:val="000000"/>
                <w:kern w:val="0"/>
                <w:szCs w:val="21"/>
              </w:rPr>
              <w:t>配置审计员</w:t>
            </w:r>
          </w:p>
        </w:tc>
        <w:tc>
          <w:tcPr>
            <w:tcW w:w="4280" w:type="dxa"/>
            <w:tcBorders>
              <w:top w:val="nil"/>
              <w:left w:val="nil"/>
              <w:bottom w:val="single" w:color="auto" w:sz="4" w:space="0"/>
              <w:right w:val="single" w:color="auto" w:sz="8" w:space="0"/>
            </w:tcBorders>
            <w:shd w:val="clear" w:color="auto" w:fill="auto"/>
            <w:vAlign w:val="center"/>
          </w:tcPr>
          <w:p w14:paraId="63EB8E7A">
            <w:pPr>
              <w:widowControl/>
              <w:numPr>
                <w:ilvl w:val="0"/>
                <w:numId w:val="3"/>
              </w:numPr>
              <w:spacing w:line="240" w:lineRule="auto"/>
              <w:jc w:val="left"/>
              <w:rPr>
                <w:rFonts w:hint="eastAsia" w:ascii="宋体" w:hAnsi="宋体" w:cs="宋体"/>
                <w:color w:val="000000"/>
                <w:kern w:val="0"/>
                <w:szCs w:val="21"/>
              </w:rPr>
            </w:pPr>
            <w:r>
              <w:rPr>
                <w:rFonts w:hint="eastAsia" w:ascii="宋体" w:hAnsi="宋体" w:cs="宋体"/>
                <w:color w:val="000000"/>
                <w:kern w:val="0"/>
                <w:szCs w:val="21"/>
              </w:rPr>
              <w:t>按计划对配置管理数据库进行基准核对。</w:t>
            </w:r>
          </w:p>
          <w:p w14:paraId="7675773E">
            <w:pPr>
              <w:widowControl/>
              <w:numPr>
                <w:ilvl w:val="0"/>
                <w:numId w:val="3"/>
              </w:numPr>
              <w:spacing w:line="240" w:lineRule="auto"/>
              <w:jc w:val="left"/>
              <w:rPr>
                <w:rFonts w:hint="eastAsia" w:ascii="宋体" w:hAnsi="宋体" w:cs="宋体"/>
                <w:color w:val="000000"/>
                <w:kern w:val="0"/>
                <w:szCs w:val="21"/>
              </w:rPr>
            </w:pPr>
            <w:r>
              <w:rPr>
                <w:rFonts w:hint="eastAsia" w:ascii="宋体" w:hAnsi="宋体" w:cs="宋体"/>
                <w:color w:val="000000"/>
                <w:kern w:val="0"/>
                <w:szCs w:val="21"/>
              </w:rPr>
              <w:t>维护与改变配置基线数据。</w:t>
            </w:r>
          </w:p>
          <w:p w14:paraId="3192C457">
            <w:pPr>
              <w:widowControl/>
              <w:numPr>
                <w:ilvl w:val="0"/>
                <w:numId w:val="3"/>
              </w:numPr>
              <w:spacing w:line="240" w:lineRule="auto"/>
              <w:jc w:val="left"/>
              <w:rPr>
                <w:rFonts w:hint="eastAsia" w:ascii="宋体" w:hAnsi="宋体" w:cs="宋体"/>
                <w:color w:val="000000"/>
                <w:kern w:val="0"/>
                <w:szCs w:val="21"/>
              </w:rPr>
            </w:pPr>
            <w:r>
              <w:rPr>
                <w:rFonts w:hint="eastAsia" w:ascii="宋体" w:hAnsi="宋体" w:cs="宋体"/>
                <w:color w:val="000000"/>
                <w:kern w:val="0"/>
                <w:szCs w:val="21"/>
              </w:rPr>
              <w:t>出具配置管理数据库审计报告。</w:t>
            </w:r>
          </w:p>
          <w:p w14:paraId="2A385BD8">
            <w:pPr>
              <w:widowControl/>
              <w:numPr>
                <w:ilvl w:val="0"/>
                <w:numId w:val="3"/>
              </w:numPr>
              <w:spacing w:line="240" w:lineRule="auto"/>
              <w:jc w:val="left"/>
              <w:rPr>
                <w:rFonts w:ascii="宋体" w:hAnsi="宋体" w:cs="宋体"/>
                <w:color w:val="000000"/>
                <w:kern w:val="0"/>
                <w:szCs w:val="21"/>
              </w:rPr>
            </w:pPr>
            <w:r>
              <w:rPr>
                <w:rFonts w:hint="eastAsia" w:ascii="宋体" w:hAnsi="宋体" w:cs="宋体"/>
                <w:color w:val="000000"/>
                <w:kern w:val="0"/>
                <w:szCs w:val="21"/>
              </w:rPr>
              <w:t>协助配置经理工作</w:t>
            </w:r>
          </w:p>
        </w:tc>
      </w:tr>
    </w:tbl>
    <w:p w14:paraId="17F77CC1"/>
    <w:p w14:paraId="627AD800">
      <w:pPr>
        <w:pStyle w:val="2"/>
        <w:rPr>
          <w:rFonts w:hint="eastAsia"/>
        </w:rPr>
      </w:pPr>
      <w:bookmarkStart w:id="12" w:name="_Toc38395524"/>
      <w:bookmarkStart w:id="13" w:name="_Toc308101322"/>
      <w:r>
        <w:t>4</w:t>
      </w:r>
      <w:r>
        <w:rPr>
          <w:rFonts w:hint="eastAsia"/>
        </w:rPr>
        <w:t xml:space="preserve"> 流程说明</w:t>
      </w:r>
      <w:bookmarkEnd w:id="12"/>
      <w:bookmarkEnd w:id="13"/>
    </w:p>
    <w:p w14:paraId="038B0B77">
      <w:pPr>
        <w:pStyle w:val="3"/>
        <w:rPr>
          <w:rFonts w:hint="eastAsia"/>
        </w:rPr>
      </w:pPr>
      <w:bookmarkStart w:id="14" w:name="_Toc38395525"/>
      <w:bookmarkStart w:id="15" w:name="_Toc308101323"/>
      <w:r>
        <w:t>4</w:t>
      </w:r>
      <w:r>
        <w:rPr>
          <w:rFonts w:hint="eastAsia"/>
        </w:rPr>
        <w:t>.1核对配置项更改内容</w:t>
      </w:r>
      <w:bookmarkEnd w:id="14"/>
      <w:bookmarkEnd w:id="15"/>
    </w:p>
    <w:p w14:paraId="0E4A1B53">
      <w:pPr>
        <w:ind w:left="424" w:leftChars="202" w:firstLine="420" w:firstLineChars="200"/>
        <w:rPr>
          <w:rFonts w:hint="eastAsia"/>
        </w:rPr>
      </w:pPr>
      <w:r>
        <w:rPr>
          <w:rFonts w:hint="eastAsia"/>
        </w:rPr>
        <w:t>当变更流程结束后会触发配置管理流程，这时需要配置管理员对已改变的配置项进行初步核对与提交。具体包括以下内容：</w:t>
      </w:r>
    </w:p>
    <w:p w14:paraId="723EB767">
      <w:pPr>
        <w:numPr>
          <w:ilvl w:val="0"/>
          <w:numId w:val="4"/>
        </w:numPr>
        <w:rPr>
          <w:rFonts w:hint="eastAsia"/>
        </w:rPr>
      </w:pPr>
      <w:r>
        <w:rPr>
          <w:rFonts w:hint="eastAsia"/>
        </w:rPr>
        <w:t>等待变更受理员关于配置项变更的通知。</w:t>
      </w:r>
    </w:p>
    <w:p w14:paraId="3EF9B7EF">
      <w:pPr>
        <w:numPr>
          <w:ilvl w:val="0"/>
          <w:numId w:val="4"/>
        </w:numPr>
        <w:rPr>
          <w:rFonts w:hint="eastAsia"/>
        </w:rPr>
      </w:pPr>
      <w:r>
        <w:rPr>
          <w:rFonts w:hint="eastAsia"/>
        </w:rPr>
        <w:t>参照已有配置管理数据库，并对配置项做初步核对。</w:t>
      </w:r>
    </w:p>
    <w:p w14:paraId="6ABB4BDE">
      <w:pPr>
        <w:numPr>
          <w:ilvl w:val="0"/>
          <w:numId w:val="4"/>
        </w:numPr>
        <w:rPr>
          <w:rFonts w:hint="eastAsia"/>
        </w:rPr>
      </w:pPr>
      <w:r>
        <w:rPr>
          <w:rFonts w:hint="eastAsia"/>
        </w:rPr>
        <w:t>提交配置经理审批。</w:t>
      </w:r>
    </w:p>
    <w:p w14:paraId="033F8BA6">
      <w:pPr>
        <w:numPr>
          <w:ilvl w:val="0"/>
          <w:numId w:val="4"/>
        </w:numPr>
        <w:rPr>
          <w:rFonts w:hint="eastAsia"/>
        </w:rPr>
      </w:pPr>
      <w:r>
        <w:rPr>
          <w:rFonts w:hint="eastAsia"/>
        </w:rPr>
        <w:t>对于拒绝审批的配置项，应从新核对配置管理数据库中相关内容。</w:t>
      </w:r>
    </w:p>
    <w:p w14:paraId="6F79151B">
      <w:pPr>
        <w:pStyle w:val="3"/>
        <w:rPr>
          <w:rFonts w:hint="eastAsia"/>
        </w:rPr>
      </w:pPr>
      <w:bookmarkStart w:id="16" w:name="_Toc308101324"/>
      <w:bookmarkStart w:id="17" w:name="_Toc38395526"/>
      <w:r>
        <w:rPr>
          <w:rFonts w:hint="eastAsia"/>
        </w:rPr>
        <w:t>4</w:t>
      </w:r>
      <w:r>
        <w:t>.2</w:t>
      </w:r>
      <w:r>
        <w:rPr>
          <w:rFonts w:hint="eastAsia"/>
        </w:rPr>
        <w:t>批准与拒绝更新配置管理数据库</w:t>
      </w:r>
      <w:bookmarkEnd w:id="16"/>
      <w:bookmarkEnd w:id="17"/>
    </w:p>
    <w:p w14:paraId="7324F479">
      <w:pPr>
        <w:ind w:left="424" w:leftChars="202" w:firstLine="424" w:firstLineChars="202"/>
        <w:rPr>
          <w:rFonts w:hint="eastAsia"/>
        </w:rPr>
      </w:pPr>
      <w:r>
        <w:rPr>
          <w:rFonts w:hint="eastAsia"/>
        </w:rPr>
        <w:t>配置经理在得到配置管理员提交的更改请求后，需要对配置项变更进行风险控制。具体包括以下内容：</w:t>
      </w:r>
    </w:p>
    <w:p w14:paraId="0992171F">
      <w:pPr>
        <w:numPr>
          <w:ilvl w:val="0"/>
          <w:numId w:val="5"/>
        </w:numPr>
        <w:ind w:left="1276"/>
        <w:rPr>
          <w:rFonts w:hint="eastAsia"/>
        </w:rPr>
      </w:pPr>
      <w:r>
        <w:rPr>
          <w:rFonts w:hint="eastAsia"/>
        </w:rPr>
        <w:t>分析配置管理员提交的配置项更改中所涉及到的法律法规、国家标准、公司规定、财务、人力、客户合同、服务级别协议以及能够影响到的所有IT业务系统，从中找出风险并加以分析。</w:t>
      </w:r>
    </w:p>
    <w:p w14:paraId="2DAB5164">
      <w:pPr>
        <w:numPr>
          <w:ilvl w:val="0"/>
          <w:numId w:val="5"/>
        </w:numPr>
        <w:ind w:left="1276"/>
        <w:rPr>
          <w:rFonts w:hint="eastAsia"/>
        </w:rPr>
      </w:pPr>
      <w:r>
        <w:rPr>
          <w:rFonts w:hint="eastAsia"/>
        </w:rPr>
        <w:t>对比相关风险与受益，得出审批结果。</w:t>
      </w:r>
    </w:p>
    <w:p w14:paraId="240A639B">
      <w:pPr>
        <w:numPr>
          <w:ilvl w:val="0"/>
          <w:numId w:val="5"/>
        </w:numPr>
        <w:ind w:left="1276"/>
        <w:rPr>
          <w:rFonts w:hint="eastAsia"/>
        </w:rPr>
      </w:pPr>
      <w:r>
        <w:rPr>
          <w:rFonts w:hint="eastAsia"/>
        </w:rPr>
        <w:t>如批准配置项更改，应通知配置管理员对相关配置项进行更改。</w:t>
      </w:r>
    </w:p>
    <w:p w14:paraId="6198C3A6">
      <w:pPr>
        <w:numPr>
          <w:ilvl w:val="0"/>
          <w:numId w:val="5"/>
        </w:numPr>
        <w:ind w:left="1276"/>
        <w:rPr>
          <w:rFonts w:hint="eastAsia"/>
        </w:rPr>
      </w:pPr>
      <w:r>
        <w:rPr>
          <w:rFonts w:hint="eastAsia"/>
        </w:rPr>
        <w:t>如拒绝配置项更改，应通知配置管理员配置项更改拒绝理由。</w:t>
      </w:r>
    </w:p>
    <w:p w14:paraId="29B622A1">
      <w:pPr>
        <w:numPr>
          <w:ilvl w:val="0"/>
          <w:numId w:val="5"/>
        </w:numPr>
        <w:ind w:left="1276"/>
        <w:rPr>
          <w:rFonts w:hint="eastAsia"/>
        </w:rPr>
      </w:pPr>
      <w:r>
        <w:rPr>
          <w:rFonts w:hint="eastAsia"/>
        </w:rPr>
        <w:t>如取消配置项更改，应由配置经理标明取消理由。</w:t>
      </w:r>
    </w:p>
    <w:p w14:paraId="4A8E2E39">
      <w:pPr>
        <w:numPr>
          <w:ilvl w:val="0"/>
          <w:numId w:val="5"/>
        </w:numPr>
        <w:ind w:left="1276"/>
        <w:rPr>
          <w:rFonts w:hint="eastAsia"/>
        </w:rPr>
      </w:pPr>
      <w:r>
        <w:rPr>
          <w:rFonts w:hint="eastAsia"/>
        </w:rPr>
        <w:t>如配置项信息不足以得出结论，配置经理应同配置管理员了解配置项情况。</w:t>
      </w:r>
    </w:p>
    <w:p w14:paraId="143E042A">
      <w:pPr>
        <w:pStyle w:val="3"/>
        <w:rPr>
          <w:rFonts w:hint="eastAsia"/>
        </w:rPr>
      </w:pPr>
      <w:bookmarkStart w:id="18" w:name="_Toc308101325"/>
      <w:bookmarkStart w:id="19" w:name="_Toc38395527"/>
      <w:r>
        <w:t>4</w:t>
      </w:r>
      <w:r>
        <w:rPr>
          <w:rFonts w:hint="eastAsia"/>
        </w:rPr>
        <w:t>.3取消</w:t>
      </w:r>
      <w:bookmarkEnd w:id="18"/>
      <w:bookmarkEnd w:id="19"/>
    </w:p>
    <w:p w14:paraId="64E20AB9">
      <w:pPr>
        <w:ind w:left="420" w:firstLine="430" w:firstLineChars="205"/>
        <w:rPr>
          <w:rFonts w:hint="eastAsia"/>
        </w:rPr>
      </w:pPr>
      <w:r>
        <w:rPr>
          <w:rFonts w:hint="eastAsia"/>
        </w:rPr>
        <w:t>配置经理在取消配置项更改时，需要填写取消理由，并通知配置管理员。具体包括以下内容：</w:t>
      </w:r>
    </w:p>
    <w:p w14:paraId="3B382C51">
      <w:pPr>
        <w:numPr>
          <w:ilvl w:val="0"/>
          <w:numId w:val="6"/>
        </w:numPr>
        <w:ind w:left="1276" w:hanging="425"/>
        <w:rPr>
          <w:rFonts w:hint="eastAsia"/>
        </w:rPr>
      </w:pPr>
      <w:r>
        <w:rPr>
          <w:rFonts w:hint="eastAsia"/>
        </w:rPr>
        <w:t>详细填写取消理由。</w:t>
      </w:r>
    </w:p>
    <w:p w14:paraId="5A56FC42">
      <w:pPr>
        <w:numPr>
          <w:ilvl w:val="0"/>
          <w:numId w:val="6"/>
        </w:numPr>
        <w:ind w:left="1276" w:hanging="425"/>
        <w:rPr>
          <w:rFonts w:hint="eastAsia"/>
        </w:rPr>
      </w:pPr>
      <w:r>
        <w:rPr>
          <w:rFonts w:hint="eastAsia"/>
        </w:rPr>
        <w:t>对于已取消的配置项内容，应如实记录在案，以便今后查询。</w:t>
      </w:r>
    </w:p>
    <w:p w14:paraId="6EF239E8">
      <w:pPr>
        <w:numPr>
          <w:ilvl w:val="0"/>
          <w:numId w:val="6"/>
        </w:numPr>
        <w:ind w:left="1276" w:hanging="425"/>
        <w:rPr>
          <w:rFonts w:hint="eastAsia"/>
        </w:rPr>
      </w:pPr>
      <w:r>
        <w:rPr>
          <w:rFonts w:hint="eastAsia"/>
        </w:rPr>
        <w:t>应通知配置管理员配置项取消理由。</w:t>
      </w:r>
    </w:p>
    <w:p w14:paraId="429D1EA4">
      <w:pPr>
        <w:pStyle w:val="3"/>
        <w:rPr>
          <w:rFonts w:hint="eastAsia"/>
        </w:rPr>
      </w:pPr>
      <w:bookmarkStart w:id="20" w:name="_Toc38395528"/>
      <w:bookmarkStart w:id="21" w:name="_Toc308101326"/>
      <w:r>
        <w:t>4</w:t>
      </w:r>
      <w:r>
        <w:rPr>
          <w:rFonts w:hint="eastAsia"/>
        </w:rPr>
        <w:t>.4更改配置管理数据库</w:t>
      </w:r>
      <w:bookmarkEnd w:id="20"/>
      <w:bookmarkEnd w:id="21"/>
    </w:p>
    <w:p w14:paraId="4B924D60">
      <w:pPr>
        <w:ind w:left="420" w:firstLine="430" w:firstLineChars="205"/>
        <w:rPr>
          <w:rFonts w:hint="eastAsia"/>
        </w:rPr>
      </w:pPr>
      <w:r>
        <w:rPr>
          <w:rFonts w:hint="eastAsia"/>
        </w:rPr>
        <w:t>经由配置经理审批的配置项更改，配置管理员应立即修改配置管理数据库中相应内容。具体包括以下内容：</w:t>
      </w:r>
    </w:p>
    <w:p w14:paraId="54760BD9">
      <w:pPr>
        <w:numPr>
          <w:ilvl w:val="0"/>
          <w:numId w:val="7"/>
        </w:numPr>
        <w:ind w:left="1276"/>
        <w:rPr>
          <w:rFonts w:hint="eastAsia"/>
        </w:rPr>
      </w:pPr>
      <w:r>
        <w:rPr>
          <w:rFonts w:hint="eastAsia"/>
        </w:rPr>
        <w:t>再次核对配置项与配置管理数据库中相应的内容。</w:t>
      </w:r>
    </w:p>
    <w:p w14:paraId="721E34BA">
      <w:pPr>
        <w:numPr>
          <w:ilvl w:val="0"/>
          <w:numId w:val="7"/>
        </w:numPr>
        <w:ind w:left="1276" w:hanging="425"/>
        <w:rPr>
          <w:rFonts w:hint="eastAsia"/>
        </w:rPr>
      </w:pPr>
      <w:r>
        <w:rPr>
          <w:rFonts w:hint="eastAsia"/>
        </w:rPr>
        <w:t>判断已变更的配置项是否为新建的配置项。</w:t>
      </w:r>
    </w:p>
    <w:p w14:paraId="3FDDBFAA">
      <w:pPr>
        <w:numPr>
          <w:ilvl w:val="0"/>
          <w:numId w:val="7"/>
        </w:numPr>
        <w:ind w:left="1276" w:hanging="425"/>
        <w:rPr>
          <w:rFonts w:hint="eastAsia"/>
        </w:rPr>
      </w:pPr>
      <w:r>
        <w:rPr>
          <w:rFonts w:hint="eastAsia"/>
        </w:rPr>
        <w:t>如为新配置项，应在配置管理系统中建立新配置项，并填写相关内容。</w:t>
      </w:r>
    </w:p>
    <w:p w14:paraId="69F1153A">
      <w:pPr>
        <w:numPr>
          <w:ilvl w:val="0"/>
          <w:numId w:val="7"/>
        </w:numPr>
        <w:ind w:left="1276" w:hanging="425"/>
        <w:rPr>
          <w:rFonts w:hint="eastAsia"/>
        </w:rPr>
      </w:pPr>
      <w:r>
        <w:rPr>
          <w:rFonts w:hint="eastAsia"/>
        </w:rPr>
        <w:t>如为已有配置项，应对配置管理系统中的旧配置项做出更改。</w:t>
      </w:r>
    </w:p>
    <w:p w14:paraId="0A25CDDC">
      <w:pPr>
        <w:numPr>
          <w:ilvl w:val="0"/>
          <w:numId w:val="7"/>
        </w:numPr>
        <w:ind w:left="1276"/>
        <w:rPr>
          <w:rFonts w:hint="eastAsia"/>
        </w:rPr>
      </w:pPr>
      <w:r>
        <w:rPr>
          <w:rFonts w:hint="eastAsia"/>
        </w:rPr>
        <w:t>修改完成后，应通知配置经理和与其相关人员关于配置项修改的结果。</w:t>
      </w:r>
    </w:p>
    <w:p w14:paraId="16A2188F">
      <w:pPr>
        <w:pStyle w:val="3"/>
        <w:rPr>
          <w:rFonts w:hint="eastAsia"/>
        </w:rPr>
      </w:pPr>
      <w:bookmarkStart w:id="22" w:name="_Toc308101327"/>
      <w:bookmarkStart w:id="23" w:name="_Toc38395529"/>
      <w:r>
        <w:t>4</w:t>
      </w:r>
      <w:r>
        <w:rPr>
          <w:rFonts w:hint="eastAsia"/>
        </w:rPr>
        <w:t>.5通知相关人员</w:t>
      </w:r>
      <w:bookmarkEnd w:id="22"/>
      <w:bookmarkEnd w:id="23"/>
    </w:p>
    <w:p w14:paraId="7957A532">
      <w:pPr>
        <w:ind w:left="420" w:firstLine="430" w:firstLineChars="205"/>
        <w:rPr>
          <w:rFonts w:hint="eastAsia"/>
        </w:rPr>
      </w:pPr>
      <w:r>
        <w:rPr>
          <w:rFonts w:hint="eastAsia"/>
        </w:rPr>
        <w:t>在流程完成后，应由配置管理员通知配置项修改的相关人员，以保证信息的及时沟通。具体包括以下内容：</w:t>
      </w:r>
    </w:p>
    <w:p w14:paraId="56490C77">
      <w:pPr>
        <w:numPr>
          <w:ilvl w:val="0"/>
          <w:numId w:val="8"/>
        </w:numPr>
        <w:ind w:left="1276" w:hanging="425"/>
        <w:rPr>
          <w:rFonts w:hint="eastAsia"/>
        </w:rPr>
      </w:pPr>
      <w:r>
        <w:rPr>
          <w:rFonts w:hint="eastAsia"/>
        </w:rPr>
        <w:t>应根据不同情况通知相关人员。</w:t>
      </w:r>
    </w:p>
    <w:p w14:paraId="0CADF33B">
      <w:pPr>
        <w:numPr>
          <w:ilvl w:val="0"/>
          <w:numId w:val="8"/>
        </w:numPr>
        <w:ind w:left="1276" w:hanging="425"/>
        <w:rPr>
          <w:rFonts w:hint="eastAsia"/>
        </w:rPr>
      </w:pPr>
      <w:r>
        <w:rPr>
          <w:rFonts w:hint="eastAsia"/>
        </w:rPr>
        <w:t>如取消的配置项更改信息，应主要通知该配置项的变更受理人，并说明取消理由。</w:t>
      </w:r>
    </w:p>
    <w:p w14:paraId="377A0A48">
      <w:pPr>
        <w:numPr>
          <w:ilvl w:val="0"/>
          <w:numId w:val="8"/>
        </w:numPr>
        <w:ind w:left="1276" w:hanging="425"/>
        <w:rPr>
          <w:rFonts w:hint="eastAsia"/>
        </w:rPr>
      </w:pPr>
      <w:r>
        <w:rPr>
          <w:rFonts w:hint="eastAsia"/>
        </w:rPr>
        <w:t>如完成的配置项更改信息，应主要通知配置审计员。</w:t>
      </w:r>
    </w:p>
    <w:p w14:paraId="064ABE26">
      <w:pPr>
        <w:numPr>
          <w:ilvl w:val="0"/>
          <w:numId w:val="8"/>
        </w:numPr>
        <w:ind w:left="1276" w:hanging="425"/>
        <w:rPr>
          <w:rFonts w:hint="eastAsia"/>
        </w:rPr>
      </w:pPr>
      <w:r>
        <w:rPr>
          <w:rFonts w:hint="eastAsia"/>
        </w:rPr>
        <w:t>可通过打包的形式一次性通知多次配置项更改。</w:t>
      </w:r>
    </w:p>
    <w:p w14:paraId="3434C3AF">
      <w:pPr>
        <w:numPr>
          <w:ilvl w:val="0"/>
          <w:numId w:val="8"/>
        </w:numPr>
        <w:ind w:left="1276" w:hanging="425"/>
        <w:rPr>
          <w:rFonts w:hint="eastAsia"/>
        </w:rPr>
      </w:pPr>
      <w:r>
        <w:rPr>
          <w:rFonts w:hint="eastAsia"/>
        </w:rPr>
        <w:t>通知手段可采用：电子邮件、电话、口头等形式。</w:t>
      </w:r>
    </w:p>
    <w:p w14:paraId="77A848FA">
      <w:pPr>
        <w:pStyle w:val="2"/>
        <w:rPr>
          <w:rFonts w:hint="eastAsia"/>
        </w:rPr>
      </w:pPr>
      <w:bookmarkStart w:id="24" w:name="_Toc38395530"/>
      <w:bookmarkStart w:id="25" w:name="_Toc308101328"/>
      <w:r>
        <w:t>5</w:t>
      </w:r>
      <w:r>
        <w:rPr>
          <w:rFonts w:hint="eastAsia"/>
        </w:rPr>
        <w:t>输入与输出</w:t>
      </w:r>
      <w:bookmarkEnd w:id="24"/>
      <w:bookmarkEnd w:id="25"/>
    </w:p>
    <w:p w14:paraId="77F04A0C">
      <w:pPr>
        <w:ind w:left="424" w:leftChars="202" w:firstLine="422" w:firstLineChars="201"/>
        <w:rPr>
          <w:rFonts w:hint="eastAsia"/>
        </w:rPr>
      </w:pPr>
      <w:r>
        <w:rPr>
          <w:rFonts w:hint="eastAsia"/>
        </w:rPr>
        <w:t>配置管理流程在实际运行中需要涉及到部分流程与信息。同时也会成为配置管理流程的输出项。其具体内容如下：</w:t>
      </w:r>
    </w:p>
    <w:p w14:paraId="01C11AA6">
      <w:pPr>
        <w:numPr>
          <w:ilvl w:val="0"/>
          <w:numId w:val="9"/>
        </w:numPr>
        <w:ind w:left="1276"/>
        <w:rPr>
          <w:rFonts w:hint="eastAsia"/>
        </w:rPr>
      </w:pPr>
      <w:r>
        <w:rPr>
          <w:rFonts w:hint="eastAsia"/>
        </w:rPr>
        <w:t>配置管理的输入包括:</w:t>
      </w:r>
    </w:p>
    <w:p w14:paraId="47560A07">
      <w:pPr>
        <w:ind w:left="1701" w:leftChars="608" w:hanging="424" w:hangingChars="202"/>
        <w:rPr>
          <w:rFonts w:hint="eastAsia"/>
        </w:rPr>
      </w:pPr>
      <w:r>
        <w:rPr>
          <w:rFonts w:hint="eastAsia"/>
        </w:rPr>
        <w:t>变更管理流程；</w:t>
      </w:r>
    </w:p>
    <w:p w14:paraId="7D9D1930">
      <w:pPr>
        <w:ind w:left="1701" w:leftChars="608" w:hanging="424" w:hangingChars="202"/>
        <w:rPr>
          <w:rFonts w:hint="eastAsia"/>
        </w:rPr>
      </w:pPr>
      <w:r>
        <w:rPr>
          <w:rFonts w:hint="eastAsia"/>
        </w:rPr>
        <w:t>配置项改变申请；</w:t>
      </w:r>
    </w:p>
    <w:p w14:paraId="52922D77">
      <w:pPr>
        <w:numPr>
          <w:ilvl w:val="0"/>
          <w:numId w:val="9"/>
        </w:numPr>
        <w:ind w:left="1276"/>
        <w:rPr>
          <w:rFonts w:hint="eastAsia"/>
        </w:rPr>
      </w:pPr>
      <w:r>
        <w:rPr>
          <w:rFonts w:hint="eastAsia"/>
        </w:rPr>
        <w:t>配置管理的输出包括：</w:t>
      </w:r>
    </w:p>
    <w:p w14:paraId="1D0C7D65">
      <w:pPr>
        <w:ind w:left="1276"/>
        <w:rPr>
          <w:rFonts w:hint="eastAsia"/>
        </w:rPr>
      </w:pPr>
      <w:r>
        <w:rPr>
          <w:rFonts w:hint="eastAsia"/>
        </w:rPr>
        <w:t>配置管理数据库（CMDB）；</w:t>
      </w:r>
    </w:p>
    <w:p w14:paraId="5F73050D">
      <w:pPr>
        <w:ind w:left="1276"/>
        <w:rPr>
          <w:rFonts w:hint="eastAsia"/>
        </w:rPr>
      </w:pPr>
      <w:r>
        <w:rPr>
          <w:rFonts w:hint="eastAsia"/>
        </w:rPr>
        <w:t>配置基线；</w:t>
      </w:r>
    </w:p>
    <w:p w14:paraId="5986799B">
      <w:pPr>
        <w:ind w:left="1276"/>
        <w:rPr>
          <w:rFonts w:hint="eastAsia"/>
        </w:rPr>
      </w:pPr>
      <w:r>
        <w:rPr>
          <w:rFonts w:hint="eastAsia"/>
        </w:rPr>
        <w:t>配置管理流程运行报告；</w:t>
      </w:r>
    </w:p>
    <w:p w14:paraId="28311ADA">
      <w:pPr>
        <w:ind w:left="1276"/>
        <w:rPr>
          <w:rFonts w:hint="eastAsia"/>
        </w:rPr>
      </w:pPr>
      <w:r>
        <w:rPr>
          <w:rFonts w:hint="eastAsia"/>
        </w:rPr>
        <w:t>配置项（CI）；</w:t>
      </w:r>
    </w:p>
    <w:p w14:paraId="3B50BA49">
      <w:pPr>
        <w:rPr>
          <w:rFonts w:hint="eastAsia"/>
        </w:rPr>
      </w:pPr>
    </w:p>
    <w:sectPr>
      <w:pgSz w:w="11906" w:h="16838"/>
      <w:pgMar w:top="1440" w:right="1800" w:bottom="1440" w:left="1800" w:header="851" w:footer="992" w:gutter="0"/>
      <w:cols w:space="425" w:num="1"/>
      <w:docGrid w:type="lines" w:linePitch="312"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汉仪书宋二KW"/>
    <w:panose1 w:val="00000000000000000000"/>
    <w:charset w:val="00"/>
    <w:family w:val="auto"/>
    <w:pitch w:val="default"/>
    <w:sig w:usb0="00000000" w:usb1="00000000" w:usb2="00000000" w:usb3="00000000" w:csb0="00000000" w:csb1="00000000"/>
  </w:font>
  <w:font w:name="Wingdings">
    <w:panose1 w:val="05000000000000000000"/>
    <w:charset w:val="02"/>
    <w:family w:val="auto"/>
    <w:pitch w:val="default"/>
    <w:sig w:usb0="00000000" w:usb1="00000000" w:usb2="00000000" w:usb3="00000000" w:csb0="80000000" w:csb1="00000000"/>
  </w:font>
  <w:font w:name="Arial">
    <w:panose1 w:val="020B0604020202090204"/>
    <w:charset w:val="01"/>
    <w:family w:val="swiss"/>
    <w:pitch w:val="default"/>
    <w:sig w:usb0="E0000AFF" w:usb1="00007843" w:usb2="00000001" w:usb3="00000000" w:csb0="400001BF" w:csb1="DFF70000"/>
  </w:font>
  <w:font w:name="黑体">
    <w:altName w:val="汉仪中黑KW"/>
    <w:panose1 w:val="02010609060101010101"/>
    <w:charset w:val="86"/>
    <w:family w:val="auto"/>
    <w:pitch w:val="default"/>
    <w:sig w:usb0="800002BF" w:usb1="38CF7CFA" w:usb2="00000016" w:usb3="00000000" w:csb0="00040001" w:csb1="00000000"/>
  </w:font>
  <w:font w:name="Courier New">
    <w:panose1 w:val="02070409020205090404"/>
    <w:charset w:val="01"/>
    <w:family w:val="modern"/>
    <w:pitch w:val="default"/>
    <w:sig w:usb0="E0000AFF" w:usb1="40007843" w:usb2="00000001" w:usb3="00000000" w:csb0="400001BF" w:csb1="DFF70000"/>
  </w:font>
  <w:font w:name="Symbol">
    <w:altName w:val="Kingsoft Sign"/>
    <w:panose1 w:val="05050102010706020507"/>
    <w:charset w:val="02"/>
    <w:family w:val="roman"/>
    <w:pitch w:val="default"/>
    <w:sig w:usb0="00000000" w:usb1="00000000" w:usb2="00000000" w:usb3="00000000" w:csb0="80000000" w:csb1="00000000"/>
  </w:font>
  <w:font w:name="Calibri">
    <w:altName w:val="Helvetica Neue"/>
    <w:panose1 w:val="020F0502020204030204"/>
    <w:charset w:val="00"/>
    <w:family w:val="swiss"/>
    <w:pitch w:val="default"/>
    <w:sig w:usb0="00000000" w:usb1="00000000" w:usb2="00000001" w:usb3="00000000" w:csb0="0000019F" w:csb1="00000000"/>
  </w:font>
  <w:font w:name="Calibri Light">
    <w:altName w:val="Helvetica Neue"/>
    <w:panose1 w:val="020F0302020204030204"/>
    <w:charset w:val="00"/>
    <w:family w:val="swiss"/>
    <w:pitch w:val="default"/>
    <w:sig w:usb0="00000000" w:usb1="00000000" w:usb2="00000009" w:usb3="00000000" w:csb0="000001FF" w:csb1="00000000"/>
  </w:font>
  <w:font w:name="仿宋">
    <w:altName w:val="方正仿宋_GBK"/>
    <w:panose1 w:val="02010609060101010101"/>
    <w:charset w:val="86"/>
    <w:family w:val="modern"/>
    <w:pitch w:val="default"/>
    <w:sig w:usb0="00000000" w:usb1="00000000" w:usb2="00000016" w:usb3="00000000" w:csb0="00040001" w:csb1="00000000"/>
  </w:font>
  <w:font w:name="汉仪书宋二KW">
    <w:panose1 w:val="00020600040101010101"/>
    <w:charset w:val="86"/>
    <w:family w:val="auto"/>
    <w:pitch w:val="default"/>
    <w:sig w:usb0="A00002BF" w:usb1="18EF7CFA" w:usb2="00000016" w:usb3="00000000" w:csb0="00040000" w:csb1="00000000"/>
  </w:font>
  <w:font w:name="Helvetica Neue">
    <w:panose1 w:val="02000503000000020004"/>
    <w:charset w:val="00"/>
    <w:family w:val="auto"/>
    <w:pitch w:val="default"/>
    <w:sig w:usb0="E50002FF" w:usb1="500079DB" w:usb2="00000010" w:usb3="00000000" w:csb0="00000000" w:csb1="00000000"/>
  </w:font>
  <w:font w:name="冬青黑体简体中文">
    <w:panose1 w:val="020B0300000000000000"/>
    <w:charset w:val="86"/>
    <w:family w:val="auto"/>
    <w:pitch w:val="default"/>
    <w:sig w:usb0="A00002BF" w:usb1="1ACF7CFA" w:usb2="00000016" w:usb3="00000000" w:csb0="00060007" w:csb1="00000000"/>
  </w:font>
  <w:font w:name="PingFang SC">
    <w:panose1 w:val="020B0400000000000000"/>
    <w:charset w:val="86"/>
    <w:family w:val="auto"/>
    <w:pitch w:val="default"/>
    <w:sig w:usb0="A00002FF" w:usb1="7ACFFDFB" w:usb2="00000017" w:usb3="00000000" w:csb0="00040001" w:csb1="00000000"/>
  </w:font>
  <w:font w:name="Tahoma">
    <w:panose1 w:val="020B0604030504040204"/>
    <w:charset w:val="00"/>
    <w:family w:val="auto"/>
    <w:pitch w:val="default"/>
    <w:sig w:usb0="E1002AFF" w:usb1="C000605B" w:usb2="00000029" w:usb3="00000000" w:csb0="200101FF" w:csb1="20280000"/>
  </w:font>
  <w:font w:name="方正仿宋_GBK">
    <w:panose1 w:val="02000000000000000000"/>
    <w:charset w:val="86"/>
    <w:family w:val="auto"/>
    <w:pitch w:val="default"/>
    <w:sig w:usb0="A00002BF" w:usb1="38CF7CFA" w:usb2="00082016" w:usb3="00000000" w:csb0="00040001" w:csb1="00000000"/>
  </w:font>
  <w:font w:name="汉仪中黑KW">
    <w:panose1 w:val="00020600040101010101"/>
    <w:charset w:val="86"/>
    <w:family w:val="auto"/>
    <w:pitch w:val="default"/>
    <w:sig w:usb0="A00002BF" w:usb1="18EF7CFA" w:usb2="00000016" w:usb3="00000000" w:csb0="00040000" w:csb1="00000000"/>
  </w:font>
  <w:font w:name="Kingsoft Sign">
    <w:panose1 w:val="05050102010706020507"/>
    <w:charset w:val="00"/>
    <w:family w:val="auto"/>
    <w:pitch w:val="default"/>
    <w:sig w:usb0="00000000" w:usb1="10000000" w:usb2="00000000" w:usb3="00000000" w:csb0="00000001"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line="360" w:lineRule="auto"/>
      </w:pPr>
      <w:r>
        <w:separator/>
      </w:r>
    </w:p>
  </w:footnote>
  <w:footnote w:type="continuationSeparator" w:id="1">
    <w:p>
      <w:pPr>
        <w:spacing w:line="360"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0FFB3EAC"/>
    <w:multiLevelType w:val="multilevel"/>
    <w:tmpl w:val="0FFB3EAC"/>
    <w:lvl w:ilvl="0" w:tentative="0">
      <w:start w:val="1"/>
      <w:numFmt w:val="decimal"/>
      <w:lvlText w:val="%1）"/>
      <w:lvlJc w:val="left"/>
      <w:pPr>
        <w:ind w:left="360" w:hanging="360"/>
      </w:pPr>
      <w:rPr>
        <w:rFonts w:hint="default"/>
      </w:rPr>
    </w:lvl>
    <w:lvl w:ilvl="1" w:tentative="0">
      <w:start w:val="1"/>
      <w:numFmt w:val="lowerLetter"/>
      <w:lvlText w:val="%2)"/>
      <w:lvlJc w:val="left"/>
      <w:pPr>
        <w:ind w:left="840" w:hanging="420"/>
      </w:pPr>
    </w:lvl>
    <w:lvl w:ilvl="2" w:tentative="0">
      <w:start w:val="1"/>
      <w:numFmt w:val="lowerRoman"/>
      <w:lvlText w:val="%3."/>
      <w:lvlJc w:val="right"/>
      <w:pPr>
        <w:ind w:left="1260" w:hanging="420"/>
      </w:pPr>
    </w:lvl>
    <w:lvl w:ilvl="3" w:tentative="0">
      <w:start w:val="1"/>
      <w:numFmt w:val="decimal"/>
      <w:lvlText w:val="%4."/>
      <w:lvlJc w:val="left"/>
      <w:pPr>
        <w:ind w:left="1680" w:hanging="420"/>
      </w:pPr>
    </w:lvl>
    <w:lvl w:ilvl="4" w:tentative="0">
      <w:start w:val="1"/>
      <w:numFmt w:val="lowerLetter"/>
      <w:lvlText w:val="%5)"/>
      <w:lvlJc w:val="left"/>
      <w:pPr>
        <w:ind w:left="2100" w:hanging="420"/>
      </w:pPr>
    </w:lvl>
    <w:lvl w:ilvl="5" w:tentative="0">
      <w:start w:val="1"/>
      <w:numFmt w:val="lowerRoman"/>
      <w:lvlText w:val="%6."/>
      <w:lvlJc w:val="right"/>
      <w:pPr>
        <w:ind w:left="2520" w:hanging="420"/>
      </w:pPr>
    </w:lvl>
    <w:lvl w:ilvl="6" w:tentative="0">
      <w:start w:val="1"/>
      <w:numFmt w:val="decimal"/>
      <w:lvlText w:val="%7."/>
      <w:lvlJc w:val="left"/>
      <w:pPr>
        <w:ind w:left="2940" w:hanging="420"/>
      </w:pPr>
    </w:lvl>
    <w:lvl w:ilvl="7" w:tentative="0">
      <w:start w:val="1"/>
      <w:numFmt w:val="lowerLetter"/>
      <w:lvlText w:val="%8)"/>
      <w:lvlJc w:val="left"/>
      <w:pPr>
        <w:ind w:left="3360" w:hanging="420"/>
      </w:pPr>
    </w:lvl>
    <w:lvl w:ilvl="8" w:tentative="0">
      <w:start w:val="1"/>
      <w:numFmt w:val="lowerRoman"/>
      <w:lvlText w:val="%9."/>
      <w:lvlJc w:val="right"/>
      <w:pPr>
        <w:ind w:left="3780" w:hanging="420"/>
      </w:pPr>
    </w:lvl>
  </w:abstractNum>
  <w:abstractNum w:abstractNumId="1">
    <w:nsid w:val="20A50499"/>
    <w:multiLevelType w:val="multilevel"/>
    <w:tmpl w:val="20A50499"/>
    <w:lvl w:ilvl="0" w:tentative="0">
      <w:start w:val="1"/>
      <w:numFmt w:val="decimal"/>
      <w:lvlText w:val="%1）"/>
      <w:lvlJc w:val="left"/>
      <w:pPr>
        <w:ind w:left="360" w:hanging="360"/>
      </w:pPr>
      <w:rPr>
        <w:rFonts w:hint="default"/>
      </w:rPr>
    </w:lvl>
    <w:lvl w:ilvl="1" w:tentative="0">
      <w:start w:val="1"/>
      <w:numFmt w:val="lowerLetter"/>
      <w:lvlText w:val="%2)"/>
      <w:lvlJc w:val="left"/>
      <w:pPr>
        <w:ind w:left="840" w:hanging="420"/>
      </w:pPr>
    </w:lvl>
    <w:lvl w:ilvl="2" w:tentative="0">
      <w:start w:val="1"/>
      <w:numFmt w:val="lowerRoman"/>
      <w:lvlText w:val="%3."/>
      <w:lvlJc w:val="right"/>
      <w:pPr>
        <w:ind w:left="1260" w:hanging="420"/>
      </w:pPr>
    </w:lvl>
    <w:lvl w:ilvl="3" w:tentative="0">
      <w:start w:val="1"/>
      <w:numFmt w:val="decimal"/>
      <w:lvlText w:val="%4."/>
      <w:lvlJc w:val="left"/>
      <w:pPr>
        <w:ind w:left="1680" w:hanging="420"/>
      </w:pPr>
    </w:lvl>
    <w:lvl w:ilvl="4" w:tentative="0">
      <w:start w:val="1"/>
      <w:numFmt w:val="lowerLetter"/>
      <w:lvlText w:val="%5)"/>
      <w:lvlJc w:val="left"/>
      <w:pPr>
        <w:ind w:left="2100" w:hanging="420"/>
      </w:pPr>
    </w:lvl>
    <w:lvl w:ilvl="5" w:tentative="0">
      <w:start w:val="1"/>
      <w:numFmt w:val="lowerRoman"/>
      <w:lvlText w:val="%6."/>
      <w:lvlJc w:val="right"/>
      <w:pPr>
        <w:ind w:left="2520" w:hanging="420"/>
      </w:pPr>
    </w:lvl>
    <w:lvl w:ilvl="6" w:tentative="0">
      <w:start w:val="1"/>
      <w:numFmt w:val="decimal"/>
      <w:lvlText w:val="%7."/>
      <w:lvlJc w:val="left"/>
      <w:pPr>
        <w:ind w:left="2940" w:hanging="420"/>
      </w:pPr>
    </w:lvl>
    <w:lvl w:ilvl="7" w:tentative="0">
      <w:start w:val="1"/>
      <w:numFmt w:val="lowerLetter"/>
      <w:lvlText w:val="%8)"/>
      <w:lvlJc w:val="left"/>
      <w:pPr>
        <w:ind w:left="3360" w:hanging="420"/>
      </w:pPr>
    </w:lvl>
    <w:lvl w:ilvl="8" w:tentative="0">
      <w:start w:val="1"/>
      <w:numFmt w:val="lowerRoman"/>
      <w:lvlText w:val="%9."/>
      <w:lvlJc w:val="right"/>
      <w:pPr>
        <w:ind w:left="3780" w:hanging="420"/>
      </w:pPr>
    </w:lvl>
  </w:abstractNum>
  <w:abstractNum w:abstractNumId="2">
    <w:nsid w:val="2B0E6D71"/>
    <w:multiLevelType w:val="multilevel"/>
    <w:tmpl w:val="2B0E6D71"/>
    <w:lvl w:ilvl="0" w:tentative="0">
      <w:start w:val="1"/>
      <w:numFmt w:val="lowerLetter"/>
      <w:lvlText w:val="%1)"/>
      <w:lvlJc w:val="left"/>
      <w:pPr>
        <w:ind w:left="1050" w:hanging="420"/>
      </w:pPr>
    </w:lvl>
    <w:lvl w:ilvl="1" w:tentative="0">
      <w:start w:val="1"/>
      <w:numFmt w:val="lowerLetter"/>
      <w:lvlText w:val="%2)"/>
      <w:lvlJc w:val="left"/>
      <w:pPr>
        <w:ind w:left="1470" w:hanging="420"/>
      </w:pPr>
    </w:lvl>
    <w:lvl w:ilvl="2" w:tentative="0">
      <w:start w:val="1"/>
      <w:numFmt w:val="lowerRoman"/>
      <w:lvlText w:val="%3."/>
      <w:lvlJc w:val="right"/>
      <w:pPr>
        <w:ind w:left="1890" w:hanging="420"/>
      </w:pPr>
    </w:lvl>
    <w:lvl w:ilvl="3" w:tentative="0">
      <w:start w:val="1"/>
      <w:numFmt w:val="decimal"/>
      <w:lvlText w:val="%4."/>
      <w:lvlJc w:val="left"/>
      <w:pPr>
        <w:ind w:left="2310" w:hanging="420"/>
      </w:pPr>
    </w:lvl>
    <w:lvl w:ilvl="4" w:tentative="0">
      <w:start w:val="1"/>
      <w:numFmt w:val="lowerLetter"/>
      <w:lvlText w:val="%5)"/>
      <w:lvlJc w:val="left"/>
      <w:pPr>
        <w:ind w:left="2730" w:hanging="420"/>
      </w:pPr>
    </w:lvl>
    <w:lvl w:ilvl="5" w:tentative="0">
      <w:start w:val="1"/>
      <w:numFmt w:val="lowerRoman"/>
      <w:lvlText w:val="%6."/>
      <w:lvlJc w:val="right"/>
      <w:pPr>
        <w:ind w:left="3150" w:hanging="420"/>
      </w:pPr>
    </w:lvl>
    <w:lvl w:ilvl="6" w:tentative="0">
      <w:start w:val="1"/>
      <w:numFmt w:val="decimal"/>
      <w:lvlText w:val="%7."/>
      <w:lvlJc w:val="left"/>
      <w:pPr>
        <w:ind w:left="3570" w:hanging="420"/>
      </w:pPr>
    </w:lvl>
    <w:lvl w:ilvl="7" w:tentative="0">
      <w:start w:val="1"/>
      <w:numFmt w:val="lowerLetter"/>
      <w:lvlText w:val="%8)"/>
      <w:lvlJc w:val="left"/>
      <w:pPr>
        <w:ind w:left="3990" w:hanging="420"/>
      </w:pPr>
    </w:lvl>
    <w:lvl w:ilvl="8" w:tentative="0">
      <w:start w:val="1"/>
      <w:numFmt w:val="lowerRoman"/>
      <w:lvlText w:val="%9."/>
      <w:lvlJc w:val="right"/>
      <w:pPr>
        <w:ind w:left="4410" w:hanging="420"/>
      </w:pPr>
    </w:lvl>
  </w:abstractNum>
  <w:abstractNum w:abstractNumId="3">
    <w:nsid w:val="3E4F236B"/>
    <w:multiLevelType w:val="multilevel"/>
    <w:tmpl w:val="3E4F236B"/>
    <w:lvl w:ilvl="0" w:tentative="0">
      <w:start w:val="1"/>
      <w:numFmt w:val="lowerLetter"/>
      <w:lvlText w:val="%1)"/>
      <w:lvlJc w:val="left"/>
      <w:pPr>
        <w:ind w:left="840" w:hanging="420"/>
      </w:pPr>
    </w:lvl>
    <w:lvl w:ilvl="1" w:tentative="0">
      <w:start w:val="1"/>
      <w:numFmt w:val="lowerLetter"/>
      <w:lvlText w:val="%2)"/>
      <w:lvlJc w:val="left"/>
      <w:pPr>
        <w:ind w:left="1260" w:hanging="420"/>
      </w:pPr>
    </w:lvl>
    <w:lvl w:ilvl="2" w:tentative="0">
      <w:start w:val="1"/>
      <w:numFmt w:val="lowerRoman"/>
      <w:lvlText w:val="%3."/>
      <w:lvlJc w:val="right"/>
      <w:pPr>
        <w:ind w:left="1680" w:hanging="420"/>
      </w:pPr>
    </w:lvl>
    <w:lvl w:ilvl="3" w:tentative="0">
      <w:start w:val="1"/>
      <w:numFmt w:val="decimal"/>
      <w:lvlText w:val="%4."/>
      <w:lvlJc w:val="left"/>
      <w:pPr>
        <w:ind w:left="2100" w:hanging="420"/>
      </w:pPr>
    </w:lvl>
    <w:lvl w:ilvl="4" w:tentative="0">
      <w:start w:val="1"/>
      <w:numFmt w:val="lowerLetter"/>
      <w:lvlText w:val="%5)"/>
      <w:lvlJc w:val="left"/>
      <w:pPr>
        <w:ind w:left="2520" w:hanging="420"/>
      </w:pPr>
    </w:lvl>
    <w:lvl w:ilvl="5" w:tentative="0">
      <w:start w:val="1"/>
      <w:numFmt w:val="lowerRoman"/>
      <w:lvlText w:val="%6."/>
      <w:lvlJc w:val="right"/>
      <w:pPr>
        <w:ind w:left="2940" w:hanging="420"/>
      </w:pPr>
    </w:lvl>
    <w:lvl w:ilvl="6" w:tentative="0">
      <w:start w:val="1"/>
      <w:numFmt w:val="decimal"/>
      <w:lvlText w:val="%7."/>
      <w:lvlJc w:val="left"/>
      <w:pPr>
        <w:ind w:left="3360" w:hanging="420"/>
      </w:pPr>
    </w:lvl>
    <w:lvl w:ilvl="7" w:tentative="0">
      <w:start w:val="1"/>
      <w:numFmt w:val="lowerLetter"/>
      <w:lvlText w:val="%8)"/>
      <w:lvlJc w:val="left"/>
      <w:pPr>
        <w:ind w:left="3780" w:hanging="420"/>
      </w:pPr>
    </w:lvl>
    <w:lvl w:ilvl="8" w:tentative="0">
      <w:start w:val="1"/>
      <w:numFmt w:val="lowerRoman"/>
      <w:lvlText w:val="%9."/>
      <w:lvlJc w:val="right"/>
      <w:pPr>
        <w:ind w:left="4200" w:hanging="420"/>
      </w:pPr>
    </w:lvl>
  </w:abstractNum>
  <w:abstractNum w:abstractNumId="4">
    <w:nsid w:val="436D6DC7"/>
    <w:multiLevelType w:val="multilevel"/>
    <w:tmpl w:val="436D6DC7"/>
    <w:lvl w:ilvl="0" w:tentative="0">
      <w:start w:val="1"/>
      <w:numFmt w:val="lowerLetter"/>
      <w:lvlText w:val="%1)"/>
      <w:lvlJc w:val="left"/>
      <w:pPr>
        <w:ind w:left="945" w:hanging="420"/>
      </w:pPr>
    </w:lvl>
    <w:lvl w:ilvl="1" w:tentative="0">
      <w:start w:val="1"/>
      <w:numFmt w:val="lowerLetter"/>
      <w:lvlText w:val="%2)"/>
      <w:lvlJc w:val="left"/>
      <w:pPr>
        <w:ind w:left="1365" w:hanging="420"/>
      </w:pPr>
    </w:lvl>
    <w:lvl w:ilvl="2" w:tentative="0">
      <w:start w:val="1"/>
      <w:numFmt w:val="lowerRoman"/>
      <w:lvlText w:val="%3."/>
      <w:lvlJc w:val="right"/>
      <w:pPr>
        <w:ind w:left="1785" w:hanging="420"/>
      </w:pPr>
    </w:lvl>
    <w:lvl w:ilvl="3" w:tentative="0">
      <w:start w:val="1"/>
      <w:numFmt w:val="decimal"/>
      <w:lvlText w:val="%4."/>
      <w:lvlJc w:val="left"/>
      <w:pPr>
        <w:ind w:left="2205" w:hanging="420"/>
      </w:pPr>
    </w:lvl>
    <w:lvl w:ilvl="4" w:tentative="0">
      <w:start w:val="1"/>
      <w:numFmt w:val="lowerLetter"/>
      <w:lvlText w:val="%5)"/>
      <w:lvlJc w:val="left"/>
      <w:pPr>
        <w:ind w:left="2625" w:hanging="420"/>
      </w:pPr>
    </w:lvl>
    <w:lvl w:ilvl="5" w:tentative="0">
      <w:start w:val="1"/>
      <w:numFmt w:val="lowerRoman"/>
      <w:lvlText w:val="%6."/>
      <w:lvlJc w:val="right"/>
      <w:pPr>
        <w:ind w:left="3045" w:hanging="420"/>
      </w:pPr>
    </w:lvl>
    <w:lvl w:ilvl="6" w:tentative="0">
      <w:start w:val="1"/>
      <w:numFmt w:val="decimal"/>
      <w:lvlText w:val="%7."/>
      <w:lvlJc w:val="left"/>
      <w:pPr>
        <w:ind w:left="3465" w:hanging="420"/>
      </w:pPr>
    </w:lvl>
    <w:lvl w:ilvl="7" w:tentative="0">
      <w:start w:val="1"/>
      <w:numFmt w:val="lowerLetter"/>
      <w:lvlText w:val="%8)"/>
      <w:lvlJc w:val="left"/>
      <w:pPr>
        <w:ind w:left="3885" w:hanging="420"/>
      </w:pPr>
    </w:lvl>
    <w:lvl w:ilvl="8" w:tentative="0">
      <w:start w:val="1"/>
      <w:numFmt w:val="lowerRoman"/>
      <w:lvlText w:val="%9."/>
      <w:lvlJc w:val="right"/>
      <w:pPr>
        <w:ind w:left="4305" w:hanging="420"/>
      </w:pPr>
    </w:lvl>
  </w:abstractNum>
  <w:abstractNum w:abstractNumId="5">
    <w:nsid w:val="4C5C3233"/>
    <w:multiLevelType w:val="multilevel"/>
    <w:tmpl w:val="4C5C3233"/>
    <w:lvl w:ilvl="0" w:tentative="0">
      <w:start w:val="1"/>
      <w:numFmt w:val="lowerLetter"/>
      <w:lvlText w:val="%1)"/>
      <w:lvlJc w:val="left"/>
      <w:pPr>
        <w:ind w:left="784" w:hanging="360"/>
      </w:pPr>
      <w:rPr>
        <w:rFonts w:hint="default"/>
      </w:rPr>
    </w:lvl>
    <w:lvl w:ilvl="1" w:tentative="0">
      <w:start w:val="1"/>
      <w:numFmt w:val="lowerLetter"/>
      <w:lvlText w:val="%2)"/>
      <w:lvlJc w:val="left"/>
      <w:pPr>
        <w:ind w:left="1264" w:hanging="420"/>
      </w:pPr>
    </w:lvl>
    <w:lvl w:ilvl="2" w:tentative="0">
      <w:start w:val="1"/>
      <w:numFmt w:val="lowerRoman"/>
      <w:lvlText w:val="%3."/>
      <w:lvlJc w:val="right"/>
      <w:pPr>
        <w:ind w:left="1684" w:hanging="420"/>
      </w:pPr>
    </w:lvl>
    <w:lvl w:ilvl="3" w:tentative="0">
      <w:start w:val="1"/>
      <w:numFmt w:val="decimal"/>
      <w:lvlText w:val="%4."/>
      <w:lvlJc w:val="left"/>
      <w:pPr>
        <w:ind w:left="2104" w:hanging="420"/>
      </w:pPr>
    </w:lvl>
    <w:lvl w:ilvl="4" w:tentative="0">
      <w:start w:val="1"/>
      <w:numFmt w:val="lowerLetter"/>
      <w:lvlText w:val="%5)"/>
      <w:lvlJc w:val="left"/>
      <w:pPr>
        <w:ind w:left="2524" w:hanging="420"/>
      </w:pPr>
    </w:lvl>
    <w:lvl w:ilvl="5" w:tentative="0">
      <w:start w:val="1"/>
      <w:numFmt w:val="lowerRoman"/>
      <w:lvlText w:val="%6."/>
      <w:lvlJc w:val="right"/>
      <w:pPr>
        <w:ind w:left="2944" w:hanging="420"/>
      </w:pPr>
    </w:lvl>
    <w:lvl w:ilvl="6" w:tentative="0">
      <w:start w:val="1"/>
      <w:numFmt w:val="decimal"/>
      <w:lvlText w:val="%7."/>
      <w:lvlJc w:val="left"/>
      <w:pPr>
        <w:ind w:left="3364" w:hanging="420"/>
      </w:pPr>
    </w:lvl>
    <w:lvl w:ilvl="7" w:tentative="0">
      <w:start w:val="1"/>
      <w:numFmt w:val="lowerLetter"/>
      <w:lvlText w:val="%8)"/>
      <w:lvlJc w:val="left"/>
      <w:pPr>
        <w:ind w:left="3784" w:hanging="420"/>
      </w:pPr>
    </w:lvl>
    <w:lvl w:ilvl="8" w:tentative="0">
      <w:start w:val="1"/>
      <w:numFmt w:val="lowerRoman"/>
      <w:lvlText w:val="%9."/>
      <w:lvlJc w:val="right"/>
      <w:pPr>
        <w:ind w:left="4204" w:hanging="420"/>
      </w:pPr>
    </w:lvl>
  </w:abstractNum>
  <w:abstractNum w:abstractNumId="6">
    <w:nsid w:val="57A21FE4"/>
    <w:multiLevelType w:val="multilevel"/>
    <w:tmpl w:val="57A21FE4"/>
    <w:lvl w:ilvl="0" w:tentative="0">
      <w:start w:val="1"/>
      <w:numFmt w:val="lowerLetter"/>
      <w:lvlText w:val="%1)"/>
      <w:lvlJc w:val="left"/>
      <w:pPr>
        <w:ind w:left="840" w:hanging="420"/>
      </w:pPr>
    </w:lvl>
    <w:lvl w:ilvl="1" w:tentative="0">
      <w:start w:val="1"/>
      <w:numFmt w:val="lowerLetter"/>
      <w:lvlText w:val="%2)"/>
      <w:lvlJc w:val="left"/>
      <w:pPr>
        <w:ind w:left="1260" w:hanging="420"/>
      </w:pPr>
    </w:lvl>
    <w:lvl w:ilvl="2" w:tentative="0">
      <w:start w:val="1"/>
      <w:numFmt w:val="lowerRoman"/>
      <w:lvlText w:val="%3."/>
      <w:lvlJc w:val="right"/>
      <w:pPr>
        <w:ind w:left="1680" w:hanging="420"/>
      </w:pPr>
    </w:lvl>
    <w:lvl w:ilvl="3" w:tentative="0">
      <w:start w:val="1"/>
      <w:numFmt w:val="decimal"/>
      <w:lvlText w:val="%4."/>
      <w:lvlJc w:val="left"/>
      <w:pPr>
        <w:ind w:left="2100" w:hanging="420"/>
      </w:pPr>
    </w:lvl>
    <w:lvl w:ilvl="4" w:tentative="0">
      <w:start w:val="1"/>
      <w:numFmt w:val="lowerLetter"/>
      <w:lvlText w:val="%5)"/>
      <w:lvlJc w:val="left"/>
      <w:pPr>
        <w:ind w:left="2520" w:hanging="420"/>
      </w:pPr>
    </w:lvl>
    <w:lvl w:ilvl="5" w:tentative="0">
      <w:start w:val="1"/>
      <w:numFmt w:val="lowerRoman"/>
      <w:lvlText w:val="%6."/>
      <w:lvlJc w:val="right"/>
      <w:pPr>
        <w:ind w:left="2940" w:hanging="420"/>
      </w:pPr>
    </w:lvl>
    <w:lvl w:ilvl="6" w:tentative="0">
      <w:start w:val="1"/>
      <w:numFmt w:val="decimal"/>
      <w:lvlText w:val="%7."/>
      <w:lvlJc w:val="left"/>
      <w:pPr>
        <w:ind w:left="3360" w:hanging="420"/>
      </w:pPr>
    </w:lvl>
    <w:lvl w:ilvl="7" w:tentative="0">
      <w:start w:val="1"/>
      <w:numFmt w:val="lowerLetter"/>
      <w:lvlText w:val="%8)"/>
      <w:lvlJc w:val="left"/>
      <w:pPr>
        <w:ind w:left="3780" w:hanging="420"/>
      </w:pPr>
    </w:lvl>
    <w:lvl w:ilvl="8" w:tentative="0">
      <w:start w:val="1"/>
      <w:numFmt w:val="lowerRoman"/>
      <w:lvlText w:val="%9."/>
      <w:lvlJc w:val="right"/>
      <w:pPr>
        <w:ind w:left="4200" w:hanging="420"/>
      </w:pPr>
    </w:lvl>
  </w:abstractNum>
  <w:abstractNum w:abstractNumId="7">
    <w:nsid w:val="679F1858"/>
    <w:multiLevelType w:val="multilevel"/>
    <w:tmpl w:val="679F1858"/>
    <w:lvl w:ilvl="0" w:tentative="0">
      <w:start w:val="1"/>
      <w:numFmt w:val="lowerLetter"/>
      <w:lvlText w:val="%1)"/>
      <w:lvlJc w:val="left"/>
      <w:pPr>
        <w:ind w:left="1260" w:hanging="420"/>
      </w:pPr>
    </w:lvl>
    <w:lvl w:ilvl="1" w:tentative="0">
      <w:start w:val="1"/>
      <w:numFmt w:val="lowerLetter"/>
      <w:lvlText w:val="%2)"/>
      <w:lvlJc w:val="left"/>
      <w:pPr>
        <w:ind w:left="1680" w:hanging="420"/>
      </w:pPr>
    </w:lvl>
    <w:lvl w:ilvl="2" w:tentative="0">
      <w:start w:val="1"/>
      <w:numFmt w:val="lowerRoman"/>
      <w:lvlText w:val="%3."/>
      <w:lvlJc w:val="right"/>
      <w:pPr>
        <w:ind w:left="2100" w:hanging="420"/>
      </w:pPr>
    </w:lvl>
    <w:lvl w:ilvl="3" w:tentative="0">
      <w:start w:val="1"/>
      <w:numFmt w:val="decimal"/>
      <w:lvlText w:val="%4."/>
      <w:lvlJc w:val="left"/>
      <w:pPr>
        <w:ind w:left="2520" w:hanging="420"/>
      </w:pPr>
    </w:lvl>
    <w:lvl w:ilvl="4" w:tentative="0">
      <w:start w:val="1"/>
      <w:numFmt w:val="lowerLetter"/>
      <w:lvlText w:val="%5)"/>
      <w:lvlJc w:val="left"/>
      <w:pPr>
        <w:ind w:left="2940" w:hanging="420"/>
      </w:pPr>
    </w:lvl>
    <w:lvl w:ilvl="5" w:tentative="0">
      <w:start w:val="1"/>
      <w:numFmt w:val="lowerRoman"/>
      <w:lvlText w:val="%6."/>
      <w:lvlJc w:val="right"/>
      <w:pPr>
        <w:ind w:left="3360" w:hanging="420"/>
      </w:pPr>
    </w:lvl>
    <w:lvl w:ilvl="6" w:tentative="0">
      <w:start w:val="1"/>
      <w:numFmt w:val="decimal"/>
      <w:lvlText w:val="%7."/>
      <w:lvlJc w:val="left"/>
      <w:pPr>
        <w:ind w:left="3780" w:hanging="420"/>
      </w:pPr>
    </w:lvl>
    <w:lvl w:ilvl="7" w:tentative="0">
      <w:start w:val="1"/>
      <w:numFmt w:val="lowerLetter"/>
      <w:lvlText w:val="%8)"/>
      <w:lvlJc w:val="left"/>
      <w:pPr>
        <w:ind w:left="4200" w:hanging="420"/>
      </w:pPr>
    </w:lvl>
    <w:lvl w:ilvl="8" w:tentative="0">
      <w:start w:val="1"/>
      <w:numFmt w:val="lowerRoman"/>
      <w:lvlText w:val="%9."/>
      <w:lvlJc w:val="right"/>
      <w:pPr>
        <w:ind w:left="4620" w:hanging="420"/>
      </w:pPr>
    </w:lvl>
  </w:abstractNum>
  <w:abstractNum w:abstractNumId="8">
    <w:nsid w:val="731425A8"/>
    <w:multiLevelType w:val="multilevel"/>
    <w:tmpl w:val="731425A8"/>
    <w:lvl w:ilvl="0" w:tentative="0">
      <w:start w:val="1"/>
      <w:numFmt w:val="decimal"/>
      <w:lvlText w:val="%1）"/>
      <w:lvlJc w:val="left"/>
      <w:pPr>
        <w:ind w:left="360" w:hanging="360"/>
      </w:pPr>
      <w:rPr>
        <w:rFonts w:hint="default"/>
      </w:rPr>
    </w:lvl>
    <w:lvl w:ilvl="1" w:tentative="0">
      <w:start w:val="1"/>
      <w:numFmt w:val="lowerLetter"/>
      <w:lvlText w:val="%2)"/>
      <w:lvlJc w:val="left"/>
      <w:pPr>
        <w:ind w:left="840" w:hanging="420"/>
      </w:pPr>
    </w:lvl>
    <w:lvl w:ilvl="2" w:tentative="0">
      <w:start w:val="1"/>
      <w:numFmt w:val="lowerRoman"/>
      <w:lvlText w:val="%3."/>
      <w:lvlJc w:val="right"/>
      <w:pPr>
        <w:ind w:left="1260" w:hanging="420"/>
      </w:pPr>
    </w:lvl>
    <w:lvl w:ilvl="3" w:tentative="0">
      <w:start w:val="1"/>
      <w:numFmt w:val="decimal"/>
      <w:lvlText w:val="%4."/>
      <w:lvlJc w:val="left"/>
      <w:pPr>
        <w:ind w:left="1680" w:hanging="420"/>
      </w:pPr>
    </w:lvl>
    <w:lvl w:ilvl="4" w:tentative="0">
      <w:start w:val="1"/>
      <w:numFmt w:val="lowerLetter"/>
      <w:lvlText w:val="%5)"/>
      <w:lvlJc w:val="left"/>
      <w:pPr>
        <w:ind w:left="2100" w:hanging="420"/>
      </w:pPr>
    </w:lvl>
    <w:lvl w:ilvl="5" w:tentative="0">
      <w:start w:val="1"/>
      <w:numFmt w:val="lowerRoman"/>
      <w:lvlText w:val="%6."/>
      <w:lvlJc w:val="right"/>
      <w:pPr>
        <w:ind w:left="2520" w:hanging="420"/>
      </w:pPr>
    </w:lvl>
    <w:lvl w:ilvl="6" w:tentative="0">
      <w:start w:val="1"/>
      <w:numFmt w:val="decimal"/>
      <w:lvlText w:val="%7."/>
      <w:lvlJc w:val="left"/>
      <w:pPr>
        <w:ind w:left="2940" w:hanging="420"/>
      </w:pPr>
    </w:lvl>
    <w:lvl w:ilvl="7" w:tentative="0">
      <w:start w:val="1"/>
      <w:numFmt w:val="lowerLetter"/>
      <w:lvlText w:val="%8)"/>
      <w:lvlJc w:val="left"/>
      <w:pPr>
        <w:ind w:left="3360" w:hanging="420"/>
      </w:pPr>
    </w:lvl>
    <w:lvl w:ilvl="8" w:tentative="0">
      <w:start w:val="1"/>
      <w:numFmt w:val="lowerRoman"/>
      <w:lvlText w:val="%9."/>
      <w:lvlJc w:val="right"/>
      <w:pPr>
        <w:ind w:left="3780" w:hanging="420"/>
      </w:pPr>
    </w:lvl>
  </w:abstractNum>
  <w:num w:numId="1">
    <w:abstractNumId w:val="0"/>
  </w:num>
  <w:num w:numId="2">
    <w:abstractNumId w:val="1"/>
  </w:num>
  <w:num w:numId="3">
    <w:abstractNumId w:val="8"/>
  </w:num>
  <w:num w:numId="4">
    <w:abstractNumId w:val="7"/>
  </w:num>
  <w:num w:numId="5">
    <w:abstractNumId w:val="2"/>
  </w:num>
  <w:num w:numId="6">
    <w:abstractNumId w:val="4"/>
  </w:num>
  <w:num w:numId="7">
    <w:abstractNumId w:val="3"/>
  </w:num>
  <w:num w:numId="8">
    <w:abstractNumId w:val="6"/>
  </w:num>
  <w:num w:numId="9">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24"/>
  <w:bordersDoNotSurroundHeader w:val="1"/>
  <w:bordersDoNotSurroundFooter w:val="1"/>
  <w:documentProtection w:enforcement="0"/>
  <w:defaultTabStop w:val="420"/>
  <w:drawingGridVerticalSpacing w:val="156"/>
  <w:displayHorizontalDrawingGridEvery w:val="0"/>
  <w:displayVerticalDrawingGridEvery w:val="2"/>
  <w:characterSpacingControl w:val="compressPunctuation"/>
  <w:footnotePr>
    <w:footnote w:id="0"/>
    <w:footnote w:id="1"/>
  </w:footnotePr>
  <w:endnotePr>
    <w:endnote w:id="0"/>
    <w:endnote w:id="1"/>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CD6177"/>
    <w:rsid w:val="00274F90"/>
    <w:rsid w:val="002F46C3"/>
    <w:rsid w:val="0030605C"/>
    <w:rsid w:val="00CD6177"/>
    <w:rsid w:val="00E5498F"/>
    <w:rsid w:val="2F9F6EF7"/>
    <w:rsid w:val="7BBDD198"/>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qFormat="1" w:uiPriority="39" w:semiHidden="0" w:name="toc 1"/>
    <w:lsdException w:qFormat="1" w:uiPriority="39" w:semiHidden="0" w:name="toc 2"/>
    <w:lsdException w:qFormat="1"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uiPriority="99" w:semiHidden="0" w:name="header"/>
    <w:lsdException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uiPriority="1"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uiPriority="99" w:semiHidden="0"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nhideWhenUsed="0" w:uiPriority="3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spacing w:line="360" w:lineRule="auto"/>
      <w:jc w:val="both"/>
    </w:pPr>
    <w:rPr>
      <w:rFonts w:ascii="Calibri" w:hAnsi="Calibri" w:eastAsia="宋体" w:cs="Times New Roman"/>
      <w:kern w:val="2"/>
      <w:sz w:val="21"/>
      <w:szCs w:val="22"/>
      <w:lang w:val="en-US" w:eastAsia="zh-CN" w:bidi="ar-SA"/>
    </w:rPr>
  </w:style>
  <w:style w:type="paragraph" w:styleId="2">
    <w:name w:val="heading 1"/>
    <w:basedOn w:val="1"/>
    <w:link w:val="14"/>
    <w:qFormat/>
    <w:uiPriority w:val="9"/>
    <w:pPr>
      <w:widowControl/>
      <w:spacing w:before="100" w:beforeAutospacing="1" w:after="100" w:afterAutospacing="1"/>
      <w:jc w:val="left"/>
      <w:outlineLvl w:val="0"/>
    </w:pPr>
    <w:rPr>
      <w:rFonts w:ascii="宋体" w:hAnsi="宋体" w:cs="宋体"/>
      <w:b/>
      <w:bCs/>
      <w:kern w:val="36"/>
      <w:sz w:val="32"/>
      <w:szCs w:val="48"/>
    </w:rPr>
  </w:style>
  <w:style w:type="paragraph" w:styleId="3">
    <w:name w:val="heading 2"/>
    <w:basedOn w:val="1"/>
    <w:next w:val="1"/>
    <w:link w:val="15"/>
    <w:semiHidden/>
    <w:unhideWhenUsed/>
    <w:qFormat/>
    <w:uiPriority w:val="9"/>
    <w:pPr>
      <w:keepNext/>
      <w:keepLines/>
      <w:spacing w:before="260" w:after="260" w:line="416" w:lineRule="auto"/>
      <w:outlineLvl w:val="1"/>
    </w:pPr>
    <w:rPr>
      <w:rFonts w:asciiTheme="majorHAnsi" w:hAnsiTheme="majorHAnsi" w:eastAsiaTheme="majorEastAsia" w:cstheme="majorBidi"/>
      <w:b/>
      <w:bCs/>
      <w:sz w:val="32"/>
      <w:szCs w:val="32"/>
    </w:rPr>
  </w:style>
  <w:style w:type="character" w:default="1" w:styleId="10">
    <w:name w:val="Default Paragraph Font"/>
    <w:semiHidden/>
    <w:unhideWhenUsed/>
    <w:uiPriority w:val="1"/>
  </w:style>
  <w:style w:type="table" w:default="1" w:styleId="9">
    <w:name w:val="Normal Table"/>
    <w:semiHidden/>
    <w:unhideWhenUsed/>
    <w:uiPriority w:val="99"/>
    <w:tblPr>
      <w:tblCellMar>
        <w:top w:w="0" w:type="dxa"/>
        <w:left w:w="108" w:type="dxa"/>
        <w:bottom w:w="0" w:type="dxa"/>
        <w:right w:w="108" w:type="dxa"/>
      </w:tblCellMar>
    </w:tblPr>
  </w:style>
  <w:style w:type="paragraph" w:styleId="4">
    <w:name w:val="toc 3"/>
    <w:basedOn w:val="1"/>
    <w:next w:val="1"/>
    <w:autoRedefine/>
    <w:semiHidden/>
    <w:unhideWhenUsed/>
    <w:qFormat/>
    <w:uiPriority w:val="39"/>
    <w:pPr>
      <w:widowControl/>
      <w:spacing w:after="100" w:line="276" w:lineRule="auto"/>
      <w:ind w:left="440"/>
      <w:jc w:val="left"/>
    </w:pPr>
    <w:rPr>
      <w:rFonts w:asciiTheme="minorHAnsi" w:hAnsiTheme="minorHAnsi" w:eastAsiaTheme="minorEastAsia" w:cstheme="minorBidi"/>
      <w:kern w:val="0"/>
      <w:sz w:val="22"/>
    </w:rPr>
  </w:style>
  <w:style w:type="paragraph" w:styleId="5">
    <w:name w:val="footer"/>
    <w:basedOn w:val="1"/>
    <w:link w:val="13"/>
    <w:unhideWhenUsed/>
    <w:uiPriority w:val="99"/>
    <w:pPr>
      <w:tabs>
        <w:tab w:val="center" w:pos="4153"/>
        <w:tab w:val="right" w:pos="8306"/>
      </w:tabs>
      <w:snapToGrid w:val="0"/>
      <w:jc w:val="left"/>
    </w:pPr>
    <w:rPr>
      <w:sz w:val="18"/>
      <w:szCs w:val="18"/>
    </w:rPr>
  </w:style>
  <w:style w:type="paragraph" w:styleId="6">
    <w:name w:val="header"/>
    <w:basedOn w:val="1"/>
    <w:link w:val="12"/>
    <w:unhideWhenUsed/>
    <w:uiPriority w:val="99"/>
    <w:pPr>
      <w:pBdr>
        <w:bottom w:val="single" w:color="auto" w:sz="6" w:space="1"/>
      </w:pBdr>
      <w:tabs>
        <w:tab w:val="center" w:pos="4153"/>
        <w:tab w:val="right" w:pos="8306"/>
      </w:tabs>
      <w:snapToGrid w:val="0"/>
      <w:jc w:val="center"/>
    </w:pPr>
    <w:rPr>
      <w:sz w:val="18"/>
      <w:szCs w:val="18"/>
    </w:rPr>
  </w:style>
  <w:style w:type="paragraph" w:styleId="7">
    <w:name w:val="toc 1"/>
    <w:basedOn w:val="1"/>
    <w:next w:val="1"/>
    <w:autoRedefine/>
    <w:unhideWhenUsed/>
    <w:qFormat/>
    <w:uiPriority w:val="39"/>
    <w:pPr>
      <w:widowControl/>
      <w:spacing w:after="100" w:line="276" w:lineRule="auto"/>
      <w:jc w:val="left"/>
    </w:pPr>
    <w:rPr>
      <w:rFonts w:asciiTheme="minorHAnsi" w:hAnsiTheme="minorHAnsi" w:eastAsiaTheme="minorEastAsia" w:cstheme="minorBidi"/>
      <w:kern w:val="0"/>
      <w:sz w:val="22"/>
    </w:rPr>
  </w:style>
  <w:style w:type="paragraph" w:styleId="8">
    <w:name w:val="toc 2"/>
    <w:basedOn w:val="1"/>
    <w:next w:val="1"/>
    <w:autoRedefine/>
    <w:unhideWhenUsed/>
    <w:qFormat/>
    <w:uiPriority w:val="39"/>
    <w:pPr>
      <w:widowControl/>
      <w:spacing w:after="100" w:line="276" w:lineRule="auto"/>
      <w:ind w:left="220"/>
      <w:jc w:val="left"/>
    </w:pPr>
    <w:rPr>
      <w:rFonts w:asciiTheme="minorHAnsi" w:hAnsiTheme="minorHAnsi" w:eastAsiaTheme="minorEastAsia" w:cstheme="minorBidi"/>
      <w:kern w:val="0"/>
      <w:sz w:val="22"/>
    </w:rPr>
  </w:style>
  <w:style w:type="character" w:styleId="11">
    <w:name w:val="Hyperlink"/>
    <w:basedOn w:val="10"/>
    <w:unhideWhenUsed/>
    <w:uiPriority w:val="99"/>
    <w:rPr>
      <w:color w:val="0563C1" w:themeColor="hyperlink"/>
      <w:u w:val="single"/>
      <w14:textFill>
        <w14:solidFill>
          <w14:schemeClr w14:val="hlink"/>
        </w14:solidFill>
      </w14:textFill>
    </w:rPr>
  </w:style>
  <w:style w:type="character" w:customStyle="1" w:styleId="12">
    <w:name w:val="页眉 Char"/>
    <w:basedOn w:val="10"/>
    <w:link w:val="6"/>
    <w:uiPriority w:val="99"/>
    <w:rPr>
      <w:sz w:val="18"/>
      <w:szCs w:val="18"/>
    </w:rPr>
  </w:style>
  <w:style w:type="character" w:customStyle="1" w:styleId="13">
    <w:name w:val="页脚 Char"/>
    <w:basedOn w:val="10"/>
    <w:link w:val="5"/>
    <w:uiPriority w:val="99"/>
    <w:rPr>
      <w:sz w:val="18"/>
      <w:szCs w:val="18"/>
    </w:rPr>
  </w:style>
  <w:style w:type="character" w:customStyle="1" w:styleId="14">
    <w:name w:val="标题 1 Char"/>
    <w:basedOn w:val="10"/>
    <w:link w:val="2"/>
    <w:uiPriority w:val="9"/>
    <w:rPr>
      <w:rFonts w:ascii="宋体" w:hAnsi="宋体" w:eastAsia="宋体" w:cs="宋体"/>
      <w:b/>
      <w:bCs/>
      <w:kern w:val="36"/>
      <w:sz w:val="32"/>
      <w:szCs w:val="48"/>
    </w:rPr>
  </w:style>
  <w:style w:type="character" w:customStyle="1" w:styleId="15">
    <w:name w:val="标题 2 Char"/>
    <w:basedOn w:val="10"/>
    <w:link w:val="3"/>
    <w:semiHidden/>
    <w:uiPriority w:val="9"/>
    <w:rPr>
      <w:rFonts w:asciiTheme="majorHAnsi" w:hAnsiTheme="majorHAnsi" w:eastAsiaTheme="majorEastAsia" w:cstheme="majorBidi"/>
      <w:b/>
      <w:bCs/>
      <w:sz w:val="32"/>
      <w:szCs w:val="32"/>
    </w:rPr>
  </w:style>
  <w:style w:type="paragraph" w:customStyle="1" w:styleId="16">
    <w:name w:val="TOC Heading"/>
    <w:basedOn w:val="2"/>
    <w:next w:val="1"/>
    <w:unhideWhenUsed/>
    <w:qFormat/>
    <w:uiPriority w:val="39"/>
    <w:pPr>
      <w:keepNext/>
      <w:keepLines/>
      <w:spacing w:before="480" w:beforeAutospacing="0" w:after="0" w:afterAutospacing="0" w:line="276" w:lineRule="auto"/>
      <w:outlineLvl w:val="9"/>
    </w:pPr>
    <w:rPr>
      <w:rFonts w:asciiTheme="majorHAnsi" w:hAnsiTheme="majorHAnsi" w:eastAsiaTheme="majorEastAsia" w:cstheme="majorBidi"/>
      <w:color w:val="2E75B6" w:themeColor="accent1" w:themeShade="BF"/>
      <w:kern w:val="0"/>
      <w:sz w:val="28"/>
      <w:szCs w:val="28"/>
    </w:rPr>
  </w:style>
</w:styles>
</file>

<file path=word/_rels/document.xml.rels><?xml version="1.0" encoding="UTF-8" standalone="yes"?>
<Relationships xmlns="http://schemas.openxmlformats.org/package/2006/relationships"><Relationship Id="rId7" Type="http://schemas.openxmlformats.org/officeDocument/2006/relationships/fontTable" Target="fontTable.xml"/><Relationship Id="rId6" Type="http://schemas.openxmlformats.org/officeDocument/2006/relationships/numbering" Target="numbering.xml"/><Relationship Id="rId5" Type="http://schemas.openxmlformats.org/officeDocument/2006/relationships/theme" Target="theme/theme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Template>
  <Pages>6</Pages>
  <Words>356</Words>
  <Characters>2031</Characters>
  <Lines>16</Lines>
  <Paragraphs>4</Paragraphs>
  <TotalTime>2</TotalTime>
  <ScaleCrop>false</ScaleCrop>
  <LinksUpToDate>false</LinksUpToDate>
  <CharactersWithSpaces>2383</CharactersWithSpaces>
  <Application>WPS Office_6.14.0.8924_F1E327BC-269C-435d-A152-05C5408002CA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2020-04-22T04:59:00Z</dcterms:created>
  <dc:creator>Windows 用户</dc:creator>
  <cp:lastModifiedBy>Arabella</cp:lastModifiedBy>
  <dcterms:modified xsi:type="dcterms:W3CDTF">2025-02-13T14:02:40Z</dcterms:modified>
  <cp:revision>3</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2052-6.14.0.8924</vt:lpwstr>
  </property>
  <property fmtid="{D5CDD505-2E9C-101B-9397-08002B2CF9AE}" pid="3" name="ICV">
    <vt:lpwstr>D5CAD2501C204A17CF937B67CE6A2D25_42</vt:lpwstr>
  </property>
</Properties>
</file>