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DC422">
      <w:pPr>
        <w:widowControl/>
        <w:shd w:val="clear" w:color="auto" w:fill="FFFFFF"/>
        <w:spacing w:before="100" w:beforeAutospacing="1" w:after="100" w:afterAutospacing="1"/>
        <w:jc w:val="center"/>
        <w:outlineLvl w:val="1"/>
        <w:rPr>
          <w:rFonts w:ascii="微软雅黑" w:hAnsi="微软雅黑" w:eastAsia="微软雅黑" w:cs="宋体"/>
          <w:b/>
          <w:bCs/>
          <w:color w:val="000000"/>
          <w:kern w:val="0"/>
          <w:sz w:val="36"/>
          <w:szCs w:val="36"/>
        </w:rPr>
      </w:pPr>
    </w:p>
    <w:p w14:paraId="535884C7">
      <w:pPr>
        <w:widowControl/>
        <w:shd w:val="clear" w:color="auto" w:fill="FFFFFF"/>
        <w:spacing w:before="100" w:beforeAutospacing="1" w:after="100" w:afterAutospacing="1"/>
        <w:jc w:val="center"/>
        <w:outlineLvl w:val="1"/>
        <w:rPr>
          <w:rFonts w:hint="default" w:ascii="微软雅黑" w:hAnsi="微软雅黑" w:eastAsia="微软雅黑" w:cs="宋体"/>
          <w:b/>
          <w:bCs/>
          <w:color w:val="000000"/>
          <w:kern w:val="0"/>
          <w:sz w:val="96"/>
          <w:szCs w:val="9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52"/>
          <w:szCs w:val="52"/>
          <w:lang w:val="en-US" w:eastAsia="zh-CN"/>
        </w:rPr>
        <w:t>xx</w:t>
      </w: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证券呼市灾备2021新建集群</w:t>
      </w:r>
    </w:p>
    <w:p w14:paraId="4199136E">
      <w:pPr>
        <w:widowControl/>
        <w:shd w:val="clear" w:color="auto" w:fill="FFFFFF"/>
        <w:spacing w:before="100" w:beforeAutospacing="1" w:after="100" w:afterAutospacing="1"/>
        <w:jc w:val="center"/>
        <w:outlineLvl w:val="1"/>
        <w:rPr>
          <w:rFonts w:ascii="微软雅黑" w:hAnsi="微软雅黑" w:eastAsia="微软雅黑" w:cs="宋体"/>
          <w:b/>
          <w:bCs/>
          <w:color w:val="000000"/>
          <w:kern w:val="0"/>
          <w:sz w:val="36"/>
          <w:szCs w:val="36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36"/>
          <w:szCs w:val="36"/>
        </w:rPr>
        <w:t>项目从售前到Delivery交接基本内容</w:t>
      </w:r>
    </w:p>
    <w:p w14:paraId="6C06041E">
      <w:pPr>
        <w:widowControl/>
        <w:pBdr>
          <w:bottom w:val="single" w:color="EEEEEE" w:sz="6" w:space="4"/>
        </w:pBdr>
        <w:shd w:val="clear" w:color="auto" w:fill="FFFFFF"/>
        <w:spacing w:before="240" w:after="240"/>
        <w:jc w:val="left"/>
        <w:outlineLvl w:val="0"/>
        <w:rPr>
          <w:rFonts w:ascii="微软雅黑" w:hAnsi="微软雅黑" w:eastAsia="微软雅黑" w:cs="宋体"/>
          <w:b/>
          <w:bCs/>
          <w:color w:val="333333"/>
          <w:kern w:val="36"/>
          <w:sz w:val="47"/>
          <w:szCs w:val="47"/>
        </w:rPr>
      </w:pPr>
      <w:bookmarkStart w:id="0" w:name="用途"/>
      <w:bookmarkEnd w:id="0"/>
      <w:r>
        <w:rPr>
          <w:rFonts w:hint="eastAsia" w:ascii="微软雅黑" w:hAnsi="微软雅黑" w:eastAsia="微软雅黑" w:cs="宋体"/>
          <w:b/>
          <w:bCs/>
          <w:color w:val="333333"/>
          <w:kern w:val="36"/>
          <w:sz w:val="47"/>
          <w:szCs w:val="47"/>
        </w:rPr>
        <w:t>用途</w:t>
      </w:r>
    </w:p>
    <w:p w14:paraId="47196617">
      <w:pPr>
        <w:widowControl/>
        <w:shd w:val="clear" w:color="auto" w:fill="FFFFFF"/>
        <w:spacing w:after="240"/>
        <w:jc w:val="left"/>
        <w:rPr>
          <w:rFonts w:ascii="微软雅黑" w:hAnsi="微软雅黑" w:eastAsia="微软雅黑" w:cs="宋体"/>
          <w:color w:val="333333"/>
          <w:kern w:val="0"/>
          <w:szCs w:val="21"/>
        </w:rPr>
      </w:pPr>
      <w:r>
        <w:rPr>
          <w:rFonts w:hint="eastAsia" w:ascii="微软雅黑" w:hAnsi="微软雅黑" w:eastAsia="微软雅黑" w:cs="宋体"/>
          <w:color w:val="333333"/>
          <w:kern w:val="0"/>
          <w:szCs w:val="21"/>
        </w:rPr>
        <w:t>项目从售前阶段进入售后阶段，需要有对应的交接内容，以便于项目管理规范化及实施前置条件完整，本文档主要描述交接需包括的主要内容。</w:t>
      </w:r>
      <w:r>
        <w:rPr>
          <w:rFonts w:hint="eastAsia" w:ascii="微软雅黑" w:hAnsi="微软雅黑" w:eastAsia="微软雅黑" w:cs="宋体"/>
          <w:color w:val="333333"/>
          <w:kern w:val="0"/>
          <w:szCs w:val="21"/>
        </w:rPr>
        <w:br w:type="textWrapping"/>
      </w:r>
      <w:r>
        <w:rPr>
          <w:rFonts w:hint="eastAsia" w:ascii="微软雅黑" w:hAnsi="微软雅黑" w:eastAsia="微软雅黑" w:cs="宋体"/>
          <w:color w:val="333333"/>
          <w:kern w:val="0"/>
          <w:szCs w:val="21"/>
        </w:rPr>
        <w:t>本文档为暂行，根据使用的经验再调整。</w:t>
      </w:r>
    </w:p>
    <w:p w14:paraId="2536BAE6">
      <w:pPr>
        <w:widowControl/>
        <w:pBdr>
          <w:bottom w:val="single" w:color="EEEEEE" w:sz="6" w:space="4"/>
        </w:pBdr>
        <w:shd w:val="clear" w:color="auto" w:fill="FFFFFF"/>
        <w:spacing w:before="240" w:after="240"/>
        <w:jc w:val="left"/>
        <w:outlineLvl w:val="0"/>
        <w:rPr>
          <w:rFonts w:ascii="微软雅黑" w:hAnsi="微软雅黑" w:eastAsia="微软雅黑" w:cs="宋体"/>
          <w:b/>
          <w:bCs/>
          <w:color w:val="333333"/>
          <w:kern w:val="36"/>
          <w:sz w:val="47"/>
          <w:szCs w:val="47"/>
        </w:rPr>
      </w:pPr>
      <w:bookmarkStart w:id="1" w:name="1_基本信息"/>
      <w:bookmarkEnd w:id="1"/>
      <w:r>
        <w:rPr>
          <w:rFonts w:hint="eastAsia" w:ascii="微软雅黑" w:hAnsi="微软雅黑" w:eastAsia="微软雅黑" w:cs="宋体"/>
          <w:b/>
          <w:bCs/>
          <w:color w:val="333333"/>
          <w:kern w:val="36"/>
          <w:sz w:val="47"/>
          <w:szCs w:val="47"/>
        </w:rPr>
        <w:t>1 基本信息</w:t>
      </w:r>
    </w:p>
    <w:p w14:paraId="7E8C480C">
      <w:pPr>
        <w:widowControl/>
        <w:shd w:val="clear" w:color="auto" w:fill="FFFFFF"/>
        <w:spacing w:before="240" w:after="240"/>
        <w:jc w:val="left"/>
        <w:outlineLvl w:val="2"/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bookmarkStart w:id="2" w:name="1.1_项目背景"/>
      <w:bookmarkEnd w:id="2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1.1 项目背景</w:t>
      </w:r>
    </w:p>
    <w:p w14:paraId="4BCE5E7B">
      <w:pPr>
        <w:widowControl/>
        <w:shd w:val="clear" w:color="auto" w:fill="FFFFFF"/>
        <w:spacing w:before="240" w:after="240"/>
        <w:jc w:val="left"/>
        <w:outlineLvl w:val="2"/>
        <w:rPr>
          <w:rFonts w:hint="default" w:ascii="微软雅黑" w:hAnsi="微软雅黑" w:eastAsia="微软雅黑" w:cs="宋体"/>
          <w:i/>
          <w:iCs/>
          <w:color w:val="666666"/>
          <w:kern w:val="0"/>
          <w:szCs w:val="21"/>
          <w:lang w:val="en-US" w:eastAsia="zh-CN"/>
        </w:rPr>
      </w:pPr>
      <w:bookmarkStart w:id="3" w:name="1.2_需求范围"/>
      <w:bookmarkEnd w:id="3"/>
      <w:r>
        <w:rPr>
          <w:rFonts w:hint="default" w:ascii="宋体" w:hAnsi="宋体" w:eastAsia="宋体" w:cs="宋体"/>
          <w:sz w:val="24"/>
          <w:lang w:val="en-US" w:eastAsia="zh-CN"/>
        </w:rPr>
        <w:t>xx</w:t>
      </w:r>
      <w:r>
        <w:rPr>
          <w:rFonts w:hint="eastAsia" w:ascii="宋体" w:hAnsi="宋体" w:eastAsia="宋体" w:cs="宋体"/>
          <w:sz w:val="24"/>
          <w:lang w:val="en-US" w:eastAsia="zh-CN"/>
        </w:rPr>
        <w:t>证券呼市云平台新建集群,老集群服务器下线或利旧扩容到新集群</w:t>
      </w:r>
    </w:p>
    <w:p w14:paraId="5FF6DDC6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1.2 需求范围</w:t>
      </w:r>
    </w:p>
    <w:p w14:paraId="31C2127C">
      <w:pPr>
        <w:widowControl/>
        <w:shd w:val="clear" w:color="auto" w:fill="FFFFFF"/>
        <w:spacing w:before="240" w:after="240"/>
        <w:jc w:val="left"/>
        <w:outlineLvl w:val="3"/>
        <w:rPr>
          <w:rFonts w:ascii="微软雅黑" w:hAnsi="微软雅黑" w:eastAsia="微软雅黑" w:cs="宋体"/>
          <w:b/>
          <w:bCs/>
          <w:color w:val="333333"/>
          <w:kern w:val="0"/>
          <w:sz w:val="26"/>
          <w:szCs w:val="26"/>
        </w:rPr>
      </w:pPr>
      <w:bookmarkStart w:id="4" w:name="业务需求"/>
      <w:bookmarkEnd w:id="4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26"/>
          <w:szCs w:val="26"/>
        </w:rPr>
        <w:t>业务需求</w:t>
      </w:r>
    </w:p>
    <w:p w14:paraId="104BC9C4">
      <w:pPr>
        <w:widowControl/>
        <w:shd w:val="clear" w:color="auto" w:fill="FFFFFF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4管理+4计算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+ 独立neonsan </w:t>
      </w:r>
    </w:p>
    <w:p w14:paraId="43B4434B">
      <w:pPr>
        <w:widowControl/>
        <w:shd w:val="clear" w:color="auto" w:fill="FFFFFF"/>
        <w:jc w:val="left"/>
        <w:rPr>
          <w:rFonts w:ascii="宋体" w:hAnsi="宋体" w:eastAsia="宋体" w:cs="宋体"/>
          <w:sz w:val="24"/>
        </w:rPr>
      </w:pPr>
    </w:p>
    <w:p w14:paraId="5A5C739E">
      <w:pPr>
        <w:widowControl/>
        <w:shd w:val="clear" w:color="auto" w:fill="FFFFFF"/>
        <w:spacing w:before="240" w:after="240"/>
        <w:jc w:val="left"/>
        <w:outlineLvl w:val="3"/>
        <w:rPr>
          <w:rFonts w:ascii="微软雅黑" w:hAnsi="微软雅黑" w:eastAsia="微软雅黑" w:cs="宋体"/>
          <w:b/>
          <w:bCs/>
          <w:color w:val="333333"/>
          <w:kern w:val="0"/>
          <w:sz w:val="26"/>
          <w:szCs w:val="26"/>
        </w:rPr>
      </w:pPr>
      <w:bookmarkStart w:id="5" w:name="技术指标（若有）"/>
      <w:bookmarkEnd w:id="5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26"/>
          <w:szCs w:val="26"/>
        </w:rPr>
        <w:t>技术指标（若有）</w:t>
      </w:r>
    </w:p>
    <w:p w14:paraId="22D62F35">
      <w:pPr>
        <w:widowControl/>
        <w:shd w:val="clear" w:color="auto" w:fill="FFFFFF"/>
        <w:spacing w:before="240" w:after="240"/>
        <w:jc w:val="left"/>
        <w:outlineLvl w:val="3"/>
        <w:rPr>
          <w:rFonts w:ascii="微软雅黑" w:hAnsi="微软雅黑" w:eastAsia="微软雅黑" w:cs="宋体"/>
          <w:b/>
          <w:bCs/>
          <w:color w:val="333333"/>
          <w:kern w:val="0"/>
          <w:sz w:val="26"/>
          <w:szCs w:val="26"/>
        </w:rPr>
      </w:pPr>
    </w:p>
    <w:p w14:paraId="0972429F">
      <w:pPr>
        <w:widowControl/>
        <w:shd w:val="clear" w:color="auto" w:fill="FFFFFF"/>
        <w:spacing w:before="240" w:after="240"/>
        <w:jc w:val="left"/>
        <w:outlineLvl w:val="3"/>
        <w:rPr>
          <w:rFonts w:ascii="微软雅黑" w:hAnsi="微软雅黑" w:eastAsia="微软雅黑" w:cs="宋体"/>
          <w:b/>
          <w:bCs/>
          <w:color w:val="333333"/>
          <w:kern w:val="0"/>
          <w:sz w:val="26"/>
          <w:szCs w:val="26"/>
        </w:rPr>
      </w:pPr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26"/>
          <w:szCs w:val="26"/>
        </w:rPr>
        <w:t>功能列表</w:t>
      </w:r>
    </w:p>
    <w:p w14:paraId="78D56E6B">
      <w:pPr>
        <w:widowControl/>
        <w:shd w:val="clear" w:color="auto" w:fill="FFFFFF"/>
        <w:jc w:val="left"/>
        <w:rPr>
          <w:rFonts w:hint="default" w:ascii="微软雅黑" w:hAnsi="微软雅黑" w:eastAsia="微软雅黑" w:cs="宋体"/>
          <w:i/>
          <w:iCs/>
          <w:color w:val="666666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高级版有 mysql需求</w:t>
      </w:r>
    </w:p>
    <w:p w14:paraId="0E3CD1C7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bookmarkStart w:id="6" w:name="1.3项目成员"/>
      <w:bookmarkEnd w:id="6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1.3项目成员</w:t>
      </w:r>
    </w:p>
    <w:p w14:paraId="354B905A">
      <w:pPr>
        <w:widowControl/>
        <w:pBdr>
          <w:bottom w:val="single" w:color="EEEEEE" w:sz="6" w:space="4"/>
        </w:pBdr>
        <w:shd w:val="clear" w:color="auto" w:fill="FFFFFF"/>
        <w:spacing w:before="240" w:after="240"/>
        <w:jc w:val="left"/>
        <w:outlineLvl w:val="0"/>
        <w:rPr>
          <w:rFonts w:ascii="微软雅黑" w:hAnsi="微软雅黑" w:eastAsia="微软雅黑" w:cs="宋体"/>
          <w:b/>
          <w:bCs/>
          <w:color w:val="333333"/>
          <w:kern w:val="36"/>
          <w:sz w:val="47"/>
          <w:szCs w:val="47"/>
        </w:rPr>
      </w:pPr>
      <w:bookmarkStart w:id="16" w:name="_GoBack"/>
      <w:bookmarkEnd w:id="16"/>
      <w:bookmarkStart w:id="7" w:name="2_技术方案"/>
      <w:bookmarkEnd w:id="7"/>
      <w:r>
        <w:rPr>
          <w:rFonts w:hint="eastAsia" w:ascii="微软雅黑" w:hAnsi="微软雅黑" w:eastAsia="微软雅黑" w:cs="宋体"/>
          <w:b/>
          <w:bCs/>
          <w:color w:val="333333"/>
          <w:kern w:val="36"/>
          <w:sz w:val="47"/>
          <w:szCs w:val="47"/>
        </w:rPr>
        <w:t>2 技术方案</w:t>
      </w:r>
    </w:p>
    <w:p w14:paraId="581D9D4B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bookmarkStart w:id="8" w:name="2.1_硬件清单"/>
      <w:bookmarkEnd w:id="8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2.1 硬件清单</w:t>
      </w:r>
    </w:p>
    <w:p w14:paraId="53740B9E">
      <w:bookmarkStart w:id="9" w:name="2.2_架构图"/>
      <w:bookmarkEnd w:id="9"/>
      <w:r>
        <w:drawing>
          <wp:inline distT="0" distB="0" distL="114300" distR="114300">
            <wp:extent cx="6159500" cy="2621915"/>
            <wp:effectExtent l="0" t="0" r="12700" b="6985"/>
            <wp:docPr id="4" name="内容占位符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44F5314B"/>
    <w:p w14:paraId="31C6E549"/>
    <w:p w14:paraId="76EDBC64">
      <w:pPr>
        <w:widowControl/>
        <w:shd w:val="clear" w:color="auto" w:fill="FFFFFF"/>
        <w:spacing w:before="240" w:after="240"/>
        <w:jc w:val="left"/>
        <w:outlineLvl w:val="2"/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</w:p>
    <w:p w14:paraId="3339A4B6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2.2 架构图</w:t>
      </w:r>
    </w:p>
    <w:p w14:paraId="5F19BDC5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r>
        <w:drawing>
          <wp:inline distT="0" distB="0" distL="114300" distR="114300">
            <wp:extent cx="5260340" cy="3088640"/>
            <wp:effectExtent l="0" t="0" r="16510" b="165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4ACE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r>
        <w:drawing>
          <wp:inline distT="0" distB="0" distL="114300" distR="114300">
            <wp:extent cx="5267325" cy="1790065"/>
            <wp:effectExtent l="0" t="0" r="952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4FC46">
      <w:pPr>
        <w:widowControl/>
        <w:shd w:val="clear" w:color="auto" w:fill="FFFFFF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基础网络 Vlan模式   无VG</w:t>
      </w:r>
    </w:p>
    <w:p w14:paraId="7D334062">
      <w:pPr>
        <w:widowControl/>
        <w:shd w:val="clear" w:color="auto" w:fill="FFFFFF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SDS2.0 </w:t>
      </w:r>
    </w:p>
    <w:p w14:paraId="7CBEA893">
      <w:pPr>
        <w:widowControl/>
        <w:shd w:val="clear" w:color="auto" w:fill="FFFFFF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独立neonsan  </w:t>
      </w:r>
    </w:p>
    <w:p w14:paraId="61A4E494">
      <w:pPr>
        <w:widowControl/>
        <w:shd w:val="clear" w:color="auto" w:fill="FFFFFF"/>
        <w:jc w:val="left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客户专线50M</w:t>
      </w:r>
    </w:p>
    <w:p w14:paraId="60717716">
      <w:pPr>
        <w:widowControl/>
        <w:shd w:val="clear" w:color="auto" w:fill="FFFFFF"/>
        <w:jc w:val="left"/>
        <w:rPr>
          <w:rFonts w:hint="eastAsia" w:ascii="宋体" w:hAnsi="宋体" w:eastAsia="宋体" w:cs="宋体"/>
          <w:sz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yellow"/>
          <w:lang w:val="en-US" w:eastAsia="zh-CN"/>
        </w:rPr>
        <w:t xml:space="preserve">作为子zone挂到上海的global下, 并与上海实现global数据异步同步 </w:t>
      </w:r>
    </w:p>
    <w:p w14:paraId="77C25165">
      <w:pPr>
        <w:widowControl/>
        <w:shd w:val="clear" w:color="auto" w:fill="FFFFFF"/>
        <w:jc w:val="left"/>
        <w:rPr>
          <w:rFonts w:hint="default" w:ascii="宋体" w:hAnsi="宋体" w:eastAsia="宋体" w:cs="宋体"/>
          <w:sz w:val="24"/>
          <w:lang w:val="en-US" w:eastAsia="zh-CN"/>
        </w:rPr>
      </w:pPr>
    </w:p>
    <w:p w14:paraId="55B63A80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bookmarkStart w:id="10" w:name="2.3_容量规划"/>
      <w:bookmarkEnd w:id="10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2.3 容量规划</w:t>
      </w:r>
    </w:p>
    <w:p w14:paraId="09953811">
      <w:pPr>
        <w:widowControl/>
        <w:shd w:val="clear" w:color="auto" w:fill="FFFFFF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存储默认2副本  </w:t>
      </w:r>
    </w:p>
    <w:p w14:paraId="1AE1E1A9">
      <w:pPr>
        <w:widowControl/>
        <w:shd w:val="clear" w:color="auto" w:fill="FFFFFF"/>
        <w:jc w:val="left"/>
        <w:rPr>
          <w:rFonts w:ascii="微软雅黑" w:hAnsi="微软雅黑" w:eastAsia="微软雅黑" w:cs="宋体"/>
          <w:i/>
          <w:iCs/>
          <w:color w:val="666666"/>
          <w:kern w:val="0"/>
          <w:szCs w:val="21"/>
        </w:rPr>
      </w:pPr>
      <w:r>
        <w:rPr>
          <w:rFonts w:hint="eastAsia" w:ascii="宋体" w:hAnsi="宋体" w:eastAsia="宋体" w:cs="宋体"/>
          <w:sz w:val="24"/>
        </w:rPr>
        <w:t xml:space="preserve">默认超分比 </w:t>
      </w: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t xml:space="preserve">内存按照1.0算 </w:t>
      </w:r>
    </w:p>
    <w:p w14:paraId="6E459502">
      <w:pPr>
        <w:widowControl/>
        <w:shd w:val="clear" w:color="auto" w:fill="FFFFFF"/>
        <w:jc w:val="left"/>
        <w:rPr>
          <w:rFonts w:ascii="微软雅黑" w:hAnsi="微软雅黑" w:eastAsia="微软雅黑" w:cs="宋体"/>
          <w:i/>
          <w:iCs/>
          <w:color w:val="666666"/>
          <w:kern w:val="0"/>
          <w:szCs w:val="21"/>
        </w:rPr>
      </w:pP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t>物理容量（如果有neonsan存储，需特别说明是按几副本计算）</w:t>
      </w: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br w:type="textWrapping"/>
      </w: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t>逻辑容量（物理容量*超卖比）(默认按超卖比：cpu 3倍、内存1.0、磁盘不超卖)</w:t>
      </w:r>
    </w:p>
    <w:p w14:paraId="762B682E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bookmarkStart w:id="11" w:name="2.4_定制开发（按需）"/>
      <w:bookmarkEnd w:id="11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2.4 定制开发（按需）</w:t>
      </w:r>
    </w:p>
    <w:p w14:paraId="24AE0677">
      <w:r>
        <w:rPr>
          <w:rFonts w:hint="eastAsia"/>
        </w:rPr>
        <w:t>无</w:t>
      </w:r>
    </w:p>
    <w:p w14:paraId="23F0F5B7">
      <w:pPr>
        <w:widowControl/>
        <w:pBdr>
          <w:bottom w:val="single" w:color="EEEEEE" w:sz="6" w:space="4"/>
        </w:pBdr>
        <w:shd w:val="clear" w:color="auto" w:fill="FFFFFF"/>
        <w:spacing w:before="240" w:after="240"/>
        <w:jc w:val="left"/>
        <w:outlineLvl w:val="0"/>
        <w:rPr>
          <w:rFonts w:ascii="微软雅黑" w:hAnsi="微软雅黑" w:eastAsia="微软雅黑" w:cs="宋体"/>
          <w:b/>
          <w:bCs/>
          <w:color w:val="333333"/>
          <w:kern w:val="36"/>
          <w:sz w:val="47"/>
          <w:szCs w:val="47"/>
        </w:rPr>
      </w:pPr>
      <w:bookmarkStart w:id="12" w:name="3_商务信息"/>
      <w:bookmarkEnd w:id="12"/>
      <w:r>
        <w:rPr>
          <w:rFonts w:hint="eastAsia" w:ascii="微软雅黑" w:hAnsi="微软雅黑" w:eastAsia="微软雅黑" w:cs="宋体"/>
          <w:b/>
          <w:bCs/>
          <w:color w:val="333333"/>
          <w:kern w:val="36"/>
          <w:sz w:val="47"/>
          <w:szCs w:val="47"/>
        </w:rPr>
        <w:t>3 商务信息</w:t>
      </w:r>
    </w:p>
    <w:p w14:paraId="5777E4E7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bookmarkStart w:id="13" w:name="3.1_产品及license数量清单"/>
      <w:bookmarkEnd w:id="13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3.1 产品及license数量清单</w:t>
      </w:r>
    </w:p>
    <w:p w14:paraId="2706E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IAAS高级版</w:t>
      </w:r>
    </w:p>
    <w:p w14:paraId="0C844C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Neonsan超融合</w:t>
      </w:r>
    </w:p>
    <w:p w14:paraId="1990F86B">
      <w:pPr>
        <w:widowControl/>
        <w:shd w:val="clear" w:color="auto" w:fill="FFFFFF"/>
        <w:jc w:val="left"/>
        <w:rPr>
          <w:rFonts w:ascii="微软雅黑" w:hAnsi="微软雅黑" w:eastAsia="微软雅黑" w:cs="宋体"/>
          <w:i/>
          <w:iCs/>
          <w:color w:val="666666"/>
          <w:kern w:val="0"/>
          <w:szCs w:val="21"/>
        </w:rPr>
      </w:pP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t>解决方案中包括哪几个产品</w:t>
      </w: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br w:type="textWrapping"/>
      </w: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t>每个产品的license数量</w:t>
      </w: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br w:type="textWrapping"/>
      </w: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t>license授权级别（如：标准版、高级版、企业版）</w:t>
      </w:r>
    </w:p>
    <w:p w14:paraId="07BFB5D2">
      <w:pPr>
        <w:widowControl/>
        <w:shd w:val="clear" w:color="auto" w:fill="FFFFFF"/>
        <w:spacing w:before="240" w:after="240"/>
        <w:jc w:val="left"/>
        <w:outlineLvl w:val="2"/>
        <w:rPr>
          <w:rFonts w:ascii="微软雅黑" w:hAnsi="微软雅黑" w:eastAsia="微软雅黑" w:cs="宋体"/>
          <w:b/>
          <w:bCs/>
          <w:color w:val="333333"/>
          <w:kern w:val="0"/>
          <w:sz w:val="32"/>
          <w:szCs w:val="32"/>
        </w:rPr>
      </w:pPr>
      <w:bookmarkStart w:id="14" w:name="3.2_服务人天（服务团队评估）"/>
      <w:bookmarkEnd w:id="14"/>
      <w:r>
        <w:rPr>
          <w:rFonts w:hint="eastAsia" w:ascii="微软雅黑" w:hAnsi="微软雅黑" w:eastAsia="微软雅黑" w:cs="宋体"/>
          <w:b/>
          <w:bCs/>
          <w:color w:val="333333"/>
          <w:kern w:val="0"/>
          <w:sz w:val="32"/>
          <w:szCs w:val="32"/>
        </w:rPr>
        <w:t>3.2 服务人天（服务团队评估）</w:t>
      </w:r>
    </w:p>
    <w:p w14:paraId="38D3FB69">
      <w:pPr>
        <w:widowControl/>
        <w:shd w:val="clear" w:color="auto" w:fill="FFFFFF"/>
        <w:jc w:val="left"/>
        <w:rPr>
          <w:rFonts w:ascii="微软雅黑" w:hAnsi="微软雅黑" w:eastAsia="微软雅黑" w:cs="宋体"/>
          <w:i/>
          <w:iCs/>
          <w:color w:val="666666"/>
          <w:kern w:val="0"/>
          <w:szCs w:val="21"/>
        </w:rPr>
      </w:pPr>
      <w:r>
        <w:rPr>
          <w:rFonts w:hint="eastAsia" w:ascii="微软雅黑" w:hAnsi="微软雅黑" w:eastAsia="微软雅黑" w:cs="宋体"/>
          <w:i/>
          <w:iCs/>
          <w:color w:val="666666"/>
          <w:kern w:val="0"/>
          <w:szCs w:val="21"/>
        </w:rPr>
        <w:t>?天</w:t>
      </w:r>
    </w:p>
    <w:p w14:paraId="562BBF8B">
      <w:pPr>
        <w:widowControl/>
        <w:pBdr>
          <w:bottom w:val="single" w:color="EEEEEE" w:sz="6" w:space="4"/>
        </w:pBdr>
        <w:shd w:val="clear" w:color="auto" w:fill="FFFFFF"/>
        <w:spacing w:before="240" w:after="240"/>
        <w:jc w:val="left"/>
        <w:outlineLvl w:val="0"/>
        <w:rPr>
          <w:rFonts w:ascii="微软雅黑" w:hAnsi="微软雅黑" w:eastAsia="微软雅黑" w:cs="宋体"/>
          <w:b/>
          <w:bCs/>
          <w:color w:val="333333"/>
          <w:kern w:val="36"/>
          <w:sz w:val="47"/>
          <w:szCs w:val="47"/>
        </w:rPr>
      </w:pPr>
      <w:bookmarkStart w:id="15" w:name="4_其它与客户已确认的信息"/>
      <w:bookmarkEnd w:id="15"/>
      <w:r>
        <w:rPr>
          <w:rFonts w:hint="eastAsia" w:ascii="微软雅黑" w:hAnsi="微软雅黑" w:eastAsia="微软雅黑" w:cs="宋体"/>
          <w:b/>
          <w:bCs/>
          <w:color w:val="333333"/>
          <w:kern w:val="36"/>
          <w:sz w:val="47"/>
          <w:szCs w:val="47"/>
        </w:rPr>
        <w:t>4 其它与客户已确认的信息</w:t>
      </w:r>
    </w:p>
    <w:p w14:paraId="19537B27">
      <w:pPr>
        <w:widowControl/>
        <w:numPr>
          <w:ilvl w:val="0"/>
          <w:numId w:val="1"/>
        </w:numPr>
        <w:pBdr>
          <w:top w:val="single" w:color="E1E1E8" w:sz="6" w:space="8"/>
          <w:left w:val="single" w:color="E1E1E8" w:sz="6" w:space="4"/>
          <w:bottom w:val="single" w:color="E1E1E8" w:sz="6" w:space="8"/>
          <w:right w:val="single" w:color="E1E1E8" w:sz="6" w:space="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beforeAutospacing="1" w:afterAutospacing="1"/>
        <w:jc w:val="left"/>
        <w:rPr>
          <w:rFonts w:ascii="Consolas" w:hAnsi="Consolas" w:eastAsia="宋体" w:cs="Consolas"/>
          <w:color w:val="999999"/>
          <w:kern w:val="0"/>
          <w:sz w:val="18"/>
          <w:szCs w:val="18"/>
        </w:rPr>
      </w:pPr>
      <w:r>
        <w:rPr>
          <w:rFonts w:ascii="Consolas" w:hAnsi="Consolas" w:eastAsia="宋体" w:cs="Consolas"/>
          <w:color w:val="000000"/>
          <w:kern w:val="0"/>
          <w:szCs w:val="21"/>
        </w:rPr>
        <w:t>xx</w:t>
      </w:r>
    </w:p>
    <w:p w14:paraId="344FF8E1">
      <w:pPr>
        <w:widowControl/>
        <w:numPr>
          <w:ilvl w:val="0"/>
          <w:numId w:val="1"/>
        </w:numPr>
        <w:pBdr>
          <w:top w:val="single" w:color="E1E1E8" w:sz="6" w:space="8"/>
          <w:left w:val="single" w:color="E1E1E8" w:sz="6" w:space="4"/>
          <w:bottom w:val="single" w:color="E1E1E8" w:sz="6" w:space="8"/>
          <w:right w:val="single" w:color="E1E1E8" w:sz="6" w:space="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beforeAutospacing="1" w:afterAutospacing="1"/>
        <w:jc w:val="left"/>
        <w:rPr>
          <w:rFonts w:ascii="Consolas" w:hAnsi="Consolas" w:eastAsia="宋体" w:cs="Consolas"/>
          <w:color w:val="999999"/>
          <w:kern w:val="0"/>
          <w:sz w:val="18"/>
          <w:szCs w:val="18"/>
        </w:rPr>
      </w:pPr>
      <w:r>
        <w:rPr>
          <w:rFonts w:ascii="Consolas" w:hAnsi="Consolas" w:eastAsia="宋体" w:cs="Consolas"/>
          <w:color w:val="000000"/>
          <w:kern w:val="0"/>
          <w:szCs w:val="21"/>
        </w:rPr>
        <w:t>xx</w:t>
      </w:r>
    </w:p>
    <w:p w14:paraId="687A1409">
      <w:pPr>
        <w:widowControl/>
        <w:numPr>
          <w:ilvl w:val="0"/>
          <w:numId w:val="1"/>
        </w:numPr>
        <w:pBdr>
          <w:top w:val="single" w:color="E1E1E8" w:sz="6" w:space="8"/>
          <w:left w:val="single" w:color="E1E1E8" w:sz="6" w:space="4"/>
          <w:bottom w:val="single" w:color="E1E1E8" w:sz="6" w:space="8"/>
          <w:right w:val="single" w:color="E1E1E8" w:sz="6" w:space="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  <w:tab w:val="clear" w:pos="720"/>
        </w:tabs>
        <w:spacing w:beforeAutospacing="1" w:afterAutospacing="1"/>
        <w:jc w:val="left"/>
        <w:rPr>
          <w:rFonts w:ascii="Consolas" w:hAnsi="Consolas" w:eastAsia="宋体" w:cs="Consolas"/>
          <w:color w:val="999999"/>
          <w:kern w:val="0"/>
          <w:sz w:val="18"/>
          <w:szCs w:val="18"/>
        </w:rPr>
      </w:pPr>
      <w:r>
        <w:rPr>
          <w:rFonts w:ascii="Consolas" w:hAnsi="Consolas" w:eastAsia="宋体" w:cs="Consolas"/>
          <w:color w:val="000000"/>
          <w:kern w:val="0"/>
          <w:szCs w:val="21"/>
        </w:rPr>
        <w:t>xx</w:t>
      </w:r>
    </w:p>
    <w:p w14:paraId="6663CB11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AE522F"/>
    <w:multiLevelType w:val="multilevel"/>
    <w:tmpl w:val="63AE52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52A"/>
    <w:rsid w:val="00362CF8"/>
    <w:rsid w:val="005E26D0"/>
    <w:rsid w:val="005F52BB"/>
    <w:rsid w:val="007D3138"/>
    <w:rsid w:val="0088443A"/>
    <w:rsid w:val="00C2252A"/>
    <w:rsid w:val="00C62C29"/>
    <w:rsid w:val="00DA4AC1"/>
    <w:rsid w:val="09227119"/>
    <w:rsid w:val="0E1E41E3"/>
    <w:rsid w:val="15717A26"/>
    <w:rsid w:val="1EBD466A"/>
    <w:rsid w:val="298B5788"/>
    <w:rsid w:val="29ED2DAF"/>
    <w:rsid w:val="2F30169E"/>
    <w:rsid w:val="350C506A"/>
    <w:rsid w:val="38780737"/>
    <w:rsid w:val="3A970642"/>
    <w:rsid w:val="3CFA6723"/>
    <w:rsid w:val="3EEFCE7C"/>
    <w:rsid w:val="3FA65FE9"/>
    <w:rsid w:val="43634342"/>
    <w:rsid w:val="44DC29B4"/>
    <w:rsid w:val="4A2872EE"/>
    <w:rsid w:val="503F17A5"/>
    <w:rsid w:val="515F234A"/>
    <w:rsid w:val="59BD4054"/>
    <w:rsid w:val="5DFD4473"/>
    <w:rsid w:val="5EB96112"/>
    <w:rsid w:val="5FA648F8"/>
    <w:rsid w:val="5FB476F0"/>
    <w:rsid w:val="6053269B"/>
    <w:rsid w:val="6FAC6FD4"/>
    <w:rsid w:val="71C05ED5"/>
    <w:rsid w:val="773A7432"/>
    <w:rsid w:val="7A5B3ED1"/>
    <w:rsid w:val="7CBF1B38"/>
    <w:rsid w:val="7F599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12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0">
    <w:name w:val="标题 2 字符"/>
    <w:basedOn w:val="8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1">
    <w:name w:val="标题 3 字符"/>
    <w:basedOn w:val="8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2">
    <w:name w:val="标题 4 字符"/>
    <w:basedOn w:val="8"/>
    <w:link w:val="5"/>
    <w:qFormat/>
    <w:uiPriority w:val="9"/>
    <w:rPr>
      <w:rFonts w:ascii="宋体" w:hAnsi="宋体" w:eastAsia="宋体" w:cs="宋体"/>
      <w:b/>
      <w:bCs/>
      <w:kern w:val="0"/>
      <w:sz w:val="24"/>
    </w:rPr>
  </w:style>
  <w:style w:type="paragraph" w:customStyle="1" w:styleId="13">
    <w:name w:val="l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4">
    <w:name w:val="pln"/>
    <w:basedOn w:val="8"/>
    <w:qFormat/>
    <w:uiPriority w:val="0"/>
  </w:style>
  <w:style w:type="paragraph" w:customStyle="1" w:styleId="15">
    <w:name w:val="l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16">
    <w:name w:val="l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7">
    <w:name w:val="font11"/>
    <w:basedOn w:val="8"/>
    <w:qFormat/>
    <w:uiPriority w:val="0"/>
    <w:rPr>
      <w:rFonts w:hint="eastAsia" w:ascii="等线" w:hAnsi="等线" w:eastAsia="等线" w:cs="等线"/>
      <w:color w:val="000000"/>
      <w:sz w:val="21"/>
      <w:szCs w:val="21"/>
      <w:u w:val="none"/>
    </w:rPr>
  </w:style>
  <w:style w:type="character" w:customStyle="1" w:styleId="18">
    <w:name w:val="font41"/>
    <w:basedOn w:val="8"/>
    <w:qFormat/>
    <w:uiPriority w:val="0"/>
    <w:rPr>
      <w:rFonts w:hint="eastAsia" w:ascii="等线" w:hAnsi="等线" w:eastAsia="等线" w:cs="等线"/>
      <w:color w:val="FF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</Words>
  <Characters>963</Characters>
  <Lines>8</Lines>
  <Paragraphs>2</Paragraphs>
  <TotalTime>4</TotalTime>
  <ScaleCrop>false</ScaleCrop>
  <LinksUpToDate>false</LinksUpToDate>
  <CharactersWithSpaces>1129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2020-05-23T03:10:00Z</dcterms:created>
  <dc:creator>Microsoft Office User</dc:creator>
  <cp:lastModifiedBy>Arabella</cp:lastModifiedBy>
  <dcterms:modified xsi:type="dcterms:W3CDTF">2025-02-13T14:09:21Z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C2A1C45436E233CD117BAC670D49C217_42</vt:lpwstr>
  </property>
</Properties>
</file>