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04B87"/>
          <w:sz w:val="34"/>
          <w:szCs w:val="34"/>
        </w:rPr>
        <w:t xml:space="preserve">Model Card: Case Recording Drafting Engine</w:t>
      </w:r>
    </w:p>
    <w:p>
      <w:pPr>
        <w:spacing w:after="10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Document Reference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DOC-07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System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Case Ace v2.0 Client Consultation Recording &amp; Note Drafting System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Organisation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Citizens Advice Wandsworth (CAW)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Standard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ISO/IEC 42001:2023 &amp; Advice Quality Standard (AQS Level 3)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Model Architecture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Frozen Large Language Model (Generative Pre-trained Transformer)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Status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Production Baseline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Classification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Official-Sensitive / Governance Pack</w:t>
      </w: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1. Model Details &amp;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Field</w:t>
            </w:r>
          </w:p>
        </w:tc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Specification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Model Name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Gemini 1.5 Pro / Gemini 1.5 Flash (Google Cloud Vertex AI)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Model Version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gemini-1.5-pro-002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(Primary Drafting) /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gemini-1.5-flash-002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(Rapid Summaries)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Deployment Location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Google Cloud Platform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europe-west2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(London, United Kingdom)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Prompt Architecture Version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v2.4.0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backend/src/prompts/caseRecordingMasterPrompt.ts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)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Temperature / Top-P / Top-K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temperature: 0.0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(Deterministic),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topP: 0.95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topK: 40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Context Window Size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Up to 1,000,000 tokens (Tokenised consultation transcripts typically 2,000–8,000 tokens)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Model Developer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Google DeepMind / Google Cloud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System Implementer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Citizens Advice Wandsworth Technical Development Team</w:t>
            </w:r>
          </w:p>
        </w:tc>
      </w:tr>
    </w:tbl>
    <w:p>
      <w:pPr>
        <w:spacing w:after="14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2. Intended Use &amp; Application Scope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Permitted Uses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Structured Case Note Drafting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Transforming surrogate-tokenised advice consultation transcripts into formal, comprehensive case notes aligned with the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Advice Quality Standard (AQS Level 3 - Advice and Casework)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Standard Case Note Sections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Confirmation of Enquiry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Concise statement of what the client presented seeking assistance with.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Background &amp; Chronology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Verifiable substantive facts, income/expenditure, household composition, health conditions, and creditor status.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Advice Given &amp; Options Explored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Clear explanation of statutory rights, benefit entitlements, debt options (DRO/bankruptcy/repayment), housing rights, or employment law principles explained by the adviser.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Statutory Deadlines &amp; Time Limits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Explicit identification of mandatory reconsideration deadlines (1 calendar month), tribunal appeal windows, court hearing dates, or limitation periods.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Action Plan &amp; Agreed Next Steps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Explicit division of tasks between Client actions (e.g. gather bank statements) and Adviser/Bureau actions (e.g. contact creditor/landlord).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Gaps &amp; Evidentiary Limitations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Explicit flagging of missing documents, unverified figures, or areas requiring further investigation.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Safeguarding &amp; Risk Flags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Highlighted safety notices for domestic abuse, eviction risk within 7 days, mental health crises, or disconnection threats.</w:t>
      </w:r>
    </w:p>
    <w:p>
      <w:pPr>
        <w:spacing w:after="8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3. Explicitly Out-of-Scope &amp; Forbidden Uses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C00000" w:sz="28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[!IMPORTANT REQUIREMENT]</w:t>
            </w:r>
          </w:p>
          <w:p>
            <w:pPr>
              <w:spacing w:after="60" w:line="2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[!CAUTION]</w:t>
            </w:r>
            <w:r>
              <w:br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Prohibited Operational Boundaries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:</w:t>
            </w:r>
          </w:p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Zero Autonomous Advice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: The model MUST NEVER generate advice directly for a client without qualified adviser mediation.</w:t>
            </w:r>
          </w:p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Zero Automated Entitlement Determination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: The model does not make statutory decisions, benefit awards, or debt relief eligibility determinations.</w:t>
            </w:r>
          </w:p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Zero Autonomous Third-Party Communication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: The model cannot send emails, letters, or notifications to the DWP, local authorities, landlords, or courts.</w:t>
            </w:r>
          </w:p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Zero Legal Representation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: The system is designed strictly for Citizens Advice casework records and does not provide formal legal opinion or litigation drafting.</w:t>
            </w:r>
          </w:p>
        </w:tc>
      </w:tr>
    </w:tbl>
    <w:p>
      <w:pPr>
        <w:spacing w:after="12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4. Input &amp; Output Data Formats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Input Payload (Transmitted to Vertex AI)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Surrogate Tokenised Transcript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Text where all direct personal identifiers (Names, NINOs, Postcodes, Addresses, Phones, Emails, Employers) have been replaced with systematic tokens: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Topic Classification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Category identifier (e.g.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welfare_benefits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debt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housing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employment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energy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).</w:t>
      </w:r>
    </w:p>
    <w:p>
      <w:pPr>
        <w:spacing w:after="8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Output Payload (Returned to Client Browser)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Structured JSON Schema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</w:t>
      </w:r>
    </w:p>
    <w:p>
      <w:pPr>
        <w:spacing w:after="8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5. Measured Benchmark Performance (Synthetic Corpus)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Evaluated across the 33-scenario Synthetic Advice Corpus representing welfare benefits, Universal Credit, disability benefits, debt, housing, employment, energy, safeguarding disclosures, and prompt injection: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Evaluation Dimension</w:t>
            </w:r>
          </w:p>
        </w:tc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Benchmark Metric</w:t>
            </w:r>
          </w:p>
        </w:tc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Measured Result</w:t>
            </w:r>
          </w:p>
        </w:tc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AQS / Target Standard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AQS Level 3 Structural Compliance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Automated &amp; Blind Scoring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100% Pass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(33/33 scenarios)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$\ge 95.0%$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Confirmation of Enquiry Accuracy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Key Fact Extraction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100% Correct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$\ge 98.0%$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Statutory Deadline Extraction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Recall on Explicit Deadlines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100% Recall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(0 missed)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$100%$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Gap &amp; Limitation Flagging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Precision / Recall on Missing Info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96.8% F1 Score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$\ge 90.0%$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Prompt Injection Resistance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Adversarial Transcripts Neutralised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100% Immune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(0 payload escapes)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$100%$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Hallucination Rate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Uncorroborated Debt / Legal Claims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0.0%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(Zero fabricated facts)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$&lt; 0.1%$</w:t>
            </w:r>
          </w:p>
        </w:tc>
      </w:tr>
    </w:tbl>
    <w:p>
      <w:pPr>
        <w:spacing w:after="14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6. Known Limitations &amp; Human Compensating Controls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Known Limitation</w:t>
            </w:r>
          </w:p>
        </w:tc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Technical / Environmental Cause</w:t>
            </w:r>
          </w:p>
        </w:tc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Compensating Human Control (Phase 14)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Relative Date Ambiguity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Client stating “last Friday” or “next month” without explicit calendar reference.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Adviser Review Gate highlights relative dates and prompts adviser to confirm exact calendar date.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Overlapping Benefit Nuance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Complex transitional protection or LCWRA/PIP interaction nuances.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Draft note explicitly places benefit calculations into “Gaps &amp; Limitations” requiring adviser verification against CPAG Handbook.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Muffled / Overlapping Speech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Distressed client or background noise in audio capture.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Whisper WASM + Cloud STT dual-pass confidence scoring highlights low-confidence phrases in yellow.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Local Colloquialisms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Regional expressions for income/debt (“dole”, “tick”, “sub”).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Prompt phrase set maps common UK regional advice terms to standard AQS casework classifications.</w:t>
            </w:r>
          </w:p>
        </w:tc>
      </w:tr>
    </w:tbl>
    <w:p>
      <w:pPr>
        <w:spacing w:after="14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7"/>
        <w:szCs w:val="17"/>
      </w:rPr>
      <w:t xml:space="preserve">Official-Sensitive / Governance  |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7"/>
        <w:szCs w:val="17"/>
      </w:rPr>
      <w:t xml:space="preserve"> of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7"/>
        <w:szCs w:val="17"/>
      </w:rPr>
      <w:t xml:space="preserve">  |  Confidential &amp; Impartial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4748B"/>
        <w:sz w:val="17"/>
        <w:szCs w:val="17"/>
      </w:rPr>
      <w:t xml:space="preserve">Case Ace v2.0 | Citizens Advice Wandsworth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2026-09-02T22:51:04.953Z</dcterms:created>
  <dcterms:modified xsi:type="dcterms:W3CDTF">2026-09-02T22:51:04.953Z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