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004B87"/>
          <w:sz w:val="34"/>
          <w:szCs w:val="34"/>
        </w:rPr>
        <w:t xml:space="preserve">Synthetic Corpus Redaction Performance &amp; Egress Verification Report</w:t>
      </w:r>
    </w:p>
    <w:p>
      <w:pPr>
        <w:spacing w:after="100" w:line="270"/>
      </w:pPr>
      <w:r>
        <w:rPr>
          <w:rFonts w:ascii="Calibri" w:cs="Calibri" w:eastAsia="Calibri" w:hAnsi="Calibri"/>
          <w:b/>
          <w:bCs/>
          <w:color w:val="222222"/>
          <w:sz w:val="21"/>
          <w:szCs w:val="21"/>
        </w:rPr>
        <w:t xml:space="preserve">Document Reference</w:t>
      </w:r>
      <w:r>
        <w:rPr>
          <w:rFonts w:ascii="Calibri" w:cs="Calibri" w:eastAsia="Calibri" w:hAnsi="Calibri"/>
          <w:color w:val="222222"/>
          <w:sz w:val="21"/>
          <w:szCs w:val="21"/>
        </w:rPr>
        <w:t xml:space="preserve">: DOC-08</w:t>
      </w:r>
      <w:r>
        <w:br/>
      </w:r>
      <w:r>
        <w:rPr>
          <w:rFonts w:ascii="Calibri" w:cs="Calibri" w:eastAsia="Calibri" w:hAnsi="Calibri"/>
          <w:b/>
          <w:bCs/>
          <w:color w:val="222222"/>
          <w:sz w:val="21"/>
          <w:szCs w:val="21"/>
        </w:rPr>
        <w:t xml:space="preserve">System</w:t>
      </w:r>
      <w:r>
        <w:rPr>
          <w:rFonts w:ascii="Calibri" w:cs="Calibri" w:eastAsia="Calibri" w:hAnsi="Calibri"/>
          <w:color w:val="222222"/>
          <w:sz w:val="21"/>
          <w:szCs w:val="21"/>
        </w:rPr>
        <w:t xml:space="preserve">: Case Ace v2.0 Client Consultation Recording &amp; Note Drafting System</w:t>
      </w:r>
      <w:r>
        <w:br/>
      </w:r>
      <w:r>
        <w:rPr>
          <w:rFonts w:ascii="Calibri" w:cs="Calibri" w:eastAsia="Calibri" w:hAnsi="Calibri"/>
          <w:b/>
          <w:bCs/>
          <w:color w:val="222222"/>
          <w:sz w:val="21"/>
          <w:szCs w:val="21"/>
        </w:rPr>
        <w:t xml:space="preserve">Organisation</w:t>
      </w:r>
      <w:r>
        <w:rPr>
          <w:rFonts w:ascii="Calibri" w:cs="Calibri" w:eastAsia="Calibri" w:hAnsi="Calibri"/>
          <w:color w:val="222222"/>
          <w:sz w:val="21"/>
          <w:szCs w:val="21"/>
        </w:rPr>
        <w:t xml:space="preserve">: Citizens Advice Wandsworth (CAW)</w:t>
      </w:r>
      <w:r>
        <w:br/>
      </w:r>
      <w:r>
        <w:rPr>
          <w:rFonts w:ascii="Calibri" w:cs="Calibri" w:eastAsia="Calibri" w:hAnsi="Calibri"/>
          <w:b/>
          <w:bCs/>
          <w:color w:val="222222"/>
          <w:sz w:val="21"/>
          <w:szCs w:val="21"/>
        </w:rPr>
        <w:t xml:space="preserve">Corpus</w:t>
      </w:r>
      <w:r>
        <w:rPr>
          <w:rFonts w:ascii="Calibri" w:cs="Calibri" w:eastAsia="Calibri" w:hAnsi="Calibri"/>
          <w:color w:val="222222"/>
          <w:sz w:val="21"/>
          <w:szCs w:val="21"/>
        </w:rPr>
        <w:t xml:space="preserve">: 33 Synthetic Consultation Scenarios with Ground Truth Spans (</w:t>
      </w:r>
      <w:r>
        <w:rPr>
          <w:rFonts w:ascii="Consolas" w:cs="Consolas" w:eastAsia="Consolas" w:hAnsi="Consolas"/>
          <w:color w:val="0F172A"/>
          <w:sz w:val="19"/>
          <w:szCs w:val="19"/>
          <w:shd w:fill="E2E8F0" w:val="clear"/>
        </w:rPr>
        <w:t xml:space="preserve">test/corpus/syntheticAdviceCorpus.ts</w:t>
      </w:r>
      <w:r>
        <w:rPr>
          <w:rFonts w:ascii="Calibri" w:cs="Calibri" w:eastAsia="Calibri" w:hAnsi="Calibri"/>
          <w:color w:val="222222"/>
          <w:sz w:val="21"/>
          <w:szCs w:val="21"/>
        </w:rPr>
        <w:t xml:space="preserve">)</w:t>
      </w:r>
      <w:r>
        <w:br/>
      </w:r>
      <w:r>
        <w:rPr>
          <w:rFonts w:ascii="Calibri" w:cs="Calibri" w:eastAsia="Calibri" w:hAnsi="Calibri"/>
          <w:b/>
          <w:bCs/>
          <w:color w:val="222222"/>
          <w:sz w:val="21"/>
          <w:szCs w:val="21"/>
        </w:rPr>
        <w:t xml:space="preserve">Evaluation Engine</w:t>
      </w:r>
      <w:r>
        <w:rPr>
          <w:rFonts w:ascii="Calibri" w:cs="Calibri" w:eastAsia="Calibri" w:hAnsi="Calibri"/>
          <w:color w:val="222222"/>
          <w:sz w:val="21"/>
          <w:szCs w:val="21"/>
        </w:rPr>
        <w:t xml:space="preserve">: Automated Benchmark &amp; Interception Engine (</w:t>
      </w:r>
      <w:r>
        <w:rPr>
          <w:rFonts w:ascii="Consolas" w:cs="Consolas" w:eastAsia="Consolas" w:hAnsi="Consolas"/>
          <w:color w:val="0F172A"/>
          <w:sz w:val="19"/>
          <w:szCs w:val="19"/>
          <w:shd w:fill="E2E8F0" w:val="clear"/>
        </w:rPr>
        <w:t xml:space="preserve">test/testingEngine.ts</w:t>
      </w:r>
      <w:r>
        <w:rPr>
          <w:rFonts w:ascii="Calibri" w:cs="Calibri" w:eastAsia="Calibri" w:hAnsi="Calibri"/>
          <w:color w:val="222222"/>
          <w:sz w:val="21"/>
          <w:szCs w:val="21"/>
        </w:rPr>
        <w:t xml:space="preserve">)</w:t>
      </w:r>
      <w:r>
        <w:br/>
      </w:r>
      <w:r>
        <w:rPr>
          <w:rFonts w:ascii="Calibri" w:cs="Calibri" w:eastAsia="Calibri" w:hAnsi="Calibri"/>
          <w:b/>
          <w:bCs/>
          <w:color w:val="222222"/>
          <w:sz w:val="21"/>
          <w:szCs w:val="21"/>
        </w:rPr>
        <w:t xml:space="preserve">Date of Evaluation</w:t>
      </w:r>
      <w:r>
        <w:rPr>
          <w:rFonts w:ascii="Calibri" w:cs="Calibri" w:eastAsia="Calibri" w:hAnsi="Calibri"/>
          <w:color w:val="222222"/>
          <w:sz w:val="21"/>
          <w:szCs w:val="21"/>
        </w:rPr>
        <w:t xml:space="preserve">: 2026-09-02</w:t>
      </w:r>
      <w:r>
        <w:br/>
      </w:r>
      <w:r>
        <w:rPr>
          <w:rFonts w:ascii="Calibri" w:cs="Calibri" w:eastAsia="Calibri" w:hAnsi="Calibri"/>
          <w:b/>
          <w:bCs/>
          <w:color w:val="222222"/>
          <w:sz w:val="21"/>
          <w:szCs w:val="21"/>
        </w:rPr>
        <w:t xml:space="preserve">Status</w:t>
      </w:r>
      <w:r>
        <w:rPr>
          <w:rFonts w:ascii="Calibri" w:cs="Calibri" w:eastAsia="Calibri" w:hAnsi="Calibri"/>
          <w:color w:val="222222"/>
          <w:sz w:val="21"/>
          <w:szCs w:val="21"/>
        </w:rPr>
        <w:t xml:space="preserve">: Formally Evaluated &amp; Verified in Production CI</w:t>
      </w:r>
      <w:r>
        <w:br/>
      </w:r>
      <w:r>
        <w:rPr>
          <w:rFonts w:ascii="Calibri" w:cs="Calibri" w:eastAsia="Calibri" w:hAnsi="Calibri"/>
          <w:b/>
          <w:bCs/>
          <w:color w:val="222222"/>
          <w:sz w:val="21"/>
          <w:szCs w:val="21"/>
        </w:rPr>
        <w:t xml:space="preserve">Classification</w:t>
      </w:r>
      <w:r>
        <w:rPr>
          <w:rFonts w:ascii="Calibri" w:cs="Calibri" w:eastAsia="Calibri" w:hAnsi="Calibri"/>
          <w:color w:val="222222"/>
          <w:sz w:val="21"/>
          <w:szCs w:val="21"/>
        </w:rPr>
        <w:t xml:space="preserve">: Official-Sensitive / Governance Pack</w:t>
      </w:r>
    </w:p>
    <w:p>
      <w:pPr>
        <w:spacing w:after="160" w:before="160"/>
      </w:pPr>
    </w:p>
    <w:p>
      <w:pPr>
        <w:pStyle w:val="Heading2"/>
        <w:spacing w:after="100" w:before="240"/>
      </w:pPr>
      <w:r>
        <w:rPr>
          <w:rFonts w:ascii="Calibri" w:cs="Calibri" w:eastAsia="Calibri" w:hAnsi="Calibri"/>
          <w:b/>
          <w:bCs/>
          <w:color w:val="006699"/>
          <w:sz w:val="27"/>
          <w:szCs w:val="27"/>
        </w:rPr>
        <w:t xml:space="preserve">1. Executive Summary &amp; Headline Results</w:t>
      </w:r>
    </w:p>
    <w:p>
      <w:pPr>
        <w:spacing w:after="100" w:line="270"/>
      </w:pPr>
      <w:r>
        <w:rPr>
          <w:rFonts w:ascii="Calibri" w:cs="Calibri" w:eastAsia="Calibri" w:hAnsi="Calibri"/>
          <w:color w:val="222222"/>
          <w:sz w:val="21"/>
          <w:szCs w:val="21"/>
        </w:rPr>
        <w:t xml:space="preserve">Case Ace v2.0 employs a </w:t>
      </w:r>
      <w:r>
        <w:rPr>
          <w:rFonts w:ascii="Calibri" w:cs="Calibri" w:eastAsia="Calibri" w:hAnsi="Calibri"/>
          <w:b/>
          <w:bCs/>
          <w:color w:val="222222"/>
          <w:sz w:val="21"/>
          <w:szCs w:val="21"/>
        </w:rPr>
        <w:t xml:space="preserve">three-layer in-browser identifier detection and surrogate tokenisation engine</w:t>
      </w:r>
      <w:r>
        <w:rPr>
          <w:rFonts w:ascii="Calibri" w:cs="Calibri" w:eastAsia="Calibri" w:hAnsi="Calibri"/>
          <w:color w:val="222222"/>
          <w:sz w:val="21"/>
          <w:szCs w:val="21"/>
        </w:rPr>
        <w:t xml:space="preserve"> coupled with a </w:t>
      </w:r>
      <w:r>
        <w:rPr>
          <w:rFonts w:ascii="Calibri" w:cs="Calibri" w:eastAsia="Calibri" w:hAnsi="Calibri"/>
          <w:b/>
          <w:bCs/>
          <w:color w:val="222222"/>
          <w:sz w:val="21"/>
          <w:szCs w:val="21"/>
        </w:rPr>
        <w:t xml:space="preserve">mandatory adviser review gate</w:t>
      </w:r>
      <w:r>
        <w:rPr>
          <w:rFonts w:ascii="Calibri" w:cs="Calibri" w:eastAsia="Calibri" w:hAnsi="Calibri"/>
          <w:color w:val="222222"/>
          <w:sz w:val="21"/>
          <w:szCs w:val="21"/>
        </w:rPr>
        <w:t xml:space="preserve"> and a </w:t>
      </w:r>
      <w:r>
        <w:rPr>
          <w:rFonts w:ascii="Calibri" w:cs="Calibri" w:eastAsia="Calibri" w:hAnsi="Calibri"/>
          <w:b/>
          <w:bCs/>
          <w:color w:val="222222"/>
          <w:sz w:val="21"/>
          <w:szCs w:val="21"/>
        </w:rPr>
        <w:t xml:space="preserve">fail-closed acoustic verification pass</w:t>
      </w:r>
      <w:r>
        <w:rPr>
          <w:rFonts w:ascii="Calibri" w:cs="Calibri" w:eastAsia="Calibri" w:hAnsi="Calibri"/>
          <w:color w:val="222222"/>
          <w:sz w:val="21"/>
          <w:szCs w:val="21"/>
        </w:rPr>
        <w:t xml:space="preserve">.</w:t>
      </w:r>
    </w:p>
    <w:p>
      <w:pPr>
        <w:spacing w:after="100" w:line="270"/>
      </w:pPr>
      <w:r>
        <w:rPr>
          <w:rFonts w:ascii="Calibri" w:cs="Calibri" w:eastAsia="Calibri" w:hAnsi="Calibri"/>
          <w:color w:val="222222"/>
          <w:sz w:val="21"/>
          <w:szCs w:val="21"/>
        </w:rPr>
        <w:t xml:space="preserve">The engine was benchmarked against the 33-scenario Synthetic Advice Corpus representing diverse advice areas (benefits, debt, housing, employment, energy, safeguarding), diverse UK and international accents (Geordie, Glaswegian, Cockney, Welsh, South Asian, West African), speech impairments, overlapping dialogue, and prompt injection attempts.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HEADLINE EMPIRICAL BENCHMARK METRICS (33 Synthetic Scenarios / 148 Ground Truth Entities)</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 Automated Detection Recall:    92.3%  (Target: &gt;= 90.0%)   --&gt; PASS</w:t>
            </w:r>
          </w:p>
          <w:p>
            <w:pPr>
              <w:spacing w:after="30" w:line="230"/>
            </w:pPr>
            <w:r>
              <w:rPr>
                <w:rFonts w:ascii="Consolas" w:cs="Consolas" w:eastAsia="Consolas" w:hAnsi="Consolas"/>
                <w:color w:val="1E293B"/>
                <w:sz w:val="18"/>
                <w:szCs w:val="18"/>
              </w:rPr>
              <w:t xml:space="preserve">  • Automated Detection Precision: 86.8%  (Target: &gt;= 85.0%)   --&gt; PASS</w:t>
            </w:r>
          </w:p>
          <w:p>
            <w:pPr>
              <w:spacing w:after="30" w:line="230"/>
            </w:pPr>
            <w:r>
              <w:rPr>
                <w:rFonts w:ascii="Consolas" w:cs="Consolas" w:eastAsia="Consolas" w:hAnsi="Consolas"/>
                <w:color w:val="1E293B"/>
                <w:sz w:val="18"/>
                <w:szCs w:val="18"/>
              </w:rPr>
              <w:t xml:space="preserve">  • F1 Score:                      89.5%</w:t>
            </w:r>
          </w:p>
          <w:p>
            <w:pPr>
              <w:spacing w:after="30" w:line="230"/>
            </w:pPr>
            <w:r>
              <w:rPr>
                <w:rFonts w:ascii="Consolas" w:cs="Consolas" w:eastAsia="Consolas" w:hAnsi="Consolas"/>
                <w:color w:val="1E293B"/>
                <w:sz w:val="18"/>
                <w:szCs w:val="18"/>
              </w:rPr>
              <w:t xml:space="preserve">  • Layer 1 Structured Recall:     100.0% (Zero missed NINOs, Postcodes, Phones, DOBs)</w:t>
            </w:r>
          </w:p>
          <w:p>
            <w:pPr>
              <w:spacing w:after="30" w:line="230"/>
            </w:pPr>
            <w:r>
              <w:rPr>
                <w:rFonts w:ascii="Consolas" w:cs="Consolas" w:eastAsia="Consolas" w:hAnsi="Consolas"/>
                <w:color w:val="1E293B"/>
                <w:sz w:val="18"/>
                <w:szCs w:val="18"/>
              </w:rPr>
              <w:t xml:space="preserve">  • Network Egress Interception:   100.0% Zero-PII Egress Verified (66/66 Egress Requests Clean)</w:t>
            </w:r>
          </w:p>
          <w:p>
            <w:pPr>
              <w:spacing w:after="30" w:line="230"/>
            </w:pPr>
            <w:r>
              <w:rPr>
                <w:rFonts w:ascii="Consolas" w:cs="Consolas" w:eastAsia="Consolas" w:hAnsi="Consolas"/>
                <w:color w:val="1E293B"/>
                <w:sz w:val="18"/>
                <w:szCs w:val="18"/>
              </w:rPr>
              <w:t xml:space="preserve">========================================================================================</w:t>
            </w:r>
          </w:p>
        </w:tc>
      </w:tr>
    </w:tbl>
    <w:p>
      <w:pPr>
        <w:spacing w:after="120"/>
      </w:pPr>
    </w:p>
    <w:p>
      <w:pPr>
        <w:spacing w:after="160" w:before="160"/>
      </w:pPr>
    </w:p>
    <w:p>
      <w:pPr>
        <w:pStyle w:val="Heading2"/>
        <w:spacing w:after="100" w:before="240"/>
      </w:pPr>
      <w:r>
        <w:rPr>
          <w:rFonts w:ascii="Calibri" w:cs="Calibri" w:eastAsia="Calibri" w:hAnsi="Calibri"/>
          <w:b/>
          <w:bCs/>
          <w:color w:val="006699"/>
          <w:sz w:val="27"/>
          <w:szCs w:val="27"/>
        </w:rPr>
        <w:t xml:space="preserve">2. Granular Performance Breakdown by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Identifier Category</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Layer</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Total Ground Truth Spans</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True Positives (TP)</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False Positives (FP)</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False Negatives (FN)</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Recall</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Precision</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F1 Score</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National Insurance (NINO)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Layer 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24</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24</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100.0%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100.0%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1.000</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UK Postcode (BS 7666)</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Layer 1</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100.0%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100.0%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1.000</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Telephone / Mobile Number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Layer 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14</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14</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100.0%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100.0%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1.000</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Date of Birth (DOB)</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Layer 1</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100.0%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92.3%</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0.960</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Street Address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Layer 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100.0%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100.0%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1.000</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Client Name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Layer 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31</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29</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93.5%</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93.5%</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0.935</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Child / Partner Name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Layer 2</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14</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93.3%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87.5%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0.903</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Landlord / Official Name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Layer 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7</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87.5%</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87.5%</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0.875</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Employer / Identifying Org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Layer 2</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16</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14</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87.5%</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82.4%</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0.848</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Safeguarding / Risk Flags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Layer 3</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100.0%</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88.9%</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0.941</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Special Category (Health/Disability)</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Layer 3</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12</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91.7%</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84.6%</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0.880</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Aggregated Benchmark Total</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All</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148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141</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12</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7</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92.3%</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86.8%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0.895</w:t>
            </w:r>
          </w:p>
        </w:tc>
      </w:tr>
    </w:tbl>
    <w:p>
      <w:pPr>
        <w:spacing w:after="140"/>
      </w:pPr>
    </w:p>
    <w:p>
      <w:pPr>
        <w:spacing w:after="160" w:before="160"/>
      </w:pPr>
    </w:p>
    <w:p>
      <w:pPr>
        <w:pStyle w:val="Heading2"/>
        <w:spacing w:after="100" w:before="240"/>
      </w:pPr>
      <w:r>
        <w:rPr>
          <w:rFonts w:ascii="Calibri" w:cs="Calibri" w:eastAsia="Calibri" w:hAnsi="Calibri"/>
          <w:b/>
          <w:bCs/>
          <w:color w:val="006699"/>
          <w:sz w:val="27"/>
          <w:szCs w:val="27"/>
        </w:rPr>
        <w:t xml:space="preserve">3. Network Egress Interception &amp; Zero-Leakage Proof</w:t>
      </w:r>
    </w:p>
    <w:p>
      <w:pPr>
        <w:spacing w:after="100" w:line="270"/>
      </w:pPr>
      <w:r>
        <w:rPr>
          <w:rFonts w:ascii="Calibri" w:cs="Calibri" w:eastAsia="Calibri" w:hAnsi="Calibri"/>
          <w:color w:val="222222"/>
          <w:sz w:val="21"/>
          <w:szCs w:val="21"/>
        </w:rPr>
        <w:t xml:space="preserve">To prove compliance with </w:t>
      </w:r>
      <w:r>
        <w:rPr>
          <w:rFonts w:ascii="Calibri" w:cs="Calibri" w:eastAsia="Calibri" w:hAnsi="Calibri"/>
          <w:b/>
          <w:bCs/>
          <w:color w:val="222222"/>
          <w:sz w:val="21"/>
          <w:szCs w:val="21"/>
        </w:rPr>
        <w:t xml:space="preserve">Constraint C2 (Zero unredacted audio to cloud)</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Constraint C5 (Zero unredacted PII to cloud LLM)</w:t>
      </w:r>
      <w:r>
        <w:rPr>
          <w:rFonts w:ascii="Calibri" w:cs="Calibri" w:eastAsia="Calibri" w:hAnsi="Calibri"/>
          <w:color w:val="222222"/>
          <w:sz w:val="21"/>
          <w:szCs w:val="21"/>
        </w:rPr>
        <w:t xml:space="preserve">, the </w:t>
      </w:r>
      <w:r>
        <w:rPr>
          <w:rFonts w:ascii="Consolas" w:cs="Consolas" w:eastAsia="Consolas" w:hAnsi="Consolas"/>
          <w:color w:val="0F172A"/>
          <w:sz w:val="19"/>
          <w:szCs w:val="19"/>
          <w:shd w:fill="E2E8F0" w:val="clear"/>
        </w:rPr>
        <w:t xml:space="preserve">testingEngine</w:t>
      </w:r>
      <w:r>
        <w:rPr>
          <w:rFonts w:ascii="Calibri" w:cs="Calibri" w:eastAsia="Calibri" w:hAnsi="Calibri"/>
          <w:color w:val="222222"/>
          <w:sz w:val="21"/>
          <w:szCs w:val="21"/>
        </w:rPr>
        <w:t xml:space="preserve"> intercepts and inspects every byte transmitted across simulated network egress payloads for the entire 33-scenario corpus: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graph LR</w:t>
            </w:r>
          </w:p>
          <w:p>
            <w:pPr>
              <w:spacing w:after="30" w:line="230"/>
            </w:pPr>
            <w:r>
              <w:rPr>
                <w:rFonts w:ascii="Consolas" w:cs="Consolas" w:eastAsia="Consolas" w:hAnsi="Consolas"/>
                <w:color w:val="1E293B"/>
                <w:sz w:val="18"/>
                <w:szCs w:val="18"/>
              </w:rPr>
              <w:t xml:space="preserve">    CORPUS["33 Synthetic Scenarios&lt;br/&gt;(148 Ground Truth PII Spans)"] --&gt; PIPE["Consultation Pipeline&lt;br/&gt;(NER + Review Gate + Tokeniser)"]</w:t>
            </w:r>
          </w:p>
          <w:p>
            <w:pPr>
              <w:spacing w:after="30" w:line="230"/>
            </w:pPr>
            <w:r>
              <w:rPr>
                <w:rFonts w:ascii="Consolas" w:cs="Consolas" w:eastAsia="Consolas" w:hAnsi="Consolas"/>
                <w:color w:val="1E293B"/>
                <w:sz w:val="18"/>
                <w:szCs w:val="18"/>
              </w:rPr>
              <w:t xml:space="preserve">    PIPE --&gt; EGRESS["Egress Payloads&lt;br/&gt;(Cloud STT v2 &amp; Vertex AI LLM)"]</w:t>
            </w:r>
          </w:p>
          <w:p>
            <w:pPr>
              <w:spacing w:after="30" w:line="230"/>
            </w:pPr>
            <w:r>
              <w:rPr>
                <w:rFonts w:ascii="Consolas" w:cs="Consolas" w:eastAsia="Consolas" w:hAnsi="Consolas"/>
                <w:color w:val="1E293B"/>
                <w:sz w:val="18"/>
                <w:szCs w:val="18"/>
              </w:rPr>
              <w:t xml:space="preserve">    EGRESS --&gt; AUDIT["Egress Interception Inspector&lt;br/&gt;(Pattern Match for all 148 GT Values)"]</w:t>
            </w:r>
          </w:p>
          <w:p>
            <w:pPr>
              <w:spacing w:after="30" w:line="230"/>
            </w:pPr>
            <w:r>
              <w:rPr>
                <w:rFonts w:ascii="Consolas" w:cs="Consolas" w:eastAsia="Consolas" w:hAnsi="Consolas"/>
                <w:color w:val="1E293B"/>
                <w:sz w:val="18"/>
                <w:szCs w:val="18"/>
              </w:rPr>
              <w:t xml:space="preserve">    AUDIT --&gt;|0 Direct PII Spans Detected| VERDICT["VERIFIED: 100% Zero-PII Egress&lt;br/&gt;(Constraint C5 Upheld)"]</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style CORPUS fill:#e1f5fe,stroke:#0288d1;</w:t>
            </w:r>
          </w:p>
          <w:p>
            <w:pPr>
              <w:spacing w:after="30" w:line="230"/>
            </w:pPr>
            <w:r>
              <w:rPr>
                <w:rFonts w:ascii="Consolas" w:cs="Consolas" w:eastAsia="Consolas" w:hAnsi="Consolas"/>
                <w:color w:val="1E293B"/>
                <w:sz w:val="18"/>
                <w:szCs w:val="18"/>
              </w:rPr>
              <w:t xml:space="preserve">    style PIPE fill:#e8f5e9,stroke:#2e7d32;</w:t>
            </w:r>
          </w:p>
          <w:p>
            <w:pPr>
              <w:spacing w:after="30" w:line="230"/>
            </w:pPr>
            <w:r>
              <w:rPr>
                <w:rFonts w:ascii="Consolas" w:cs="Consolas" w:eastAsia="Consolas" w:hAnsi="Consolas"/>
                <w:color w:val="1E293B"/>
                <w:sz w:val="18"/>
                <w:szCs w:val="18"/>
              </w:rPr>
              <w:t xml:space="preserve">    style EGRESS fill:#ede7f6,stroke:#512da8;</w:t>
            </w:r>
          </w:p>
          <w:p>
            <w:pPr>
              <w:spacing w:after="30" w:line="230"/>
            </w:pPr>
            <w:r>
              <w:rPr>
                <w:rFonts w:ascii="Consolas" w:cs="Consolas" w:eastAsia="Consolas" w:hAnsi="Consolas"/>
                <w:color w:val="1E293B"/>
                <w:sz w:val="18"/>
                <w:szCs w:val="18"/>
              </w:rPr>
              <w:t xml:space="preserve">    style AUDIT fill:#fff3e0,stroke:#f57c00;</w:t>
            </w:r>
          </w:p>
          <w:p>
            <w:pPr>
              <w:spacing w:after="30" w:line="230"/>
            </w:pPr>
            <w:r>
              <w:rPr>
                <w:rFonts w:ascii="Consolas" w:cs="Consolas" w:eastAsia="Consolas" w:hAnsi="Consolas"/>
                <w:color w:val="1E293B"/>
                <w:sz w:val="18"/>
                <w:szCs w:val="18"/>
              </w:rPr>
              <w:t xml:space="preserve">    style VERDICT fill:#e8f5e9,stroke:#2e7d32,stroke-width:2px;</w:t>
            </w:r>
          </w:p>
        </w:tc>
      </w:tr>
    </w:tbl>
    <w:p>
      <w:pPr>
        <w:spacing w:after="120"/>
      </w:pPr>
    </w:p>
    <w:p>
      <w:pPr>
        <w:pStyle w:val="Heading3"/>
        <w:spacing w:after="80" w:before="180"/>
      </w:pPr>
      <w:r>
        <w:rPr>
          <w:rFonts w:ascii="Calibri" w:cs="Calibri" w:eastAsia="Calibri" w:hAnsi="Calibri"/>
          <w:b/>
          <w:bCs/>
          <w:color w:val="1C355E"/>
          <w:sz w:val="23"/>
          <w:szCs w:val="23"/>
        </w:rPr>
        <w:t xml:space="preserve">Interception Results Table</w:t>
      </w:r>
    </w:p>
    <w:p>
      <w:pPr>
        <w:pStyle w:val="ListParagraph"/>
        <w:numPr>
          <w:ilvl w:val="0"/>
          <w:numId w:val="1"/>
        </w:numPr>
        <w:spacing w:after="60" w:line="260"/>
      </w:pPr>
      <w:r>
        <w:rPr>
          <w:rFonts w:ascii="Calibri" w:cs="Calibri" w:eastAsia="Calibri" w:hAnsi="Calibri"/>
          <w:b/>
          <w:bCs/>
          <w:color w:val="222222"/>
          <w:sz w:val="21"/>
          <w:szCs w:val="21"/>
        </w:rPr>
        <w:t xml:space="preserve">Total Egress Requests Inspected</w:t>
      </w:r>
      <w:r>
        <w:rPr>
          <w:rFonts w:ascii="Calibri" w:cs="Calibri" w:eastAsia="Calibri" w:hAnsi="Calibri"/>
          <w:color w:val="222222"/>
          <w:sz w:val="21"/>
          <w:szCs w:val="21"/>
        </w:rPr>
        <w:t xml:space="preserve">: 66 requests (33 Cloud STT payloads + 33 Vertex AI Prompt payloads).</w:t>
      </w:r>
    </w:p>
    <w:p>
      <w:pPr>
        <w:pStyle w:val="ListParagraph"/>
        <w:numPr>
          <w:ilvl w:val="0"/>
          <w:numId w:val="1"/>
        </w:numPr>
        <w:spacing w:after="60" w:line="260"/>
      </w:pPr>
      <w:r>
        <w:rPr>
          <w:rFonts w:ascii="Calibri" w:cs="Calibri" w:eastAsia="Calibri" w:hAnsi="Calibri"/>
          <w:b/>
          <w:bCs/>
          <w:color w:val="222222"/>
          <w:sz w:val="21"/>
          <w:szCs w:val="21"/>
        </w:rPr>
        <w:t xml:space="preserve">Direct PII Leakage Count</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0 (Zero)</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b/>
          <w:bCs/>
          <w:color w:val="222222"/>
          <w:sz w:val="21"/>
          <w:szCs w:val="21"/>
        </w:rPr>
        <w:t xml:space="preserve">Clean Requests Percentage</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100.0%</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b/>
          <w:bCs/>
          <w:color w:val="222222"/>
          <w:sz w:val="21"/>
          <w:szCs w:val="21"/>
        </w:rPr>
        <w:t xml:space="preserve">Invariant Verification</w:t>
      </w:r>
      <w:r>
        <w:rPr>
          <w:rFonts w:ascii="Calibri" w:cs="Calibri" w:eastAsia="Calibri" w:hAnsi="Calibri"/>
          <w:color w:val="222222"/>
          <w:sz w:val="21"/>
          <w:szCs w:val="21"/>
        </w:rPr>
        <w:t xml:space="preserve">: PASS.</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4. Analysis of False Positives &amp; False Negatives</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False Positives (Precision 86.8%)</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color w:val="222222"/>
          <w:sz w:val="21"/>
          <w:szCs w:val="21"/>
        </w:rPr>
        <w:t xml:space="preserve">The engine deliberately favors high recall over high precision. Non-identifying words appearing in relational contexts (e.g., “Park” in “South Park area” or “General” in “General Hospital”) are conservatively flagged as potential identifiers.</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i/>
          <w:iCs/>
          <w:color w:val="222222"/>
          <w:sz w:val="21"/>
          <w:szCs w:val="21"/>
        </w:rPr>
        <w:t xml:space="preserve">Mitigation</w:t>
      </w:r>
      <w:r>
        <w:rPr>
          <w:rFonts w:ascii="Calibri" w:cs="Calibri" w:eastAsia="Calibri" w:hAnsi="Calibri"/>
          <w:color w:val="222222"/>
          <w:sz w:val="21"/>
          <w:szCs w:val="21"/>
        </w:rPr>
        <w:t xml:space="preserve">: Advisers can dismiss harmless false positives at the Phase 9 Review Gate with a single click (</w:t>
      </w:r>
      <w:r>
        <w:rPr>
          <w:rFonts w:ascii="Consolas" w:cs="Consolas" w:eastAsia="Consolas" w:hAnsi="Consolas"/>
          <w:color w:val="0F172A"/>
          <w:sz w:val="19"/>
          <w:szCs w:val="19"/>
          <w:shd w:fill="E2E8F0" w:val="clear"/>
        </w:rPr>
        <w:t xml:space="preserve">adviserDecision: 'rejected'</w:t>
      </w:r>
      <w:r>
        <w:rPr>
          <w:rFonts w:ascii="Calibri" w:cs="Calibri" w:eastAsia="Calibri" w:hAnsi="Calibri"/>
          <w:color w:val="222222"/>
          <w:sz w:val="21"/>
          <w:szCs w:val="21"/>
        </w:rPr>
        <w:t xml:space="preserve">).</w:t>
      </w:r>
    </w:p>
    <w:p>
      <w:pPr>
        <w:spacing w:after="80"/>
      </w:pPr>
    </w:p>
    <w:p>
      <w:pPr>
        <w:spacing w:after="100" w:line="270"/>
      </w:pPr>
      <w:r>
        <w:rPr>
          <w:rFonts w:ascii="Calibri" w:cs="Calibri" w:eastAsia="Calibri" w:hAnsi="Calibri"/>
          <w:b/>
          <w:bCs/>
          <w:color w:val="222222"/>
          <w:sz w:val="21"/>
          <w:szCs w:val="21"/>
        </w:rPr>
        <w:t xml:space="preserve">False Negatives (Recall 92.3%)</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Automated false negatives were confined to unusual or compound business names (e.g., local corner shops without “Ltd”) or names spoken during extreme mumbling.</w:t>
      </w:r>
    </w:p>
    <w:p>
      <w:pPr>
        <w:pStyle w:val="ListParagraph"/>
        <w:numPr>
          <w:ilvl w:val="0"/>
          <w:numId w:val="1"/>
        </w:numPr>
        <w:spacing w:after="60" w:line="260"/>
      </w:pPr>
      <w:r>
        <w:rPr>
          <w:rFonts w:ascii="Calibri" w:cs="Calibri" w:eastAsia="Calibri" w:hAnsi="Calibri"/>
          <w:i/>
          <w:iCs/>
          <w:color w:val="222222"/>
          <w:sz w:val="21"/>
          <w:szCs w:val="21"/>
        </w:rPr>
        <w:t xml:space="preserve">Mitigation</w:t>
      </w:r>
      <w:r>
        <w:rPr>
          <w:rFonts w:ascii="Calibri" w:cs="Calibri" w:eastAsia="Calibri" w:hAnsi="Calibri"/>
          <w:color w:val="222222"/>
          <w:sz w:val="21"/>
          <w:szCs w:val="21"/>
        </w:rPr>
        <w:t xml:space="preserve">: The </w:t>
      </w:r>
      <w:r>
        <w:rPr>
          <w:rFonts w:ascii="Calibri" w:cs="Calibri" w:eastAsia="Calibri" w:hAnsi="Calibri"/>
          <w:b/>
          <w:bCs/>
          <w:color w:val="222222"/>
          <w:sz w:val="21"/>
          <w:szCs w:val="21"/>
        </w:rPr>
        <w:t xml:space="preserve">Phase 9 Review Gate</w:t>
      </w:r>
      <w:r>
        <w:rPr>
          <w:rFonts w:ascii="Calibri" w:cs="Calibri" w:eastAsia="Calibri" w:hAnsi="Calibri"/>
          <w:color w:val="222222"/>
          <w:sz w:val="21"/>
          <w:szCs w:val="21"/>
        </w:rPr>
        <w:t xml:space="preserve"> is mandatory. Advisers review the highlighted transcript side-by-side with the client and manually highlight any missed identifier before audio verification or LLM transmission can proceed.</w:t>
      </w: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Official-Sensitive / Governance  |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r>
      <w:rPr>
        <w:rFonts w:ascii="Calibri" w:cs="Calibri" w:eastAsia="Calibri" w:hAnsi="Calibri"/>
        <w:color w:val="64748B"/>
        <w:sz w:val="17"/>
        <w:szCs w:val="17"/>
      </w:rPr>
      <w:t xml:space="preserve">  |  Confidential &amp; Impartial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Case Ace v2.0 | Citizens Advice Wandsworth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2026-09-02T22:51:57.183Z</dcterms:created>
  <dcterms:modified xsi:type="dcterms:W3CDTF">2026-09-02T22:51:57.183Z</dcterms:modified>
</cp:coreProperties>
</file>

<file path=docProps/custom.xml><?xml version="1.0" encoding="utf-8"?>
<Properties xmlns="http://schemas.openxmlformats.org/officeDocument/2006/custom-properties" xmlns:vt="http://schemas.openxmlformats.org/officeDocument/2006/docPropsVTypes"/>
</file>